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94D" w:rsidRDefault="004213BC" w:rsidP="004213BC">
      <w:r w:rsidRPr="00953FD4">
        <w:rPr>
          <w:noProof/>
        </w:rPr>
        <w:drawing>
          <wp:inline distT="0" distB="0" distL="0" distR="0">
            <wp:extent cx="1733550" cy="1009650"/>
            <wp:effectExtent l="19050" t="0" r="0" b="0"/>
            <wp:docPr id="6" name="Εικόνα 1"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hireos"/>
                    <pic:cNvPicPr>
                      <a:picLocks noChangeAspect="1" noChangeArrowheads="1"/>
                    </pic:cNvPicPr>
                  </pic:nvPicPr>
                  <pic:blipFill>
                    <a:blip r:embed="rId9" cstate="print">
                      <a:lum bright="10000"/>
                    </a:blip>
                    <a:srcRect/>
                    <a:stretch>
                      <a:fillRect/>
                    </a:stretch>
                  </pic:blipFill>
                  <pic:spPr bwMode="auto">
                    <a:xfrm>
                      <a:off x="0" y="0"/>
                      <a:ext cx="1733550" cy="1009650"/>
                    </a:xfrm>
                    <a:prstGeom prst="rect">
                      <a:avLst/>
                    </a:prstGeom>
                    <a:solidFill>
                      <a:srgbClr val="000000">
                        <a:alpha val="71001"/>
                      </a:srgbClr>
                    </a:solidFill>
                    <a:ln w="9525">
                      <a:noFill/>
                      <a:miter lim="800000"/>
                      <a:headEnd/>
                      <a:tailEnd/>
                    </a:ln>
                  </pic:spPr>
                </pic:pic>
              </a:graphicData>
            </a:graphic>
          </wp:inline>
        </w:drawing>
      </w:r>
    </w:p>
    <w:p w:rsidR="003B594D" w:rsidRDefault="003B594D" w:rsidP="003B594D"/>
    <w:p w:rsidR="003B594D" w:rsidRDefault="003B594D" w:rsidP="003B594D"/>
    <w:p w:rsidR="003B594D" w:rsidRDefault="003B594D" w:rsidP="003B594D"/>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32"/>
      </w:tblGrid>
      <w:tr w:rsidR="003B594D" w:rsidRPr="00343904" w:rsidTr="003B594D">
        <w:trPr>
          <w:trHeight w:val="11282"/>
        </w:trPr>
        <w:tc>
          <w:tcPr>
            <w:tcW w:w="10632" w:type="dxa"/>
            <w:tcBorders>
              <w:top w:val="nil"/>
              <w:left w:val="nil"/>
              <w:bottom w:val="nil"/>
              <w:right w:val="nil"/>
              <w:tl2br w:val="nil"/>
              <w:tr2bl w:val="nil"/>
            </w:tcBorders>
          </w:tcPr>
          <w:p w:rsidR="003B594D" w:rsidRPr="00343904" w:rsidRDefault="003B594D" w:rsidP="003B594D">
            <w:pPr>
              <w:pStyle w:val="af2"/>
              <w:jc w:val="center"/>
              <w:rPr>
                <w:b/>
                <w:bCs/>
                <w:imprint/>
                <w:color w:val="4D4D4D"/>
                <w:sz w:val="72"/>
                <w:szCs w:val="76"/>
              </w:rPr>
            </w:pPr>
            <w:r w:rsidRPr="00343904">
              <w:rPr>
                <w:b/>
                <w:bCs/>
                <w:shadow/>
                <w:color w:val="4D4D4D"/>
                <w:sz w:val="72"/>
                <w:szCs w:val="76"/>
              </w:rPr>
              <w:t>ΠΡΟΣΧΕΔΙΟ</w:t>
            </w:r>
          </w:p>
          <w:p w:rsidR="003B594D" w:rsidRPr="00343904" w:rsidRDefault="003B594D" w:rsidP="003B594D">
            <w:pPr>
              <w:pStyle w:val="af2"/>
              <w:jc w:val="center"/>
              <w:rPr>
                <w:b/>
                <w:bCs/>
                <w:imprint/>
                <w:color w:val="4D4D4D"/>
                <w:sz w:val="76"/>
                <w:szCs w:val="76"/>
              </w:rPr>
            </w:pPr>
            <w:r w:rsidRPr="00343904">
              <w:rPr>
                <w:b/>
                <w:bCs/>
                <w:imprint/>
                <w:color w:val="4D4D4D"/>
                <w:sz w:val="72"/>
                <w:szCs w:val="76"/>
              </w:rPr>
              <w:t>ΚΡΑΤΙΚΟΥ ΠΡΟΫΠΟΛΟΓΙΣΜΟΥ</w:t>
            </w:r>
          </w:p>
          <w:p w:rsidR="003B594D" w:rsidRPr="008225AB" w:rsidRDefault="003B594D" w:rsidP="003B594D">
            <w:pPr>
              <w:pStyle w:val="af2"/>
              <w:jc w:val="center"/>
              <w:rPr>
                <w:b/>
                <w:bCs/>
                <w:imprint/>
                <w:color w:val="4D4D4D"/>
                <w:sz w:val="90"/>
                <w:szCs w:val="72"/>
              </w:rPr>
            </w:pPr>
            <w:r w:rsidRPr="00343904">
              <w:rPr>
                <w:b/>
                <w:bCs/>
                <w:imprint/>
                <w:color w:val="4D4D4D"/>
                <w:sz w:val="104"/>
                <w:szCs w:val="72"/>
              </w:rPr>
              <w:t>201</w:t>
            </w:r>
            <w:r w:rsidRPr="008225AB">
              <w:rPr>
                <w:b/>
                <w:bCs/>
                <w:imprint/>
                <w:color w:val="4D4D4D"/>
                <w:sz w:val="104"/>
                <w:szCs w:val="72"/>
              </w:rPr>
              <w:t>8</w:t>
            </w:r>
          </w:p>
          <w:p w:rsidR="003B594D" w:rsidRPr="00343904" w:rsidRDefault="003B594D" w:rsidP="003B594D">
            <w:pPr>
              <w:pStyle w:val="af2"/>
              <w:jc w:val="center"/>
              <w:rPr>
                <w:b/>
                <w:bCs/>
                <w:caps/>
                <w:color w:val="4D4D4D"/>
                <w:sz w:val="92"/>
                <w:szCs w:val="72"/>
              </w:rPr>
            </w:pPr>
          </w:p>
          <w:p w:rsidR="003B594D" w:rsidRPr="00343904" w:rsidRDefault="003B594D" w:rsidP="003B594D">
            <w:pPr>
              <w:pStyle w:val="af2"/>
              <w:jc w:val="center"/>
              <w:rPr>
                <w:b/>
                <w:bCs/>
                <w:caps/>
                <w:color w:val="4D4D4D"/>
                <w:sz w:val="32"/>
                <w:szCs w:val="72"/>
              </w:rPr>
            </w:pPr>
          </w:p>
          <w:p w:rsidR="003B594D" w:rsidRPr="00343904" w:rsidRDefault="003B594D" w:rsidP="003B594D">
            <w:pPr>
              <w:pStyle w:val="af2"/>
              <w:jc w:val="center"/>
              <w:rPr>
                <w:b/>
                <w:bCs/>
                <w:caps/>
                <w:color w:val="4D4D4D"/>
                <w:sz w:val="32"/>
                <w:szCs w:val="72"/>
              </w:rPr>
            </w:pPr>
          </w:p>
          <w:p w:rsidR="003B594D" w:rsidRPr="00343904" w:rsidRDefault="003B594D" w:rsidP="003B594D">
            <w:pPr>
              <w:pStyle w:val="af2"/>
              <w:jc w:val="center"/>
              <w:rPr>
                <w:b/>
                <w:bCs/>
                <w:caps/>
                <w:color w:val="4D4D4D"/>
                <w:sz w:val="32"/>
                <w:szCs w:val="72"/>
              </w:rPr>
            </w:pPr>
            <w:r w:rsidRPr="00343904">
              <w:rPr>
                <w:b/>
                <w:bCs/>
                <w:caps/>
                <w:color w:val="4D4D4D"/>
                <w:sz w:val="32"/>
                <w:szCs w:val="72"/>
              </w:rPr>
              <w:t>κατατέθηκε στη</w:t>
            </w:r>
          </w:p>
          <w:p w:rsidR="003B594D" w:rsidRDefault="003B594D" w:rsidP="003B594D">
            <w:pPr>
              <w:pStyle w:val="af2"/>
              <w:jc w:val="center"/>
              <w:rPr>
                <w:b/>
                <w:bCs/>
                <w:caps/>
                <w:color w:val="4D4D4D"/>
                <w:sz w:val="32"/>
                <w:szCs w:val="72"/>
              </w:rPr>
            </w:pPr>
            <w:r>
              <w:rPr>
                <w:b/>
                <w:bCs/>
                <w:caps/>
                <w:color w:val="4D4D4D"/>
                <w:sz w:val="32"/>
                <w:szCs w:val="72"/>
              </w:rPr>
              <w:t>ΔΙΑΡΚΗ ΕΠΙΤΡΟΠΗ ΟΙΚΟΝΟΜΙΚΩΝ ΥΠΟΘΕΣΕΩΝ</w:t>
            </w:r>
          </w:p>
          <w:p w:rsidR="003B594D" w:rsidRPr="00343904" w:rsidRDefault="003B594D" w:rsidP="003B594D">
            <w:pPr>
              <w:pStyle w:val="af2"/>
              <w:jc w:val="center"/>
              <w:rPr>
                <w:b/>
                <w:bCs/>
                <w:caps/>
                <w:color w:val="4D4D4D"/>
                <w:sz w:val="32"/>
                <w:szCs w:val="72"/>
              </w:rPr>
            </w:pPr>
            <w:r>
              <w:rPr>
                <w:b/>
                <w:bCs/>
                <w:caps/>
                <w:color w:val="4D4D4D"/>
                <w:sz w:val="32"/>
                <w:szCs w:val="72"/>
              </w:rPr>
              <w:t xml:space="preserve"> της </w:t>
            </w:r>
            <w:r w:rsidRPr="00343904">
              <w:rPr>
                <w:b/>
                <w:bCs/>
                <w:caps/>
                <w:color w:val="4D4D4D"/>
                <w:sz w:val="32"/>
                <w:szCs w:val="72"/>
              </w:rPr>
              <w:t>Βουλη</w:t>
            </w:r>
            <w:r>
              <w:rPr>
                <w:b/>
                <w:bCs/>
                <w:caps/>
                <w:color w:val="4D4D4D"/>
                <w:sz w:val="32"/>
                <w:szCs w:val="72"/>
              </w:rPr>
              <w:t>Σ</w:t>
            </w:r>
            <w:r w:rsidRPr="00343904">
              <w:rPr>
                <w:b/>
                <w:bCs/>
                <w:caps/>
                <w:color w:val="4D4D4D"/>
                <w:sz w:val="32"/>
                <w:szCs w:val="72"/>
              </w:rPr>
              <w:t xml:space="preserve"> </w:t>
            </w:r>
            <w:r w:rsidRPr="00343904">
              <w:rPr>
                <w:b/>
                <w:bCs/>
                <w:caps/>
                <w:color w:val="4D4D4D"/>
                <w:sz w:val="32"/>
                <w:szCs w:val="72"/>
                <w:lang w:val="en-US"/>
              </w:rPr>
              <w:t>T</w:t>
            </w:r>
            <w:r w:rsidRPr="00343904">
              <w:rPr>
                <w:b/>
                <w:bCs/>
                <w:caps/>
                <w:color w:val="4D4D4D"/>
                <w:sz w:val="32"/>
                <w:szCs w:val="72"/>
              </w:rPr>
              <w:t>ΩΝ ΕΛΛΗΝΩΝ</w:t>
            </w:r>
          </w:p>
          <w:p w:rsidR="003B594D" w:rsidRPr="00343904" w:rsidRDefault="003B594D" w:rsidP="003B594D">
            <w:pPr>
              <w:pStyle w:val="af2"/>
              <w:jc w:val="center"/>
              <w:rPr>
                <w:b/>
                <w:bCs/>
                <w:caps/>
                <w:color w:val="4D4D4D"/>
                <w:sz w:val="32"/>
                <w:szCs w:val="72"/>
              </w:rPr>
            </w:pPr>
          </w:p>
          <w:p w:rsidR="003B594D" w:rsidRPr="00343904" w:rsidRDefault="003B594D" w:rsidP="003B594D">
            <w:pPr>
              <w:pStyle w:val="af2"/>
              <w:jc w:val="center"/>
              <w:rPr>
                <w:b/>
                <w:bCs/>
                <w:caps/>
                <w:color w:val="4D4D4D"/>
                <w:sz w:val="32"/>
                <w:szCs w:val="72"/>
              </w:rPr>
            </w:pPr>
          </w:p>
          <w:p w:rsidR="003B594D" w:rsidRPr="00343904" w:rsidRDefault="003B594D" w:rsidP="003B594D">
            <w:pPr>
              <w:pStyle w:val="af2"/>
              <w:jc w:val="center"/>
              <w:rPr>
                <w:b/>
                <w:bCs/>
                <w:caps/>
                <w:color w:val="4D4D4D"/>
                <w:sz w:val="32"/>
                <w:szCs w:val="72"/>
              </w:rPr>
            </w:pPr>
            <w:r w:rsidRPr="00343904">
              <w:rPr>
                <w:b/>
                <w:bCs/>
                <w:caps/>
                <w:color w:val="4D4D4D"/>
                <w:sz w:val="32"/>
                <w:szCs w:val="72"/>
              </w:rPr>
              <w:t>από τοΝ</w:t>
            </w:r>
          </w:p>
          <w:p w:rsidR="003B594D" w:rsidRPr="00343904" w:rsidRDefault="003B594D" w:rsidP="003B594D">
            <w:pPr>
              <w:pStyle w:val="af2"/>
              <w:jc w:val="center"/>
              <w:rPr>
                <w:b/>
                <w:bCs/>
                <w:caps/>
                <w:color w:val="4D4D4D"/>
                <w:sz w:val="32"/>
                <w:szCs w:val="72"/>
              </w:rPr>
            </w:pPr>
            <w:r w:rsidRPr="00343904">
              <w:rPr>
                <w:b/>
                <w:bCs/>
                <w:caps/>
                <w:color w:val="4D4D4D"/>
                <w:sz w:val="32"/>
                <w:szCs w:val="72"/>
              </w:rPr>
              <w:t>ΕΥΚΛΕΙΔΗ ΤΣΑΚΑΛΩΤΟ</w:t>
            </w:r>
          </w:p>
          <w:p w:rsidR="003B594D" w:rsidRPr="00343904" w:rsidRDefault="003B594D" w:rsidP="003B594D">
            <w:pPr>
              <w:pStyle w:val="af2"/>
              <w:jc w:val="center"/>
              <w:rPr>
                <w:b/>
                <w:bCs/>
                <w:caps/>
                <w:color w:val="4D4D4D"/>
                <w:sz w:val="32"/>
                <w:szCs w:val="72"/>
              </w:rPr>
            </w:pPr>
            <w:r w:rsidRPr="00343904">
              <w:rPr>
                <w:b/>
                <w:bCs/>
                <w:caps/>
                <w:color w:val="4D4D4D"/>
                <w:sz w:val="32"/>
                <w:szCs w:val="72"/>
              </w:rPr>
              <w:t>υπουργο οικονομικων</w:t>
            </w:r>
          </w:p>
          <w:p w:rsidR="003B594D" w:rsidRPr="00343904" w:rsidRDefault="003B594D" w:rsidP="003B594D">
            <w:pPr>
              <w:pStyle w:val="af2"/>
              <w:jc w:val="center"/>
              <w:rPr>
                <w:b/>
                <w:bCs/>
                <w:caps/>
                <w:color w:val="4D4D4D"/>
                <w:sz w:val="38"/>
                <w:szCs w:val="72"/>
              </w:rPr>
            </w:pPr>
          </w:p>
          <w:p w:rsidR="003B594D" w:rsidRPr="00343904" w:rsidRDefault="003B594D" w:rsidP="003B594D">
            <w:pPr>
              <w:pStyle w:val="af2"/>
              <w:jc w:val="center"/>
              <w:rPr>
                <w:b/>
                <w:bCs/>
                <w:caps/>
                <w:color w:val="4D4D4D"/>
                <w:sz w:val="38"/>
                <w:szCs w:val="72"/>
              </w:rPr>
            </w:pPr>
          </w:p>
          <w:p w:rsidR="003B594D" w:rsidRPr="00343904" w:rsidRDefault="003B594D" w:rsidP="003B594D">
            <w:pPr>
              <w:pStyle w:val="af2"/>
              <w:jc w:val="center"/>
              <w:rPr>
                <w:b/>
                <w:bCs/>
                <w:caps/>
                <w:color w:val="4D4D4D"/>
                <w:sz w:val="28"/>
                <w:szCs w:val="72"/>
              </w:rPr>
            </w:pPr>
          </w:p>
          <w:p w:rsidR="003B594D" w:rsidRPr="00343904" w:rsidRDefault="003B594D" w:rsidP="003B594D">
            <w:pPr>
              <w:pStyle w:val="af2"/>
              <w:jc w:val="center"/>
              <w:rPr>
                <w:b/>
                <w:bCs/>
                <w:caps/>
                <w:color w:val="4D4D4D"/>
                <w:sz w:val="28"/>
                <w:szCs w:val="72"/>
              </w:rPr>
            </w:pPr>
          </w:p>
          <w:p w:rsidR="003B594D" w:rsidRPr="00343904" w:rsidRDefault="003B594D" w:rsidP="003B594D">
            <w:pPr>
              <w:pStyle w:val="af2"/>
              <w:jc w:val="center"/>
              <w:rPr>
                <w:b/>
                <w:bCs/>
                <w:caps/>
                <w:color w:val="4D4D4D"/>
                <w:sz w:val="28"/>
                <w:szCs w:val="72"/>
              </w:rPr>
            </w:pPr>
          </w:p>
          <w:p w:rsidR="003B594D" w:rsidRPr="00CE1679" w:rsidRDefault="003B594D" w:rsidP="003B594D">
            <w:pPr>
              <w:pStyle w:val="af2"/>
              <w:jc w:val="center"/>
              <w:rPr>
                <w:b/>
                <w:bCs/>
                <w:caps/>
                <w:color w:val="4D4D4D"/>
                <w:sz w:val="28"/>
                <w:szCs w:val="72"/>
              </w:rPr>
            </w:pPr>
          </w:p>
          <w:p w:rsidR="003B594D" w:rsidRPr="003C7933" w:rsidRDefault="003B594D" w:rsidP="003B594D">
            <w:pPr>
              <w:pStyle w:val="af2"/>
              <w:jc w:val="center"/>
              <w:rPr>
                <w:b/>
                <w:bCs/>
                <w:caps/>
                <w:color w:val="4D4D4D"/>
                <w:sz w:val="28"/>
                <w:szCs w:val="72"/>
              </w:rPr>
            </w:pPr>
          </w:p>
          <w:p w:rsidR="003B594D" w:rsidRPr="00343904" w:rsidRDefault="003B594D" w:rsidP="003B594D">
            <w:pPr>
              <w:pStyle w:val="af2"/>
              <w:jc w:val="center"/>
              <w:rPr>
                <w:b/>
                <w:bCs/>
                <w:caps/>
                <w:color w:val="4D4D4D"/>
                <w:sz w:val="28"/>
                <w:szCs w:val="72"/>
              </w:rPr>
            </w:pPr>
          </w:p>
          <w:p w:rsidR="003B594D" w:rsidRPr="008225AB" w:rsidRDefault="003B594D" w:rsidP="003B594D">
            <w:pPr>
              <w:pStyle w:val="af2"/>
              <w:jc w:val="center"/>
            </w:pPr>
            <w:r w:rsidRPr="00343904">
              <w:rPr>
                <w:b/>
                <w:bCs/>
                <w:caps/>
                <w:color w:val="4D4D4D"/>
                <w:sz w:val="28"/>
                <w:szCs w:val="72"/>
              </w:rPr>
              <w:t>αθηνα, οκτωβριοσ 201</w:t>
            </w:r>
            <w:r w:rsidRPr="008225AB">
              <w:rPr>
                <w:b/>
                <w:bCs/>
                <w:caps/>
                <w:color w:val="4D4D4D"/>
                <w:sz w:val="28"/>
                <w:szCs w:val="72"/>
              </w:rPr>
              <w:t>7</w:t>
            </w:r>
          </w:p>
        </w:tc>
      </w:tr>
    </w:tbl>
    <w:p w:rsidR="003B594D" w:rsidRPr="004213BC" w:rsidRDefault="003B594D" w:rsidP="003B594D"/>
    <w:p w:rsidR="003B594D" w:rsidRPr="004213BC" w:rsidRDefault="003B594D"/>
    <w:p w:rsidR="003B594D" w:rsidRPr="004213BC" w:rsidRDefault="003B594D"/>
    <w:p w:rsidR="00953FD4" w:rsidRDefault="00953FD4">
      <w:pPr>
        <w:rPr>
          <w:b/>
        </w:rPr>
      </w:pPr>
      <w:r>
        <w:rPr>
          <w:b/>
        </w:rPr>
        <w:br w:type="page"/>
      </w:r>
    </w:p>
    <w:p w:rsidR="000E7FE0" w:rsidRPr="000E7FE0" w:rsidRDefault="000E7FE0" w:rsidP="000E7FE0">
      <w:pPr>
        <w:spacing w:after="200" w:line="276" w:lineRule="auto"/>
        <w:jc w:val="center"/>
        <w:rPr>
          <w:rFonts w:asciiTheme="minorHAnsi" w:eastAsiaTheme="minorHAnsi" w:hAnsiTheme="minorHAnsi" w:cstheme="minorBidi"/>
          <w:sz w:val="22"/>
          <w:szCs w:val="22"/>
          <w:lang w:eastAsia="en-US"/>
        </w:rPr>
      </w:pPr>
      <w:r w:rsidRPr="000E7FE0">
        <w:rPr>
          <w:rFonts w:asciiTheme="minorHAnsi" w:eastAsiaTheme="minorHAnsi" w:hAnsiTheme="minorHAnsi" w:cstheme="minorBidi"/>
          <w:sz w:val="22"/>
          <w:szCs w:val="22"/>
          <w:lang w:eastAsia="en-US"/>
        </w:rPr>
        <w:lastRenderedPageBreak/>
        <w:t>Προς τα μέλη της Διαρκούς  Επιτροπής Οικονομικών Υποθέσεων της Βουλής</w:t>
      </w:r>
    </w:p>
    <w:p w:rsidR="000E7FE0" w:rsidRPr="000E7FE0" w:rsidRDefault="000E7FE0" w:rsidP="000E7FE0">
      <w:pPr>
        <w:spacing w:after="200" w:line="276" w:lineRule="auto"/>
        <w:jc w:val="center"/>
        <w:rPr>
          <w:rFonts w:asciiTheme="minorHAnsi" w:eastAsiaTheme="minorHAnsi" w:hAnsiTheme="minorHAnsi" w:cstheme="minorBidi"/>
          <w:sz w:val="22"/>
          <w:szCs w:val="22"/>
          <w:lang w:eastAsia="en-US"/>
        </w:rPr>
      </w:pPr>
    </w:p>
    <w:p w:rsidR="000E7FE0" w:rsidRPr="000E7FE0" w:rsidRDefault="000E7FE0" w:rsidP="000E7FE0">
      <w:pPr>
        <w:spacing w:after="200" w:line="276" w:lineRule="auto"/>
        <w:jc w:val="both"/>
        <w:rPr>
          <w:rFonts w:asciiTheme="minorHAnsi" w:eastAsiaTheme="minorHAnsi" w:hAnsiTheme="minorHAnsi" w:cstheme="minorBidi"/>
          <w:sz w:val="22"/>
          <w:szCs w:val="22"/>
          <w:lang w:eastAsia="en-US"/>
        </w:rPr>
      </w:pPr>
      <w:r w:rsidRPr="000E7FE0">
        <w:rPr>
          <w:rFonts w:asciiTheme="minorHAnsi" w:eastAsiaTheme="minorHAnsi" w:hAnsiTheme="minorHAnsi" w:cstheme="minorBidi"/>
          <w:sz w:val="22"/>
          <w:szCs w:val="22"/>
          <w:lang w:eastAsia="en-US"/>
        </w:rPr>
        <w:t>Κυρίες και Κύριοι Βουλευτές</w:t>
      </w:r>
    </w:p>
    <w:p w:rsidR="000E7FE0" w:rsidRPr="000E7FE0" w:rsidRDefault="000E7FE0" w:rsidP="000E7FE0">
      <w:pPr>
        <w:spacing w:after="200" w:line="276" w:lineRule="auto"/>
        <w:jc w:val="both"/>
        <w:rPr>
          <w:rFonts w:asciiTheme="minorHAnsi" w:eastAsiaTheme="minorHAnsi" w:hAnsiTheme="minorHAnsi" w:cstheme="minorBidi"/>
          <w:sz w:val="22"/>
          <w:szCs w:val="22"/>
          <w:lang w:eastAsia="en-US"/>
        </w:rPr>
      </w:pPr>
      <w:r w:rsidRPr="000E7FE0">
        <w:rPr>
          <w:rFonts w:asciiTheme="minorHAnsi" w:eastAsiaTheme="minorHAnsi" w:hAnsiTheme="minorHAnsi" w:cstheme="minorBidi"/>
          <w:sz w:val="22"/>
          <w:szCs w:val="22"/>
          <w:lang w:eastAsia="en-US"/>
        </w:rPr>
        <w:t>Καταθέτουμε προς συζήτηση στη Διαρκή Επιτροπή Οικονομικών Υποθέσεων της Βουλής το Προσχ</w:t>
      </w:r>
      <w:r w:rsidRPr="000E7FE0">
        <w:rPr>
          <w:rFonts w:asciiTheme="minorHAnsi" w:eastAsiaTheme="minorHAnsi" w:hAnsiTheme="minorHAnsi" w:cstheme="minorBidi"/>
          <w:sz w:val="22"/>
          <w:szCs w:val="22"/>
          <w:lang w:eastAsia="en-US"/>
        </w:rPr>
        <w:t>έ</w:t>
      </w:r>
      <w:r w:rsidRPr="000E7FE0">
        <w:rPr>
          <w:rFonts w:asciiTheme="minorHAnsi" w:eastAsiaTheme="minorHAnsi" w:hAnsiTheme="minorHAnsi" w:cstheme="minorBidi"/>
          <w:sz w:val="22"/>
          <w:szCs w:val="22"/>
          <w:lang w:eastAsia="en-US"/>
        </w:rPr>
        <w:t xml:space="preserve">διο του Κρατικού Προϋπολογισμού για το έτος 2018, έτος που θα σηματοδοτήσει την επιτυχή έξοδο της χώρας από μία μακρά περίοδο προγραμμάτων μακροοικονομικής προσαρμογής.  </w:t>
      </w:r>
    </w:p>
    <w:p w:rsidR="000E7FE0" w:rsidRPr="000E7FE0" w:rsidRDefault="000E7FE0" w:rsidP="000E7FE0">
      <w:pPr>
        <w:spacing w:after="200" w:line="276" w:lineRule="auto"/>
        <w:jc w:val="both"/>
        <w:rPr>
          <w:rFonts w:asciiTheme="minorHAnsi" w:eastAsiaTheme="minorHAnsi" w:hAnsiTheme="minorHAnsi" w:cstheme="minorBidi"/>
          <w:sz w:val="22"/>
          <w:szCs w:val="22"/>
          <w:lang w:eastAsia="en-US"/>
        </w:rPr>
      </w:pPr>
      <w:r w:rsidRPr="000E7FE0">
        <w:rPr>
          <w:rFonts w:asciiTheme="minorHAnsi" w:eastAsiaTheme="minorHAnsi" w:hAnsiTheme="minorHAnsi" w:cstheme="minorBidi"/>
          <w:sz w:val="22"/>
          <w:szCs w:val="22"/>
          <w:lang w:eastAsia="en-US"/>
        </w:rPr>
        <w:t>Η σημαντική υπέρβαση των στόχων που επιτεύχθηκε κατά τα δύο προηγούμενα έτη, αλλά και εκε</w:t>
      </w:r>
      <w:r w:rsidRPr="000E7FE0">
        <w:rPr>
          <w:rFonts w:asciiTheme="minorHAnsi" w:eastAsiaTheme="minorHAnsi" w:hAnsiTheme="minorHAnsi" w:cstheme="minorBidi"/>
          <w:sz w:val="22"/>
          <w:szCs w:val="22"/>
          <w:lang w:eastAsia="en-US"/>
        </w:rPr>
        <w:t>ί</w:t>
      </w:r>
      <w:r w:rsidRPr="000E7FE0">
        <w:rPr>
          <w:rFonts w:asciiTheme="minorHAnsi" w:eastAsiaTheme="minorHAnsi" w:hAnsiTheme="minorHAnsi" w:cstheme="minorBidi"/>
          <w:sz w:val="22"/>
          <w:szCs w:val="22"/>
          <w:lang w:eastAsia="en-US"/>
        </w:rPr>
        <w:t>νη που αναμένεται για το τρέχον έτος (πλεόνασμα 2,21% έναντι στόχου 1,75% του ΑΕΠ), έχουν συ</w:t>
      </w:r>
      <w:r w:rsidRPr="000E7FE0">
        <w:rPr>
          <w:rFonts w:asciiTheme="minorHAnsi" w:eastAsiaTheme="minorHAnsi" w:hAnsiTheme="minorHAnsi" w:cstheme="minorBidi"/>
          <w:sz w:val="22"/>
          <w:szCs w:val="22"/>
          <w:lang w:eastAsia="en-US"/>
        </w:rPr>
        <w:t>μ</w:t>
      </w:r>
      <w:r w:rsidRPr="000E7FE0">
        <w:rPr>
          <w:rFonts w:asciiTheme="minorHAnsi" w:eastAsiaTheme="minorHAnsi" w:hAnsiTheme="minorHAnsi" w:cstheme="minorBidi"/>
          <w:sz w:val="22"/>
          <w:szCs w:val="22"/>
          <w:lang w:eastAsia="en-US"/>
        </w:rPr>
        <w:t>βάλει στην αποκατάσταση της διεθνούς αξιοπιστίας στα ελληνικά δημόσια οικονομικά και δημιου</w:t>
      </w:r>
      <w:r w:rsidRPr="000E7FE0">
        <w:rPr>
          <w:rFonts w:asciiTheme="minorHAnsi" w:eastAsiaTheme="minorHAnsi" w:hAnsiTheme="minorHAnsi" w:cstheme="minorBidi"/>
          <w:sz w:val="22"/>
          <w:szCs w:val="22"/>
          <w:lang w:eastAsia="en-US"/>
        </w:rPr>
        <w:t>ρ</w:t>
      </w:r>
      <w:r w:rsidRPr="000E7FE0">
        <w:rPr>
          <w:rFonts w:asciiTheme="minorHAnsi" w:eastAsiaTheme="minorHAnsi" w:hAnsiTheme="minorHAnsi" w:cstheme="minorBidi"/>
          <w:sz w:val="22"/>
          <w:szCs w:val="22"/>
          <w:lang w:eastAsia="en-US"/>
        </w:rPr>
        <w:t>γούν στέρεες βάσεις για την επιστροφή της χώρας στις διεθνείς αγορές κεφαλαίων με τρόπο διατ</w:t>
      </w:r>
      <w:r w:rsidRPr="000E7FE0">
        <w:rPr>
          <w:rFonts w:asciiTheme="minorHAnsi" w:eastAsiaTheme="minorHAnsi" w:hAnsiTheme="minorHAnsi" w:cstheme="minorBidi"/>
          <w:sz w:val="22"/>
          <w:szCs w:val="22"/>
          <w:lang w:eastAsia="en-US"/>
        </w:rPr>
        <w:t>η</w:t>
      </w:r>
      <w:r w:rsidRPr="000E7FE0">
        <w:rPr>
          <w:rFonts w:asciiTheme="minorHAnsi" w:eastAsiaTheme="minorHAnsi" w:hAnsiTheme="minorHAnsi" w:cstheme="minorBidi"/>
          <w:sz w:val="22"/>
          <w:szCs w:val="22"/>
          <w:lang w:eastAsia="en-US"/>
        </w:rPr>
        <w:t>ρήσιμο.</w:t>
      </w:r>
    </w:p>
    <w:p w:rsidR="000E7FE0" w:rsidRPr="000E7FE0" w:rsidRDefault="000E7FE0" w:rsidP="000E7FE0">
      <w:pPr>
        <w:spacing w:after="200" w:line="276" w:lineRule="auto"/>
        <w:jc w:val="both"/>
        <w:rPr>
          <w:rFonts w:asciiTheme="minorHAnsi" w:eastAsiaTheme="minorHAnsi" w:hAnsiTheme="minorHAnsi" w:cstheme="minorBidi"/>
          <w:sz w:val="22"/>
          <w:szCs w:val="22"/>
          <w:lang w:eastAsia="en-US"/>
        </w:rPr>
      </w:pPr>
      <w:r w:rsidRPr="000E7FE0">
        <w:rPr>
          <w:rFonts w:asciiTheme="minorHAnsi" w:eastAsiaTheme="minorHAnsi" w:hAnsiTheme="minorHAnsi" w:cstheme="minorBidi"/>
          <w:sz w:val="22"/>
          <w:szCs w:val="22"/>
          <w:lang w:eastAsia="en-US"/>
        </w:rPr>
        <w:t>Για το 2018, το πρωτογενές πλεόνασμα προβλέπεται να διαμορφωθεί στο 3,57% του ΑΕΠ, ποσοστό που είναι συμβατό με τους στόχους του προγράμματος δημοσιονομικής προσαρμογής.</w:t>
      </w:r>
    </w:p>
    <w:p w:rsidR="000E7FE0" w:rsidRPr="000E7FE0" w:rsidRDefault="000E7FE0" w:rsidP="000E7FE0">
      <w:pPr>
        <w:spacing w:after="200" w:line="276" w:lineRule="auto"/>
        <w:jc w:val="both"/>
        <w:rPr>
          <w:rFonts w:asciiTheme="minorHAnsi" w:eastAsiaTheme="minorHAnsi" w:hAnsiTheme="minorHAnsi" w:cstheme="minorBidi"/>
          <w:sz w:val="22"/>
          <w:szCs w:val="22"/>
          <w:lang w:eastAsia="en-US"/>
        </w:rPr>
      </w:pPr>
      <w:r w:rsidRPr="000E7FE0">
        <w:rPr>
          <w:rFonts w:asciiTheme="minorHAnsi" w:eastAsiaTheme="minorHAnsi" w:hAnsiTheme="minorHAnsi" w:cstheme="minorBidi"/>
          <w:sz w:val="22"/>
          <w:szCs w:val="22"/>
          <w:lang w:eastAsia="en-US"/>
        </w:rPr>
        <w:t xml:space="preserve">Αξίζει να σημειωθεί ότι η αναγκαία δημοσιονομική προσαρμογή των ετών 2015-2018 συνοδεύτηκε από τη σταδιακή ενίσχυση της προστασίας των οικονομικά ευάλωτων στρωμάτων με την πλήρη </w:t>
      </w:r>
      <w:r w:rsidRPr="000E7FE0">
        <w:rPr>
          <w:rFonts w:asciiTheme="minorHAnsi" w:eastAsiaTheme="minorHAnsi" w:hAnsiTheme="minorHAnsi" w:cstheme="minorBidi"/>
          <w:sz w:val="22"/>
          <w:szCs w:val="22"/>
          <w:lang w:eastAsia="en-US"/>
        </w:rPr>
        <w:t>α</w:t>
      </w:r>
      <w:r w:rsidRPr="000E7FE0">
        <w:rPr>
          <w:rFonts w:asciiTheme="minorHAnsi" w:eastAsiaTheme="minorHAnsi" w:hAnsiTheme="minorHAnsi" w:cstheme="minorBidi"/>
          <w:sz w:val="22"/>
          <w:szCs w:val="22"/>
          <w:lang w:eastAsia="en-US"/>
        </w:rPr>
        <w:t>νάπτυξη εργαλείων όπως το Κοινωνικό Εισόδημα Αλληλεγγύης, αλλά και παρεμβάσεων κοινωνικής πολιτικής στον κρίσιμο τομέα αντιμετώπισης της παιδικής φτώχειας, που για το έτος 2018 θα χρ</w:t>
      </w:r>
      <w:r w:rsidRPr="000E7FE0">
        <w:rPr>
          <w:rFonts w:asciiTheme="minorHAnsi" w:eastAsiaTheme="minorHAnsi" w:hAnsiTheme="minorHAnsi" w:cstheme="minorBidi"/>
          <w:sz w:val="22"/>
          <w:szCs w:val="22"/>
          <w:lang w:eastAsia="en-US"/>
        </w:rPr>
        <w:t>η</w:t>
      </w:r>
      <w:r w:rsidRPr="000E7FE0">
        <w:rPr>
          <w:rFonts w:asciiTheme="minorHAnsi" w:eastAsiaTheme="minorHAnsi" w:hAnsiTheme="minorHAnsi" w:cstheme="minorBidi"/>
          <w:sz w:val="22"/>
          <w:szCs w:val="22"/>
          <w:lang w:eastAsia="en-US"/>
        </w:rPr>
        <w:t>ματοδοτηθούν πλήρως από τις εξοικονομήσεις που προκύπτουν από την επισκόπηση των πρωτογ</w:t>
      </w:r>
      <w:r w:rsidRPr="000E7FE0">
        <w:rPr>
          <w:rFonts w:asciiTheme="minorHAnsi" w:eastAsiaTheme="minorHAnsi" w:hAnsiTheme="minorHAnsi" w:cstheme="minorBidi"/>
          <w:sz w:val="22"/>
          <w:szCs w:val="22"/>
          <w:lang w:eastAsia="en-US"/>
        </w:rPr>
        <w:t>ε</w:t>
      </w:r>
      <w:r w:rsidRPr="000E7FE0">
        <w:rPr>
          <w:rFonts w:asciiTheme="minorHAnsi" w:eastAsiaTheme="minorHAnsi" w:hAnsiTheme="minorHAnsi" w:cstheme="minorBidi"/>
          <w:sz w:val="22"/>
          <w:szCs w:val="22"/>
          <w:lang w:eastAsia="en-US"/>
        </w:rPr>
        <w:t xml:space="preserve">νών λειτουργικών δαπανών. </w:t>
      </w:r>
    </w:p>
    <w:p w:rsidR="000E7FE0" w:rsidRPr="000E7FE0" w:rsidRDefault="000E7FE0" w:rsidP="000E7FE0">
      <w:pPr>
        <w:spacing w:after="200" w:line="276" w:lineRule="auto"/>
        <w:jc w:val="both"/>
        <w:rPr>
          <w:rFonts w:asciiTheme="minorHAnsi" w:eastAsiaTheme="minorHAnsi" w:hAnsiTheme="minorHAnsi" w:cstheme="minorBidi"/>
          <w:sz w:val="22"/>
          <w:szCs w:val="22"/>
          <w:lang w:eastAsia="en-US"/>
        </w:rPr>
      </w:pPr>
      <w:r w:rsidRPr="000E7FE0">
        <w:rPr>
          <w:rFonts w:asciiTheme="minorHAnsi" w:eastAsiaTheme="minorHAnsi" w:hAnsiTheme="minorHAnsi" w:cstheme="minorBidi"/>
          <w:sz w:val="22"/>
          <w:szCs w:val="22"/>
          <w:lang w:eastAsia="en-US"/>
        </w:rPr>
        <w:t>Στα έτη που ακολουθούν, οι ρυθμοί οικονομικής μεγέθυνσης, που προβλέπει το Μεσοπρόθεσμο Πλαίσιο Δημοσιονομικής Στρατηγικής 2018-2021, είναι επαρκείς για να εξασφαλίζουν τον δημοσι</w:t>
      </w:r>
      <w:r w:rsidRPr="000E7FE0">
        <w:rPr>
          <w:rFonts w:asciiTheme="minorHAnsi" w:eastAsiaTheme="minorHAnsi" w:hAnsiTheme="minorHAnsi" w:cstheme="minorBidi"/>
          <w:sz w:val="22"/>
          <w:szCs w:val="22"/>
          <w:lang w:eastAsia="en-US"/>
        </w:rPr>
        <w:t>ο</w:t>
      </w:r>
      <w:r w:rsidRPr="000E7FE0">
        <w:rPr>
          <w:rFonts w:asciiTheme="minorHAnsi" w:eastAsiaTheme="minorHAnsi" w:hAnsiTheme="minorHAnsi" w:cstheme="minorBidi"/>
          <w:sz w:val="22"/>
          <w:szCs w:val="22"/>
          <w:lang w:eastAsia="en-US"/>
        </w:rPr>
        <w:t>νομικό χώρο, ώστε να εφαρμοστούν οι μειώσεις φορολογικών συντελεστών νοικοκυριών και επιχε</w:t>
      </w:r>
      <w:r w:rsidRPr="000E7FE0">
        <w:rPr>
          <w:rFonts w:asciiTheme="minorHAnsi" w:eastAsiaTheme="minorHAnsi" w:hAnsiTheme="minorHAnsi" w:cstheme="minorBidi"/>
          <w:sz w:val="22"/>
          <w:szCs w:val="22"/>
          <w:lang w:eastAsia="en-US"/>
        </w:rPr>
        <w:t>ι</w:t>
      </w:r>
      <w:r w:rsidRPr="000E7FE0">
        <w:rPr>
          <w:rFonts w:asciiTheme="minorHAnsi" w:eastAsiaTheme="minorHAnsi" w:hAnsiTheme="minorHAnsi" w:cstheme="minorBidi"/>
          <w:sz w:val="22"/>
          <w:szCs w:val="22"/>
          <w:lang w:eastAsia="en-US"/>
        </w:rPr>
        <w:t>ρήσεων.</w:t>
      </w:r>
    </w:p>
    <w:p w:rsidR="000E7FE0" w:rsidRPr="000E7FE0" w:rsidRDefault="000E7FE0" w:rsidP="000E7FE0">
      <w:pPr>
        <w:spacing w:after="200" w:line="276" w:lineRule="auto"/>
        <w:jc w:val="both"/>
        <w:rPr>
          <w:rFonts w:asciiTheme="minorHAnsi" w:eastAsiaTheme="minorHAnsi" w:hAnsiTheme="minorHAnsi" w:cstheme="minorBidi"/>
          <w:sz w:val="22"/>
          <w:szCs w:val="22"/>
          <w:lang w:eastAsia="en-US"/>
        </w:rPr>
      </w:pPr>
      <w:r w:rsidRPr="000E7FE0">
        <w:rPr>
          <w:rFonts w:asciiTheme="minorHAnsi" w:eastAsiaTheme="minorHAnsi" w:hAnsiTheme="minorHAnsi" w:cstheme="minorBidi"/>
          <w:sz w:val="22"/>
          <w:szCs w:val="22"/>
          <w:lang w:eastAsia="en-US"/>
        </w:rPr>
        <w:t>Κυρίες και Κύριοι Βουλευτές,</w:t>
      </w:r>
    </w:p>
    <w:p w:rsidR="000E7FE0" w:rsidRPr="000E7FE0" w:rsidRDefault="000E7FE0" w:rsidP="000E7FE0">
      <w:pPr>
        <w:spacing w:after="200" w:line="276" w:lineRule="auto"/>
        <w:jc w:val="both"/>
        <w:rPr>
          <w:rFonts w:asciiTheme="minorHAnsi" w:eastAsiaTheme="minorHAnsi" w:hAnsiTheme="minorHAnsi" w:cstheme="minorBidi"/>
          <w:sz w:val="22"/>
          <w:szCs w:val="22"/>
          <w:lang w:eastAsia="en-US"/>
        </w:rPr>
      </w:pPr>
      <w:r w:rsidRPr="000E7FE0">
        <w:rPr>
          <w:rFonts w:asciiTheme="minorHAnsi" w:eastAsiaTheme="minorHAnsi" w:hAnsiTheme="minorHAnsi" w:cstheme="minorBidi"/>
          <w:sz w:val="22"/>
          <w:szCs w:val="22"/>
          <w:lang w:eastAsia="en-US"/>
        </w:rPr>
        <w:t>Η Κυβέρνηση, συνεπής στις δεσμεύσεις της τόσο απέναντι στους Έλληνες πολίτες όσο και απέναντι στους εταίρους της, συνεχίζει στο δρόμο της χρηστής δημοσιονομικής διαχείρισης με κοινωνική δ</w:t>
      </w:r>
      <w:r w:rsidRPr="000E7FE0">
        <w:rPr>
          <w:rFonts w:asciiTheme="minorHAnsi" w:eastAsiaTheme="minorHAnsi" w:hAnsiTheme="minorHAnsi" w:cstheme="minorBidi"/>
          <w:sz w:val="22"/>
          <w:szCs w:val="22"/>
          <w:lang w:eastAsia="en-US"/>
        </w:rPr>
        <w:t>ι</w:t>
      </w:r>
      <w:r w:rsidRPr="000E7FE0">
        <w:rPr>
          <w:rFonts w:asciiTheme="minorHAnsi" w:eastAsiaTheme="minorHAnsi" w:hAnsiTheme="minorHAnsi" w:cstheme="minorBidi"/>
          <w:sz w:val="22"/>
          <w:szCs w:val="22"/>
          <w:lang w:eastAsia="en-US"/>
        </w:rPr>
        <w:t>καιοσύνη.</w:t>
      </w:r>
    </w:p>
    <w:p w:rsidR="000E7FE0" w:rsidRDefault="000E7FE0" w:rsidP="000E7FE0">
      <w:pPr>
        <w:spacing w:after="200" w:line="276" w:lineRule="auto"/>
        <w:jc w:val="both"/>
        <w:rPr>
          <w:rFonts w:asciiTheme="minorHAnsi" w:eastAsiaTheme="minorHAnsi" w:hAnsiTheme="minorHAnsi" w:cstheme="minorBidi"/>
          <w:sz w:val="22"/>
          <w:szCs w:val="22"/>
          <w:lang w:eastAsia="en-US"/>
        </w:rPr>
      </w:pPr>
    </w:p>
    <w:p w:rsidR="000E7FE0" w:rsidRDefault="000E7FE0" w:rsidP="000E7FE0">
      <w:pPr>
        <w:spacing w:after="200" w:line="276"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Ευκλείδης </w:t>
      </w:r>
      <w:proofErr w:type="spellStart"/>
      <w:r>
        <w:rPr>
          <w:rFonts w:asciiTheme="minorHAnsi" w:eastAsiaTheme="minorHAnsi" w:hAnsiTheme="minorHAnsi" w:cstheme="minorBidi"/>
          <w:sz w:val="22"/>
          <w:szCs w:val="22"/>
          <w:lang w:eastAsia="en-US"/>
        </w:rPr>
        <w:t>Τσακαλώτος</w:t>
      </w:r>
      <w:proofErr w:type="spellEnd"/>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t xml:space="preserve">            Γιώργος </w:t>
      </w:r>
      <w:proofErr w:type="spellStart"/>
      <w:r>
        <w:rPr>
          <w:rFonts w:asciiTheme="minorHAnsi" w:eastAsiaTheme="minorHAnsi" w:hAnsiTheme="minorHAnsi" w:cstheme="minorBidi"/>
          <w:sz w:val="22"/>
          <w:szCs w:val="22"/>
          <w:lang w:eastAsia="en-US"/>
        </w:rPr>
        <w:t>Χουλιαράκης</w:t>
      </w:r>
      <w:proofErr w:type="spellEnd"/>
    </w:p>
    <w:p w:rsidR="000E7FE0" w:rsidRDefault="000E7FE0" w:rsidP="000E7FE0">
      <w:pPr>
        <w:spacing w:after="200" w:line="276"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Υπουργός Οικονομικών                                                                       Αναπληρωτής Υπουργός Οικονομικών</w:t>
      </w:r>
    </w:p>
    <w:p w:rsidR="000E7FE0" w:rsidRPr="000E7FE0" w:rsidRDefault="000E7FE0" w:rsidP="000E7FE0">
      <w:pPr>
        <w:spacing w:after="200" w:line="276" w:lineRule="auto"/>
        <w:jc w:val="both"/>
        <w:rPr>
          <w:rFonts w:asciiTheme="minorHAnsi" w:eastAsiaTheme="minorHAnsi" w:hAnsiTheme="minorHAnsi" w:cstheme="minorBidi"/>
          <w:sz w:val="22"/>
          <w:szCs w:val="22"/>
          <w:lang w:eastAsia="en-US"/>
        </w:rPr>
      </w:pPr>
    </w:p>
    <w:p w:rsidR="000E7FE0" w:rsidRPr="000E7FE0" w:rsidRDefault="000E7FE0" w:rsidP="000E7FE0">
      <w:pPr>
        <w:spacing w:after="200" w:line="276" w:lineRule="auto"/>
        <w:jc w:val="both"/>
        <w:rPr>
          <w:rFonts w:asciiTheme="minorHAnsi" w:eastAsiaTheme="minorHAnsi" w:hAnsiTheme="minorHAnsi" w:cstheme="minorBidi"/>
          <w:sz w:val="22"/>
          <w:szCs w:val="22"/>
          <w:lang w:eastAsia="en-US"/>
        </w:rPr>
      </w:pPr>
    </w:p>
    <w:p w:rsidR="003B594D" w:rsidRDefault="003B594D">
      <w:pPr>
        <w:rPr>
          <w:b/>
        </w:rPr>
      </w:pPr>
    </w:p>
    <w:p w:rsidR="00953FD4" w:rsidRDefault="00953FD4">
      <w:pPr>
        <w:rPr>
          <w:b/>
        </w:rPr>
      </w:pPr>
    </w:p>
    <w:p w:rsidR="00953FD4" w:rsidRDefault="00953FD4">
      <w:pPr>
        <w:rPr>
          <w:b/>
        </w:rPr>
      </w:pPr>
      <w:r>
        <w:rPr>
          <w:b/>
        </w:rPr>
        <w:br w:type="page"/>
      </w:r>
    </w:p>
    <w:p w:rsidR="004213BC" w:rsidRDefault="004213BC">
      <w:pPr>
        <w:rPr>
          <w:b/>
        </w:rPr>
      </w:pPr>
    </w:p>
    <w:p w:rsidR="004213BC" w:rsidRDefault="004213BC">
      <w:pPr>
        <w:rPr>
          <w:b/>
        </w:rPr>
      </w:pPr>
    </w:p>
    <w:p w:rsidR="00953FD4" w:rsidRDefault="00953FD4">
      <w:pPr>
        <w:rPr>
          <w:b/>
        </w:rPr>
      </w:pPr>
      <w:r>
        <w:rPr>
          <w:b/>
        </w:rPr>
        <w:br w:type="page"/>
      </w:r>
    </w:p>
    <w:p w:rsidR="00953FD4" w:rsidRPr="00953FD4" w:rsidRDefault="00953FD4" w:rsidP="00953FD4">
      <w:pPr>
        <w:jc w:val="both"/>
        <w:rPr>
          <w:rFonts w:ascii="Arial" w:hAnsi="Arial"/>
          <w:sz w:val="22"/>
          <w:szCs w:val="20"/>
        </w:rPr>
      </w:pPr>
    </w:p>
    <w:p w:rsidR="00953FD4" w:rsidRPr="00953FD4" w:rsidRDefault="00953FD4" w:rsidP="00953FD4">
      <w:pPr>
        <w:keepNext/>
        <w:jc w:val="center"/>
        <w:outlineLvl w:val="0"/>
        <w:rPr>
          <w:rFonts w:ascii="Arial Narrow" w:hAnsi="Arial Narrow"/>
          <w:color w:val="000080"/>
          <w:sz w:val="44"/>
          <w:szCs w:val="20"/>
        </w:rPr>
      </w:pPr>
      <w:r w:rsidRPr="00953FD4">
        <w:rPr>
          <w:rFonts w:ascii="Arial Narrow" w:hAnsi="Arial Narrow"/>
          <w:color w:val="000080"/>
          <w:sz w:val="44"/>
          <w:szCs w:val="20"/>
        </w:rPr>
        <w:t>Π ε ρ ι ε χ ό μ ε ν α</w:t>
      </w:r>
    </w:p>
    <w:p w:rsidR="00953FD4" w:rsidRPr="00953FD4" w:rsidRDefault="00953FD4" w:rsidP="00953FD4">
      <w:pPr>
        <w:jc w:val="both"/>
        <w:rPr>
          <w:rFonts w:ascii="Arial Narrow" w:hAnsi="Arial Narrow"/>
          <w:sz w:val="22"/>
          <w:szCs w:val="20"/>
        </w:rPr>
      </w:pPr>
    </w:p>
    <w:p w:rsidR="00953FD4" w:rsidRPr="00953FD4" w:rsidRDefault="00953FD4" w:rsidP="00953FD4">
      <w:pPr>
        <w:jc w:val="both"/>
        <w:rPr>
          <w:rFonts w:ascii="Arial Narrow" w:hAnsi="Arial Narrow"/>
          <w:sz w:val="22"/>
          <w:szCs w:val="20"/>
        </w:rPr>
      </w:pPr>
    </w:p>
    <w:p w:rsidR="00953FD4" w:rsidRPr="00953FD4" w:rsidRDefault="00953FD4" w:rsidP="00953FD4">
      <w:pPr>
        <w:jc w:val="both"/>
        <w:rPr>
          <w:rFonts w:ascii="Arial Narrow" w:hAnsi="Arial Narrow"/>
          <w:sz w:val="22"/>
          <w:szCs w:val="20"/>
        </w:rPr>
      </w:pPr>
    </w:p>
    <w:p w:rsidR="00953FD4" w:rsidRPr="00953FD4" w:rsidRDefault="00953FD4" w:rsidP="00953FD4">
      <w:pPr>
        <w:jc w:val="both"/>
        <w:rPr>
          <w:rFonts w:ascii="Arial Narrow" w:hAnsi="Arial Narrow"/>
          <w:sz w:val="22"/>
          <w:szCs w:val="20"/>
        </w:rPr>
      </w:pPr>
    </w:p>
    <w:tbl>
      <w:tblPr>
        <w:tblW w:w="0" w:type="auto"/>
        <w:tblLayout w:type="fixed"/>
        <w:tblLook w:val="0000"/>
      </w:tblPr>
      <w:tblGrid>
        <w:gridCol w:w="8046"/>
        <w:gridCol w:w="993"/>
      </w:tblGrid>
      <w:tr w:rsidR="00953FD4" w:rsidRPr="00953FD4" w:rsidTr="005E6E01">
        <w:tc>
          <w:tcPr>
            <w:tcW w:w="8046" w:type="dxa"/>
          </w:tcPr>
          <w:p w:rsidR="00953FD4" w:rsidRPr="00953FD4" w:rsidRDefault="00953FD4" w:rsidP="00953FD4">
            <w:pPr>
              <w:keepNext/>
              <w:tabs>
                <w:tab w:val="left" w:pos="436"/>
              </w:tabs>
              <w:jc w:val="both"/>
              <w:outlineLvl w:val="1"/>
              <w:rPr>
                <w:rFonts w:ascii="Arial Narrow" w:hAnsi="Arial Narrow"/>
                <w:b/>
                <w:color w:val="000080"/>
                <w:sz w:val="26"/>
                <w:szCs w:val="20"/>
              </w:rPr>
            </w:pPr>
            <w:r w:rsidRPr="00953FD4">
              <w:rPr>
                <w:rFonts w:ascii="Arial Narrow" w:hAnsi="Arial Narrow"/>
                <w:b/>
                <w:color w:val="000080"/>
                <w:sz w:val="26"/>
                <w:szCs w:val="20"/>
              </w:rPr>
              <w:t>Κεφάλαιο 1</w:t>
            </w:r>
          </w:p>
        </w:tc>
        <w:tc>
          <w:tcPr>
            <w:tcW w:w="993" w:type="dxa"/>
            <w:vAlign w:val="bottom"/>
          </w:tcPr>
          <w:p w:rsidR="00953FD4" w:rsidRPr="00953FD4" w:rsidRDefault="00953FD4" w:rsidP="00953FD4">
            <w:pPr>
              <w:tabs>
                <w:tab w:val="left" w:pos="436"/>
              </w:tabs>
              <w:jc w:val="right"/>
              <w:rPr>
                <w:rFonts w:ascii="Arial Narrow" w:hAnsi="Arial Narrow"/>
                <w:color w:val="000080"/>
                <w:sz w:val="26"/>
                <w:szCs w:val="20"/>
              </w:rPr>
            </w:pPr>
          </w:p>
        </w:tc>
      </w:tr>
      <w:tr w:rsidR="00953FD4" w:rsidRPr="00953FD4" w:rsidTr="005E6E01">
        <w:tc>
          <w:tcPr>
            <w:tcW w:w="8046" w:type="dxa"/>
          </w:tcPr>
          <w:p w:rsidR="00953FD4" w:rsidRPr="00953FD4" w:rsidRDefault="00953FD4" w:rsidP="00953FD4">
            <w:pPr>
              <w:keepNext/>
              <w:tabs>
                <w:tab w:val="left" w:pos="436"/>
                <w:tab w:val="left" w:leader="dot" w:pos="7655"/>
              </w:tabs>
              <w:jc w:val="both"/>
              <w:outlineLvl w:val="1"/>
              <w:rPr>
                <w:rFonts w:ascii="Arial Narrow" w:hAnsi="Arial Narrow"/>
                <w:b/>
                <w:color w:val="000080"/>
                <w:sz w:val="26"/>
                <w:szCs w:val="20"/>
                <w:lang w:val="en-GB"/>
              </w:rPr>
            </w:pPr>
            <w:r w:rsidRPr="00953FD4">
              <w:rPr>
                <w:rFonts w:ascii="Arial Narrow" w:hAnsi="Arial Narrow"/>
                <w:b/>
                <w:color w:val="000080"/>
                <w:sz w:val="26"/>
                <w:szCs w:val="20"/>
              </w:rPr>
              <w:t>Οικονομικές εξελίξεις</w:t>
            </w:r>
            <w:r w:rsidRPr="00953FD4">
              <w:rPr>
                <w:rFonts w:ascii="Arial Narrow" w:hAnsi="Arial Narrow"/>
                <w:b/>
                <w:color w:val="000080"/>
                <w:sz w:val="26"/>
                <w:szCs w:val="20"/>
                <w:lang w:val="en-US"/>
              </w:rPr>
              <w:t xml:space="preserve"> </w:t>
            </w:r>
            <w:r w:rsidRPr="00953FD4">
              <w:rPr>
                <w:rFonts w:ascii="Arial Narrow" w:hAnsi="Arial Narrow"/>
                <w:b/>
                <w:color w:val="000080"/>
                <w:sz w:val="26"/>
                <w:szCs w:val="20"/>
              </w:rPr>
              <w:t>και προοπτικές</w:t>
            </w:r>
            <w:r w:rsidRPr="00953FD4">
              <w:rPr>
                <w:rFonts w:ascii="Arial Narrow" w:hAnsi="Arial Narrow"/>
                <w:b/>
                <w:color w:val="000080"/>
                <w:sz w:val="26"/>
                <w:szCs w:val="20"/>
                <w:lang w:val="en-GB"/>
              </w:rPr>
              <w:tab/>
            </w:r>
          </w:p>
        </w:tc>
        <w:tc>
          <w:tcPr>
            <w:tcW w:w="993" w:type="dxa"/>
            <w:vAlign w:val="bottom"/>
          </w:tcPr>
          <w:p w:rsidR="00953FD4" w:rsidRPr="00953FD4" w:rsidRDefault="00953FD4" w:rsidP="00953FD4">
            <w:pPr>
              <w:keepNext/>
              <w:tabs>
                <w:tab w:val="left" w:pos="436"/>
              </w:tabs>
              <w:jc w:val="right"/>
              <w:outlineLvl w:val="1"/>
              <w:rPr>
                <w:rFonts w:ascii="Arial Narrow" w:hAnsi="Arial Narrow"/>
                <w:b/>
                <w:color w:val="000080"/>
                <w:sz w:val="26"/>
                <w:szCs w:val="20"/>
              </w:rPr>
            </w:pPr>
            <w:r w:rsidRPr="00953FD4">
              <w:rPr>
                <w:rFonts w:ascii="Arial Narrow" w:hAnsi="Arial Narrow"/>
                <w:b/>
                <w:color w:val="000080"/>
                <w:sz w:val="26"/>
                <w:szCs w:val="20"/>
              </w:rPr>
              <w:t>7</w:t>
            </w:r>
          </w:p>
        </w:tc>
      </w:tr>
      <w:tr w:rsidR="00953FD4" w:rsidRPr="00953FD4" w:rsidTr="005E6E01">
        <w:tc>
          <w:tcPr>
            <w:tcW w:w="8046" w:type="dxa"/>
          </w:tcPr>
          <w:p w:rsidR="00953FD4" w:rsidRPr="00953FD4" w:rsidRDefault="00953FD4" w:rsidP="00953FD4">
            <w:pPr>
              <w:tabs>
                <w:tab w:val="left" w:pos="436"/>
                <w:tab w:val="left" w:leader="dot" w:pos="7655"/>
              </w:tabs>
              <w:jc w:val="both"/>
              <w:rPr>
                <w:rFonts w:ascii="Arial Narrow" w:hAnsi="Arial Narrow"/>
                <w:sz w:val="18"/>
                <w:szCs w:val="20"/>
              </w:rPr>
            </w:pPr>
          </w:p>
        </w:tc>
        <w:tc>
          <w:tcPr>
            <w:tcW w:w="993" w:type="dxa"/>
            <w:vAlign w:val="bottom"/>
          </w:tcPr>
          <w:p w:rsidR="00953FD4" w:rsidRPr="00953FD4" w:rsidRDefault="00953FD4" w:rsidP="00953FD4">
            <w:pPr>
              <w:tabs>
                <w:tab w:val="left" w:pos="436"/>
              </w:tabs>
              <w:jc w:val="right"/>
              <w:rPr>
                <w:rFonts w:ascii="Arial Narrow" w:hAnsi="Arial Narrow"/>
                <w:sz w:val="18"/>
                <w:szCs w:val="20"/>
              </w:rPr>
            </w:pPr>
          </w:p>
        </w:tc>
      </w:tr>
      <w:tr w:rsidR="00953FD4" w:rsidRPr="00953FD4" w:rsidTr="005E6E01">
        <w:tc>
          <w:tcPr>
            <w:tcW w:w="8046" w:type="dxa"/>
            <w:shd w:val="clear" w:color="auto" w:fill="auto"/>
          </w:tcPr>
          <w:p w:rsidR="00953FD4" w:rsidRPr="00953FD4" w:rsidRDefault="00953FD4" w:rsidP="004213BC">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1.</w:t>
            </w:r>
            <w:r w:rsidRPr="00953FD4">
              <w:rPr>
                <w:rFonts w:ascii="Arial Narrow" w:hAnsi="Arial Narrow"/>
                <w:sz w:val="22"/>
                <w:szCs w:val="20"/>
              </w:rPr>
              <w:tab/>
              <w:t>Διεθνείς οικονομικές εξελίξεις.</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7</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2.</w:t>
            </w:r>
            <w:r w:rsidRPr="00953FD4">
              <w:rPr>
                <w:rFonts w:ascii="Arial Narrow" w:hAnsi="Arial Narrow"/>
                <w:sz w:val="22"/>
                <w:szCs w:val="20"/>
              </w:rPr>
              <w:tab/>
              <w:t>Οι οικονομικές εξελίξεις στην Ελλάδα</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9</w:t>
            </w:r>
          </w:p>
        </w:tc>
      </w:tr>
      <w:tr w:rsidR="00953FD4" w:rsidRPr="00953FD4" w:rsidTr="005E6E01">
        <w:tc>
          <w:tcPr>
            <w:tcW w:w="8046" w:type="dxa"/>
            <w:shd w:val="clear" w:color="auto" w:fill="auto"/>
          </w:tcPr>
          <w:p w:rsidR="00953FD4" w:rsidRPr="00953FD4" w:rsidRDefault="00953FD4" w:rsidP="00953FD4">
            <w:pPr>
              <w:widowControl w:val="0"/>
              <w:tabs>
                <w:tab w:val="left" w:pos="436"/>
                <w:tab w:val="left" w:leader="dot" w:pos="7655"/>
              </w:tabs>
              <w:jc w:val="both"/>
              <w:outlineLvl w:val="2"/>
              <w:rPr>
                <w:rFonts w:ascii="Arial Narrow" w:hAnsi="Arial Narrow"/>
                <w:sz w:val="22"/>
                <w:szCs w:val="20"/>
              </w:rPr>
            </w:pPr>
            <w:r w:rsidRPr="00953FD4">
              <w:rPr>
                <w:rFonts w:ascii="Arial Narrow" w:hAnsi="Arial Narrow"/>
                <w:sz w:val="22"/>
                <w:szCs w:val="20"/>
              </w:rPr>
              <w:t>2.1</w:t>
            </w:r>
            <w:r w:rsidRPr="00953FD4">
              <w:rPr>
                <w:rFonts w:ascii="Arial Narrow" w:hAnsi="Arial Narrow"/>
                <w:sz w:val="22"/>
                <w:szCs w:val="20"/>
              </w:rPr>
              <w:tab/>
              <w:t>Γενική επισκόπηση της Ελληνικής οικονομίας</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9</w:t>
            </w:r>
          </w:p>
        </w:tc>
      </w:tr>
      <w:tr w:rsidR="00953FD4" w:rsidRPr="00953FD4" w:rsidTr="005E6E01">
        <w:tc>
          <w:tcPr>
            <w:tcW w:w="8046" w:type="dxa"/>
            <w:shd w:val="clear" w:color="auto" w:fill="auto"/>
          </w:tcPr>
          <w:p w:rsidR="00953FD4" w:rsidRPr="00953FD4" w:rsidRDefault="00953FD4" w:rsidP="00953FD4">
            <w:pPr>
              <w:widowControl w:val="0"/>
              <w:tabs>
                <w:tab w:val="left" w:pos="436"/>
                <w:tab w:val="left" w:leader="dot" w:pos="7655"/>
              </w:tabs>
              <w:jc w:val="both"/>
              <w:outlineLvl w:val="2"/>
              <w:rPr>
                <w:rFonts w:ascii="Arial Narrow" w:hAnsi="Arial Narrow"/>
                <w:sz w:val="22"/>
                <w:szCs w:val="20"/>
              </w:rPr>
            </w:pPr>
            <w:r w:rsidRPr="00953FD4">
              <w:rPr>
                <w:rFonts w:ascii="Arial Narrow" w:hAnsi="Arial Narrow"/>
                <w:sz w:val="22"/>
                <w:szCs w:val="20"/>
              </w:rPr>
              <w:t>2.2</w:t>
            </w:r>
            <w:r w:rsidRPr="00953FD4">
              <w:rPr>
                <w:rFonts w:ascii="Arial Narrow" w:hAnsi="Arial Narrow"/>
                <w:sz w:val="22"/>
                <w:szCs w:val="20"/>
              </w:rPr>
              <w:tab/>
              <w:t>Οι εξελίξεις το 201</w:t>
            </w:r>
            <w:r w:rsidRPr="00953FD4">
              <w:rPr>
                <w:rFonts w:ascii="Arial Narrow" w:hAnsi="Arial Narrow"/>
                <w:sz w:val="22"/>
                <w:szCs w:val="20"/>
                <w:lang w:val="en-US"/>
              </w:rPr>
              <w:t>6</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13</w:t>
            </w:r>
          </w:p>
        </w:tc>
      </w:tr>
      <w:tr w:rsidR="00953FD4" w:rsidRPr="00953FD4" w:rsidTr="005E6E01">
        <w:tc>
          <w:tcPr>
            <w:tcW w:w="8046" w:type="dxa"/>
            <w:shd w:val="clear" w:color="auto" w:fill="auto"/>
          </w:tcPr>
          <w:p w:rsidR="00953FD4" w:rsidRPr="00953FD4" w:rsidRDefault="00953FD4" w:rsidP="00953FD4">
            <w:pPr>
              <w:widowControl w:val="0"/>
              <w:tabs>
                <w:tab w:val="left" w:pos="436"/>
                <w:tab w:val="left" w:leader="dot" w:pos="7655"/>
              </w:tabs>
              <w:jc w:val="both"/>
              <w:outlineLvl w:val="2"/>
              <w:rPr>
                <w:rFonts w:ascii="Arial Narrow" w:hAnsi="Arial Narrow"/>
                <w:sz w:val="22"/>
                <w:szCs w:val="20"/>
              </w:rPr>
            </w:pPr>
            <w:r w:rsidRPr="00953FD4">
              <w:rPr>
                <w:rFonts w:ascii="Arial Narrow" w:hAnsi="Arial Narrow"/>
                <w:sz w:val="22"/>
                <w:szCs w:val="20"/>
              </w:rPr>
              <w:t>2.3</w:t>
            </w:r>
            <w:r w:rsidRPr="00953FD4">
              <w:rPr>
                <w:rFonts w:ascii="Arial Narrow" w:hAnsi="Arial Narrow"/>
                <w:sz w:val="22"/>
                <w:szCs w:val="20"/>
              </w:rPr>
              <w:tab/>
              <w:t>Οι εξελίξεις το 201</w:t>
            </w:r>
            <w:r w:rsidRPr="00953FD4">
              <w:rPr>
                <w:rFonts w:ascii="Arial Narrow" w:hAnsi="Arial Narrow"/>
                <w:sz w:val="22"/>
                <w:szCs w:val="20"/>
                <w:lang w:val="en-US"/>
              </w:rPr>
              <w:t>7</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15</w:t>
            </w:r>
          </w:p>
        </w:tc>
      </w:tr>
      <w:tr w:rsidR="00953FD4" w:rsidRPr="00953FD4" w:rsidTr="005E6E01">
        <w:tc>
          <w:tcPr>
            <w:tcW w:w="8046" w:type="dxa"/>
            <w:shd w:val="clear" w:color="auto" w:fill="auto"/>
          </w:tcPr>
          <w:p w:rsidR="00953FD4" w:rsidRPr="00953FD4" w:rsidRDefault="00953FD4" w:rsidP="00953FD4">
            <w:pPr>
              <w:widowControl w:val="0"/>
              <w:tabs>
                <w:tab w:val="left" w:pos="436"/>
                <w:tab w:val="left" w:leader="dot" w:pos="7655"/>
              </w:tabs>
              <w:jc w:val="both"/>
              <w:outlineLvl w:val="2"/>
              <w:rPr>
                <w:rFonts w:ascii="Arial Narrow" w:hAnsi="Arial Narrow"/>
                <w:sz w:val="22"/>
                <w:szCs w:val="20"/>
              </w:rPr>
            </w:pPr>
            <w:r w:rsidRPr="00953FD4">
              <w:rPr>
                <w:rFonts w:ascii="Arial Narrow" w:hAnsi="Arial Narrow"/>
                <w:sz w:val="22"/>
                <w:szCs w:val="20"/>
              </w:rPr>
              <w:t>2.4</w:t>
            </w:r>
            <w:r w:rsidRPr="00953FD4">
              <w:rPr>
                <w:rFonts w:ascii="Arial Narrow" w:hAnsi="Arial Narrow"/>
                <w:sz w:val="22"/>
                <w:szCs w:val="20"/>
              </w:rPr>
              <w:tab/>
              <w:t>Οι προοπτικές το 201</w:t>
            </w:r>
            <w:r w:rsidRPr="00953FD4">
              <w:rPr>
                <w:rFonts w:ascii="Arial Narrow" w:hAnsi="Arial Narrow"/>
                <w:sz w:val="22"/>
                <w:szCs w:val="20"/>
                <w:lang w:val="en-US"/>
              </w:rPr>
              <w:t>8</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21</w:t>
            </w:r>
          </w:p>
        </w:tc>
      </w:tr>
      <w:tr w:rsidR="00953FD4" w:rsidRPr="00953FD4" w:rsidTr="005E6E01">
        <w:tc>
          <w:tcPr>
            <w:tcW w:w="8046" w:type="dxa"/>
          </w:tcPr>
          <w:p w:rsidR="00953FD4" w:rsidRPr="00953FD4" w:rsidRDefault="00953FD4" w:rsidP="00953FD4">
            <w:pPr>
              <w:widowControl w:val="0"/>
              <w:tabs>
                <w:tab w:val="left" w:pos="436"/>
                <w:tab w:val="left" w:leader="dot" w:pos="7655"/>
              </w:tabs>
              <w:jc w:val="both"/>
              <w:outlineLvl w:val="2"/>
              <w:rPr>
                <w:rFonts w:ascii="Arial Narrow" w:hAnsi="Arial Narrow"/>
                <w:b/>
                <w:sz w:val="20"/>
                <w:szCs w:val="20"/>
              </w:rPr>
            </w:pPr>
          </w:p>
        </w:tc>
        <w:tc>
          <w:tcPr>
            <w:tcW w:w="993" w:type="dxa"/>
            <w:vAlign w:val="bottom"/>
          </w:tcPr>
          <w:p w:rsidR="00953FD4" w:rsidRPr="00953FD4" w:rsidRDefault="00953FD4" w:rsidP="00953FD4">
            <w:pPr>
              <w:widowControl w:val="0"/>
              <w:tabs>
                <w:tab w:val="left" w:pos="436"/>
              </w:tabs>
              <w:jc w:val="right"/>
              <w:outlineLvl w:val="2"/>
              <w:rPr>
                <w:rFonts w:ascii="Arial Narrow" w:hAnsi="Arial Narrow"/>
                <w:sz w:val="20"/>
                <w:szCs w:val="20"/>
              </w:rPr>
            </w:pPr>
          </w:p>
        </w:tc>
      </w:tr>
      <w:tr w:rsidR="00953FD4" w:rsidRPr="00953FD4" w:rsidTr="005E6E01">
        <w:tc>
          <w:tcPr>
            <w:tcW w:w="8046" w:type="dxa"/>
          </w:tcPr>
          <w:p w:rsidR="00953FD4" w:rsidRPr="00953FD4" w:rsidRDefault="00953FD4" w:rsidP="00953FD4">
            <w:pPr>
              <w:widowControl w:val="0"/>
              <w:tabs>
                <w:tab w:val="left" w:pos="436"/>
                <w:tab w:val="left" w:leader="dot" w:pos="7655"/>
              </w:tabs>
              <w:jc w:val="both"/>
              <w:outlineLvl w:val="2"/>
              <w:rPr>
                <w:rFonts w:ascii="Arial Narrow" w:hAnsi="Arial Narrow"/>
                <w:b/>
                <w:sz w:val="20"/>
                <w:szCs w:val="20"/>
              </w:rPr>
            </w:pPr>
          </w:p>
        </w:tc>
        <w:tc>
          <w:tcPr>
            <w:tcW w:w="993" w:type="dxa"/>
            <w:vAlign w:val="bottom"/>
          </w:tcPr>
          <w:p w:rsidR="00953FD4" w:rsidRPr="00953FD4" w:rsidRDefault="00953FD4" w:rsidP="00953FD4">
            <w:pPr>
              <w:widowControl w:val="0"/>
              <w:tabs>
                <w:tab w:val="left" w:pos="436"/>
              </w:tabs>
              <w:jc w:val="right"/>
              <w:outlineLvl w:val="2"/>
              <w:rPr>
                <w:rFonts w:ascii="Arial Narrow" w:hAnsi="Arial Narrow"/>
                <w:sz w:val="20"/>
                <w:szCs w:val="20"/>
              </w:rPr>
            </w:pPr>
          </w:p>
        </w:tc>
      </w:tr>
      <w:tr w:rsidR="00953FD4" w:rsidRPr="00953FD4" w:rsidTr="005E6E01">
        <w:tc>
          <w:tcPr>
            <w:tcW w:w="8046" w:type="dxa"/>
          </w:tcPr>
          <w:p w:rsidR="00953FD4" w:rsidRPr="00953FD4" w:rsidRDefault="00953FD4" w:rsidP="00953FD4">
            <w:pPr>
              <w:keepNext/>
              <w:tabs>
                <w:tab w:val="left" w:pos="436"/>
                <w:tab w:val="left" w:leader="dot" w:pos="7655"/>
              </w:tabs>
              <w:jc w:val="both"/>
              <w:outlineLvl w:val="1"/>
              <w:rPr>
                <w:rFonts w:ascii="Arial Narrow" w:hAnsi="Arial Narrow"/>
                <w:b/>
                <w:color w:val="000080"/>
                <w:sz w:val="26"/>
                <w:szCs w:val="20"/>
              </w:rPr>
            </w:pPr>
            <w:r w:rsidRPr="00953FD4">
              <w:rPr>
                <w:rFonts w:ascii="Arial Narrow" w:hAnsi="Arial Narrow"/>
                <w:b/>
                <w:color w:val="000080"/>
                <w:sz w:val="26"/>
                <w:szCs w:val="20"/>
              </w:rPr>
              <w:t>Κεφάλαιο 2</w:t>
            </w:r>
          </w:p>
        </w:tc>
        <w:tc>
          <w:tcPr>
            <w:tcW w:w="993" w:type="dxa"/>
            <w:vAlign w:val="bottom"/>
          </w:tcPr>
          <w:p w:rsidR="00953FD4" w:rsidRPr="00953FD4" w:rsidRDefault="00953FD4" w:rsidP="00953FD4">
            <w:pPr>
              <w:tabs>
                <w:tab w:val="left" w:pos="436"/>
              </w:tabs>
              <w:jc w:val="right"/>
              <w:rPr>
                <w:rFonts w:ascii="Arial Narrow" w:hAnsi="Arial Narrow"/>
                <w:color w:val="000080"/>
                <w:sz w:val="26"/>
                <w:szCs w:val="20"/>
              </w:rPr>
            </w:pPr>
          </w:p>
        </w:tc>
      </w:tr>
      <w:tr w:rsidR="00953FD4" w:rsidRPr="00953FD4" w:rsidTr="005E6E01">
        <w:tc>
          <w:tcPr>
            <w:tcW w:w="8046" w:type="dxa"/>
          </w:tcPr>
          <w:p w:rsidR="00953FD4" w:rsidRPr="00953FD4" w:rsidRDefault="00953FD4" w:rsidP="00953FD4">
            <w:pPr>
              <w:keepNext/>
              <w:tabs>
                <w:tab w:val="left" w:pos="436"/>
                <w:tab w:val="left" w:leader="dot" w:pos="7655"/>
              </w:tabs>
              <w:jc w:val="both"/>
              <w:outlineLvl w:val="1"/>
              <w:rPr>
                <w:rFonts w:ascii="Arial Narrow" w:hAnsi="Arial Narrow"/>
                <w:b/>
                <w:color w:val="000080"/>
                <w:sz w:val="26"/>
                <w:szCs w:val="20"/>
              </w:rPr>
            </w:pPr>
            <w:r w:rsidRPr="00953FD4">
              <w:rPr>
                <w:rFonts w:ascii="Arial Narrow" w:hAnsi="Arial Narrow"/>
                <w:b/>
                <w:color w:val="000080"/>
                <w:sz w:val="26"/>
                <w:szCs w:val="20"/>
              </w:rPr>
              <w:t>Προϋπολογισμός Γενικής Κυβέρνησης</w:t>
            </w:r>
            <w:r w:rsidRPr="00953FD4">
              <w:rPr>
                <w:rFonts w:ascii="Arial Narrow" w:hAnsi="Arial Narrow"/>
                <w:b/>
                <w:color w:val="000080"/>
                <w:sz w:val="26"/>
                <w:szCs w:val="20"/>
              </w:rPr>
              <w:tab/>
            </w:r>
          </w:p>
        </w:tc>
        <w:tc>
          <w:tcPr>
            <w:tcW w:w="993" w:type="dxa"/>
            <w:vAlign w:val="bottom"/>
          </w:tcPr>
          <w:p w:rsidR="00953FD4" w:rsidRPr="00953FD4" w:rsidRDefault="00953FD4" w:rsidP="00953FD4">
            <w:pPr>
              <w:keepNext/>
              <w:tabs>
                <w:tab w:val="left" w:pos="436"/>
              </w:tabs>
              <w:jc w:val="right"/>
              <w:outlineLvl w:val="1"/>
              <w:rPr>
                <w:rFonts w:ascii="Arial Narrow" w:hAnsi="Arial Narrow"/>
                <w:b/>
                <w:color w:val="000080"/>
                <w:sz w:val="26"/>
                <w:szCs w:val="20"/>
              </w:rPr>
            </w:pPr>
            <w:r w:rsidRPr="00953FD4">
              <w:rPr>
                <w:rFonts w:ascii="Arial Narrow" w:hAnsi="Arial Narrow"/>
                <w:b/>
                <w:color w:val="000080"/>
                <w:sz w:val="26"/>
                <w:szCs w:val="20"/>
              </w:rPr>
              <w:t>23</w:t>
            </w:r>
          </w:p>
        </w:tc>
      </w:tr>
      <w:tr w:rsidR="00953FD4" w:rsidRPr="00953FD4" w:rsidTr="005E6E01">
        <w:tc>
          <w:tcPr>
            <w:tcW w:w="8046" w:type="dxa"/>
          </w:tcPr>
          <w:p w:rsidR="00953FD4" w:rsidRPr="00953FD4" w:rsidRDefault="00953FD4" w:rsidP="00953FD4">
            <w:pPr>
              <w:widowControl w:val="0"/>
              <w:tabs>
                <w:tab w:val="left" w:pos="436"/>
                <w:tab w:val="left" w:leader="dot" w:pos="7655"/>
              </w:tabs>
              <w:jc w:val="both"/>
              <w:outlineLvl w:val="2"/>
              <w:rPr>
                <w:rFonts w:ascii="Arial Narrow" w:hAnsi="Arial Narrow"/>
                <w:b/>
                <w:sz w:val="20"/>
                <w:szCs w:val="20"/>
              </w:rPr>
            </w:pPr>
          </w:p>
        </w:tc>
        <w:tc>
          <w:tcPr>
            <w:tcW w:w="993" w:type="dxa"/>
            <w:vAlign w:val="bottom"/>
          </w:tcPr>
          <w:p w:rsidR="00953FD4" w:rsidRPr="00953FD4" w:rsidRDefault="00953FD4" w:rsidP="00953FD4">
            <w:pPr>
              <w:widowControl w:val="0"/>
              <w:tabs>
                <w:tab w:val="left" w:pos="436"/>
              </w:tabs>
              <w:jc w:val="right"/>
              <w:outlineLvl w:val="2"/>
              <w:rPr>
                <w:rFonts w:ascii="Arial Narrow" w:hAnsi="Arial Narrow"/>
                <w:sz w:val="20"/>
                <w:szCs w:val="20"/>
              </w:rPr>
            </w:pP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1.</w:t>
            </w:r>
            <w:r w:rsidRPr="00953FD4">
              <w:rPr>
                <w:rFonts w:ascii="Arial Narrow" w:hAnsi="Arial Narrow"/>
                <w:sz w:val="22"/>
                <w:szCs w:val="20"/>
              </w:rPr>
              <w:tab/>
              <w:t>Εκτιμήσεις 201</w:t>
            </w:r>
            <w:r w:rsidRPr="00953FD4">
              <w:rPr>
                <w:rFonts w:ascii="Arial Narrow" w:hAnsi="Arial Narrow"/>
                <w:sz w:val="22"/>
                <w:szCs w:val="20"/>
                <w:lang w:val="en-US"/>
              </w:rPr>
              <w:t>7</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23</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1.1</w:t>
            </w:r>
            <w:r w:rsidRPr="00953FD4">
              <w:rPr>
                <w:rFonts w:ascii="Arial Narrow" w:hAnsi="Arial Narrow"/>
                <w:sz w:val="22"/>
                <w:szCs w:val="20"/>
              </w:rPr>
              <w:tab/>
              <w:t>Τακτικός Προϋπολογισμός</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24</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1.2</w:t>
            </w:r>
            <w:r w:rsidRPr="00953FD4">
              <w:rPr>
                <w:rFonts w:ascii="Arial Narrow" w:hAnsi="Arial Narrow"/>
                <w:sz w:val="22"/>
                <w:szCs w:val="20"/>
              </w:rPr>
              <w:tab/>
              <w:t>Πρόγραμμα Δημοσίων Επενδύσεων (ΠΔΕ)</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30</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1.3</w:t>
            </w:r>
            <w:r w:rsidRPr="00953FD4">
              <w:rPr>
                <w:rFonts w:ascii="Arial Narrow" w:hAnsi="Arial Narrow"/>
                <w:sz w:val="22"/>
                <w:szCs w:val="20"/>
              </w:rPr>
              <w:tab/>
              <w:t>Λοιποί τομείς Γενικής Κυβέρνησης</w:t>
            </w:r>
            <w:r w:rsidRPr="00953FD4">
              <w:rPr>
                <w:rFonts w:ascii="Arial Narrow" w:hAnsi="Arial Narrow"/>
                <w:sz w:val="22"/>
                <w:szCs w:val="20"/>
              </w:rPr>
              <w:tab/>
            </w:r>
          </w:p>
        </w:tc>
        <w:tc>
          <w:tcPr>
            <w:tcW w:w="993" w:type="dxa"/>
            <w:shd w:val="clear" w:color="auto" w:fill="auto"/>
            <w:vAlign w:val="bottom"/>
          </w:tcPr>
          <w:p w:rsidR="00953FD4" w:rsidRPr="00953FD4" w:rsidRDefault="009A05C9" w:rsidP="00953FD4">
            <w:pPr>
              <w:widowControl w:val="0"/>
              <w:tabs>
                <w:tab w:val="left" w:pos="436"/>
              </w:tabs>
              <w:jc w:val="right"/>
              <w:outlineLvl w:val="2"/>
              <w:rPr>
                <w:rFonts w:ascii="Arial Narrow" w:hAnsi="Arial Narrow"/>
                <w:sz w:val="22"/>
                <w:szCs w:val="20"/>
              </w:rPr>
            </w:pPr>
            <w:r>
              <w:rPr>
                <w:rFonts w:ascii="Arial Narrow" w:hAnsi="Arial Narrow"/>
                <w:sz w:val="22"/>
                <w:szCs w:val="20"/>
              </w:rPr>
              <w:t>31</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1.4</w:t>
            </w:r>
            <w:r w:rsidRPr="00953FD4">
              <w:rPr>
                <w:rFonts w:ascii="Arial Narrow" w:hAnsi="Arial Narrow"/>
                <w:sz w:val="22"/>
                <w:szCs w:val="20"/>
              </w:rPr>
              <w:tab/>
              <w:t>Λοιπές παρεμβάσεις κοινωνικής προστασίας</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34</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1.5</w:t>
            </w:r>
            <w:r w:rsidRPr="00953FD4">
              <w:rPr>
                <w:rFonts w:ascii="Arial Narrow" w:hAnsi="Arial Narrow"/>
                <w:sz w:val="22"/>
                <w:szCs w:val="20"/>
              </w:rPr>
              <w:tab/>
              <w:t>Εξόφληση ληξιπρόθεσμων οφειλών</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keepNext/>
              <w:widowControl w:val="0"/>
              <w:tabs>
                <w:tab w:val="left" w:pos="436"/>
                <w:tab w:val="left" w:leader="dot" w:pos="7655"/>
              </w:tabs>
              <w:jc w:val="right"/>
              <w:outlineLvl w:val="1"/>
              <w:rPr>
                <w:rFonts w:ascii="Arial Narrow" w:hAnsi="Arial Narrow"/>
                <w:sz w:val="22"/>
                <w:szCs w:val="20"/>
              </w:rPr>
            </w:pPr>
            <w:r w:rsidRPr="00953FD4">
              <w:rPr>
                <w:rFonts w:ascii="Arial Narrow" w:hAnsi="Arial Narrow"/>
                <w:sz w:val="22"/>
                <w:szCs w:val="20"/>
              </w:rPr>
              <w:t>3</w:t>
            </w:r>
            <w:r w:rsidR="009A05C9">
              <w:rPr>
                <w:rFonts w:ascii="Arial Narrow" w:hAnsi="Arial Narrow"/>
                <w:sz w:val="22"/>
                <w:szCs w:val="20"/>
              </w:rPr>
              <w:t>5</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2.</w:t>
            </w:r>
            <w:r w:rsidRPr="00953FD4">
              <w:rPr>
                <w:rFonts w:ascii="Arial Narrow" w:hAnsi="Arial Narrow"/>
                <w:sz w:val="22"/>
                <w:szCs w:val="20"/>
              </w:rPr>
              <w:tab/>
              <w:t>Προβλέψεις 201</w:t>
            </w:r>
            <w:r w:rsidRPr="00953FD4">
              <w:rPr>
                <w:rFonts w:ascii="Arial Narrow" w:hAnsi="Arial Narrow"/>
                <w:sz w:val="22"/>
                <w:szCs w:val="20"/>
                <w:lang w:val="en-US"/>
              </w:rPr>
              <w:t>8</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3</w:t>
            </w:r>
            <w:r w:rsidR="009A05C9">
              <w:rPr>
                <w:rFonts w:ascii="Arial Narrow" w:hAnsi="Arial Narrow"/>
                <w:sz w:val="22"/>
                <w:szCs w:val="20"/>
              </w:rPr>
              <w:t>7</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2.1</w:t>
            </w:r>
            <w:r w:rsidRPr="00953FD4">
              <w:rPr>
                <w:rFonts w:ascii="Arial Narrow" w:hAnsi="Arial Narrow"/>
                <w:sz w:val="22"/>
                <w:szCs w:val="20"/>
              </w:rPr>
              <w:tab/>
              <w:t>Βασικά μεγέθη Προϋπολογισμού</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38</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2.2</w:t>
            </w:r>
            <w:r w:rsidRPr="00953FD4">
              <w:rPr>
                <w:rFonts w:ascii="Arial Narrow" w:hAnsi="Arial Narrow"/>
                <w:sz w:val="22"/>
                <w:szCs w:val="20"/>
              </w:rPr>
              <w:tab/>
              <w:t>Τακτικός Προϋπολογισμός</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3</w:t>
            </w:r>
            <w:r w:rsidR="009A05C9">
              <w:rPr>
                <w:rFonts w:ascii="Arial Narrow" w:hAnsi="Arial Narrow"/>
                <w:sz w:val="22"/>
                <w:szCs w:val="20"/>
              </w:rPr>
              <w:t>8</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2.3</w:t>
            </w:r>
            <w:r w:rsidRPr="00953FD4">
              <w:rPr>
                <w:rFonts w:ascii="Arial Narrow" w:hAnsi="Arial Narrow"/>
                <w:sz w:val="22"/>
                <w:szCs w:val="20"/>
              </w:rPr>
              <w:tab/>
              <w:t>Πρόγραμμα Δημοσίων Επενδύσεων (ΠΔΕ)</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41</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2.4</w:t>
            </w:r>
            <w:r w:rsidRPr="00953FD4">
              <w:rPr>
                <w:rFonts w:ascii="Arial Narrow" w:hAnsi="Arial Narrow"/>
                <w:sz w:val="22"/>
                <w:szCs w:val="20"/>
              </w:rPr>
              <w:tab/>
              <w:t>Λοιποί τομείς Γενικής Κυβέρνησης</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41</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ind w:left="436" w:hanging="436"/>
              <w:jc w:val="both"/>
              <w:outlineLvl w:val="1"/>
              <w:rPr>
                <w:rFonts w:ascii="Arial Narrow" w:hAnsi="Arial Narrow"/>
                <w:sz w:val="22"/>
                <w:szCs w:val="20"/>
              </w:rPr>
            </w:pPr>
            <w:r w:rsidRPr="00953FD4">
              <w:rPr>
                <w:rFonts w:ascii="Arial Narrow" w:hAnsi="Arial Narrow"/>
                <w:sz w:val="22"/>
                <w:szCs w:val="20"/>
              </w:rPr>
              <w:t>2.5</w:t>
            </w:r>
            <w:r w:rsidRPr="00953FD4">
              <w:rPr>
                <w:rFonts w:ascii="Arial Narrow" w:hAnsi="Arial Narrow"/>
                <w:sz w:val="22"/>
                <w:szCs w:val="20"/>
              </w:rPr>
              <w:tab/>
            </w:r>
            <w:r w:rsidR="004213BC">
              <w:rPr>
                <w:rFonts w:ascii="Arial Narrow" w:hAnsi="Arial Narrow"/>
                <w:sz w:val="22"/>
                <w:szCs w:val="20"/>
              </w:rPr>
              <w:t>Επισκόπηση δαπανών</w:t>
            </w:r>
            <w:r w:rsidR="004213BC">
              <w:rPr>
                <w:rFonts w:ascii="Arial Narrow" w:hAnsi="Arial Narrow"/>
                <w:sz w:val="22"/>
                <w:szCs w:val="20"/>
              </w:rPr>
              <w:tab/>
            </w:r>
          </w:p>
        </w:tc>
        <w:tc>
          <w:tcPr>
            <w:tcW w:w="993" w:type="dxa"/>
            <w:shd w:val="clear" w:color="auto" w:fill="auto"/>
            <w:vAlign w:val="bottom"/>
          </w:tcPr>
          <w:p w:rsidR="00953FD4" w:rsidRPr="00953FD4" w:rsidRDefault="009A05C9" w:rsidP="00953FD4">
            <w:pPr>
              <w:widowControl w:val="0"/>
              <w:tabs>
                <w:tab w:val="left" w:pos="436"/>
              </w:tabs>
              <w:jc w:val="right"/>
              <w:outlineLvl w:val="2"/>
              <w:rPr>
                <w:rFonts w:ascii="Arial Narrow" w:hAnsi="Arial Narrow"/>
                <w:sz w:val="22"/>
                <w:szCs w:val="20"/>
              </w:rPr>
            </w:pPr>
            <w:r>
              <w:rPr>
                <w:rFonts w:ascii="Arial Narrow" w:hAnsi="Arial Narrow"/>
                <w:sz w:val="22"/>
                <w:szCs w:val="20"/>
              </w:rPr>
              <w:t>44</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p>
        </w:tc>
      </w:tr>
      <w:tr w:rsidR="00953FD4" w:rsidRPr="00953FD4" w:rsidTr="005E6E01">
        <w:tc>
          <w:tcPr>
            <w:tcW w:w="8046" w:type="dxa"/>
          </w:tcPr>
          <w:p w:rsidR="00953FD4" w:rsidRPr="00953FD4" w:rsidRDefault="00953FD4" w:rsidP="00953FD4">
            <w:pPr>
              <w:widowControl w:val="0"/>
              <w:tabs>
                <w:tab w:val="left" w:pos="436"/>
                <w:tab w:val="left" w:leader="dot" w:pos="7655"/>
              </w:tabs>
              <w:jc w:val="both"/>
              <w:outlineLvl w:val="2"/>
              <w:rPr>
                <w:rFonts w:ascii="Arial Narrow" w:hAnsi="Arial Narrow"/>
                <w:b/>
                <w:sz w:val="20"/>
                <w:szCs w:val="20"/>
              </w:rPr>
            </w:pPr>
          </w:p>
        </w:tc>
        <w:tc>
          <w:tcPr>
            <w:tcW w:w="993" w:type="dxa"/>
            <w:vAlign w:val="bottom"/>
          </w:tcPr>
          <w:p w:rsidR="00953FD4" w:rsidRPr="00953FD4" w:rsidRDefault="00953FD4" w:rsidP="00953FD4">
            <w:pPr>
              <w:widowControl w:val="0"/>
              <w:tabs>
                <w:tab w:val="left" w:pos="436"/>
              </w:tabs>
              <w:jc w:val="right"/>
              <w:outlineLvl w:val="2"/>
              <w:rPr>
                <w:rFonts w:ascii="Arial Narrow" w:hAnsi="Arial Narrow"/>
                <w:sz w:val="20"/>
                <w:szCs w:val="20"/>
              </w:rPr>
            </w:pPr>
          </w:p>
        </w:tc>
      </w:tr>
      <w:tr w:rsidR="00953FD4" w:rsidRPr="00953FD4" w:rsidTr="005E6E01">
        <w:tc>
          <w:tcPr>
            <w:tcW w:w="8046" w:type="dxa"/>
          </w:tcPr>
          <w:p w:rsidR="00953FD4" w:rsidRPr="00953FD4" w:rsidRDefault="00953FD4" w:rsidP="00953FD4">
            <w:pPr>
              <w:keepNext/>
              <w:tabs>
                <w:tab w:val="left" w:pos="436"/>
                <w:tab w:val="left" w:leader="dot" w:pos="7655"/>
              </w:tabs>
              <w:jc w:val="both"/>
              <w:outlineLvl w:val="1"/>
              <w:rPr>
                <w:rFonts w:ascii="Arial Narrow" w:hAnsi="Arial Narrow"/>
                <w:b/>
                <w:color w:val="000080"/>
                <w:sz w:val="26"/>
                <w:szCs w:val="20"/>
              </w:rPr>
            </w:pPr>
            <w:r w:rsidRPr="00953FD4">
              <w:rPr>
                <w:rFonts w:ascii="Arial Narrow" w:hAnsi="Arial Narrow"/>
                <w:b/>
                <w:color w:val="000080"/>
                <w:sz w:val="26"/>
                <w:szCs w:val="20"/>
              </w:rPr>
              <w:t>Κεφάλαιο 3</w:t>
            </w:r>
          </w:p>
        </w:tc>
        <w:tc>
          <w:tcPr>
            <w:tcW w:w="993" w:type="dxa"/>
            <w:vAlign w:val="bottom"/>
          </w:tcPr>
          <w:p w:rsidR="00953FD4" w:rsidRPr="00953FD4" w:rsidRDefault="00953FD4" w:rsidP="00953FD4">
            <w:pPr>
              <w:tabs>
                <w:tab w:val="left" w:pos="436"/>
              </w:tabs>
              <w:jc w:val="right"/>
              <w:rPr>
                <w:rFonts w:ascii="Arial Narrow" w:hAnsi="Arial Narrow"/>
                <w:color w:val="000080"/>
                <w:sz w:val="26"/>
                <w:szCs w:val="20"/>
              </w:rPr>
            </w:pPr>
          </w:p>
        </w:tc>
      </w:tr>
      <w:tr w:rsidR="00953FD4" w:rsidRPr="00953FD4" w:rsidTr="005E6E01">
        <w:tc>
          <w:tcPr>
            <w:tcW w:w="8046" w:type="dxa"/>
          </w:tcPr>
          <w:p w:rsidR="00953FD4" w:rsidRPr="00953FD4" w:rsidRDefault="00953FD4" w:rsidP="00953FD4">
            <w:pPr>
              <w:widowControl w:val="0"/>
              <w:tabs>
                <w:tab w:val="left" w:pos="436"/>
                <w:tab w:val="left" w:leader="dot" w:pos="7655"/>
              </w:tabs>
              <w:jc w:val="both"/>
              <w:outlineLvl w:val="1"/>
              <w:rPr>
                <w:rFonts w:ascii="Arial Narrow" w:hAnsi="Arial Narrow"/>
                <w:b/>
                <w:color w:val="000080"/>
                <w:szCs w:val="20"/>
              </w:rPr>
            </w:pPr>
            <w:r w:rsidRPr="00953FD4">
              <w:rPr>
                <w:rFonts w:ascii="Arial Narrow" w:hAnsi="Arial Narrow"/>
                <w:b/>
                <w:color w:val="000080"/>
                <w:szCs w:val="20"/>
              </w:rPr>
              <w:t>Δημόσιο χρέος</w:t>
            </w:r>
            <w:r w:rsidRPr="00953FD4">
              <w:rPr>
                <w:rFonts w:ascii="Arial Narrow" w:hAnsi="Arial Narrow"/>
                <w:b/>
                <w:color w:val="000080"/>
                <w:szCs w:val="20"/>
              </w:rPr>
              <w:tab/>
              <w:t xml:space="preserve"> </w:t>
            </w:r>
          </w:p>
        </w:tc>
        <w:tc>
          <w:tcPr>
            <w:tcW w:w="993" w:type="dxa"/>
            <w:vAlign w:val="bottom"/>
          </w:tcPr>
          <w:p w:rsidR="00953FD4" w:rsidRPr="00953FD4" w:rsidRDefault="00953FD4" w:rsidP="00953FD4">
            <w:pPr>
              <w:widowControl w:val="0"/>
              <w:tabs>
                <w:tab w:val="left" w:pos="436"/>
              </w:tabs>
              <w:jc w:val="right"/>
              <w:rPr>
                <w:rFonts w:ascii="Arial Narrow" w:hAnsi="Arial Narrow"/>
                <w:b/>
                <w:color w:val="000080"/>
                <w:szCs w:val="20"/>
              </w:rPr>
            </w:pPr>
            <w:r w:rsidRPr="00953FD4">
              <w:rPr>
                <w:rFonts w:ascii="Arial Narrow" w:hAnsi="Arial Narrow"/>
                <w:b/>
                <w:color w:val="000080"/>
                <w:szCs w:val="20"/>
              </w:rPr>
              <w:t>4</w:t>
            </w:r>
            <w:r w:rsidR="009A05C9">
              <w:rPr>
                <w:rFonts w:ascii="Arial Narrow" w:hAnsi="Arial Narrow"/>
                <w:b/>
                <w:color w:val="000080"/>
                <w:szCs w:val="20"/>
              </w:rPr>
              <w:t>5</w:t>
            </w:r>
          </w:p>
        </w:tc>
      </w:tr>
      <w:tr w:rsidR="00953FD4" w:rsidRPr="00953FD4" w:rsidTr="005E6E01">
        <w:tc>
          <w:tcPr>
            <w:tcW w:w="8046" w:type="dxa"/>
          </w:tcPr>
          <w:p w:rsidR="00953FD4" w:rsidRPr="00953FD4" w:rsidRDefault="00953FD4" w:rsidP="00953FD4">
            <w:pPr>
              <w:widowControl w:val="0"/>
              <w:tabs>
                <w:tab w:val="left" w:pos="436"/>
                <w:tab w:val="left" w:leader="dot" w:pos="7655"/>
              </w:tabs>
              <w:jc w:val="both"/>
              <w:rPr>
                <w:rFonts w:ascii="Arial Narrow" w:hAnsi="Arial Narrow"/>
                <w:szCs w:val="20"/>
              </w:rPr>
            </w:pPr>
          </w:p>
        </w:tc>
        <w:tc>
          <w:tcPr>
            <w:tcW w:w="993" w:type="dxa"/>
            <w:vAlign w:val="bottom"/>
          </w:tcPr>
          <w:p w:rsidR="00953FD4" w:rsidRPr="00953FD4" w:rsidRDefault="00953FD4" w:rsidP="00953FD4">
            <w:pPr>
              <w:widowControl w:val="0"/>
              <w:tabs>
                <w:tab w:val="left" w:pos="436"/>
              </w:tabs>
              <w:jc w:val="right"/>
              <w:rPr>
                <w:rFonts w:ascii="Arial Narrow" w:hAnsi="Arial Narrow"/>
                <w:b/>
                <w:szCs w:val="20"/>
              </w:rPr>
            </w:pP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ind w:left="436" w:hanging="436"/>
              <w:jc w:val="both"/>
              <w:outlineLvl w:val="1"/>
              <w:rPr>
                <w:rFonts w:ascii="Arial Narrow" w:hAnsi="Arial Narrow"/>
                <w:sz w:val="22"/>
                <w:szCs w:val="20"/>
              </w:rPr>
            </w:pPr>
            <w:r w:rsidRPr="00953FD4">
              <w:rPr>
                <w:rFonts w:ascii="Arial Narrow" w:hAnsi="Arial Narrow"/>
                <w:sz w:val="22"/>
                <w:szCs w:val="20"/>
              </w:rPr>
              <w:t>1.</w:t>
            </w:r>
            <w:r w:rsidRPr="00953FD4">
              <w:rPr>
                <w:rFonts w:ascii="Arial Narrow" w:hAnsi="Arial Narrow"/>
                <w:sz w:val="22"/>
                <w:szCs w:val="20"/>
              </w:rPr>
              <w:tab/>
              <w:t>Σύνθεση δημόσιου χρέους</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4</w:t>
            </w:r>
            <w:r w:rsidR="009A05C9">
              <w:rPr>
                <w:rFonts w:ascii="Arial Narrow" w:hAnsi="Arial Narrow"/>
                <w:sz w:val="22"/>
                <w:szCs w:val="20"/>
              </w:rPr>
              <w:t>6</w:t>
            </w:r>
          </w:p>
        </w:tc>
      </w:tr>
      <w:tr w:rsidR="00953FD4" w:rsidRPr="00953FD4" w:rsidTr="005E6E01">
        <w:tc>
          <w:tcPr>
            <w:tcW w:w="8046" w:type="dxa"/>
            <w:shd w:val="clear" w:color="auto" w:fill="auto"/>
          </w:tcPr>
          <w:p w:rsidR="00953FD4" w:rsidRPr="00953FD4" w:rsidRDefault="00953FD4" w:rsidP="00953FD4">
            <w:pPr>
              <w:widowControl w:val="0"/>
              <w:tabs>
                <w:tab w:val="left" w:pos="436"/>
                <w:tab w:val="left" w:leader="dot" w:pos="7655"/>
              </w:tabs>
              <w:ind w:left="436" w:hanging="436"/>
              <w:jc w:val="both"/>
              <w:outlineLvl w:val="2"/>
              <w:rPr>
                <w:rFonts w:ascii="Arial Narrow" w:hAnsi="Arial Narrow"/>
                <w:sz w:val="22"/>
                <w:szCs w:val="20"/>
              </w:rPr>
            </w:pPr>
            <w:r w:rsidRPr="00953FD4">
              <w:rPr>
                <w:rFonts w:ascii="Arial Narrow" w:hAnsi="Arial Narrow"/>
                <w:sz w:val="22"/>
                <w:szCs w:val="20"/>
              </w:rPr>
              <w:t>2.</w:t>
            </w:r>
            <w:r w:rsidRPr="00953FD4">
              <w:rPr>
                <w:rFonts w:ascii="Arial Narrow" w:hAnsi="Arial Narrow"/>
                <w:sz w:val="22"/>
                <w:szCs w:val="20"/>
              </w:rPr>
              <w:tab/>
              <w:t>Δαπάνες εξυπηρέτησης χρέους</w:t>
            </w:r>
            <w:r w:rsidRPr="00953FD4">
              <w:rPr>
                <w:rFonts w:ascii="Arial Narrow" w:hAnsi="Arial Narrow"/>
                <w:sz w:val="22"/>
                <w:szCs w:val="20"/>
              </w:rPr>
              <w:tab/>
            </w:r>
          </w:p>
        </w:tc>
        <w:tc>
          <w:tcPr>
            <w:tcW w:w="993" w:type="dxa"/>
            <w:shd w:val="clear" w:color="auto" w:fill="auto"/>
            <w:vAlign w:val="bottom"/>
          </w:tcPr>
          <w:p w:rsidR="00953FD4" w:rsidRPr="00953FD4" w:rsidRDefault="00953FD4" w:rsidP="00953FD4">
            <w:pPr>
              <w:widowControl w:val="0"/>
              <w:tabs>
                <w:tab w:val="left" w:pos="436"/>
              </w:tabs>
              <w:jc w:val="right"/>
              <w:outlineLvl w:val="2"/>
              <w:rPr>
                <w:rFonts w:ascii="Arial Narrow" w:hAnsi="Arial Narrow"/>
                <w:sz w:val="22"/>
                <w:szCs w:val="20"/>
              </w:rPr>
            </w:pPr>
            <w:r w:rsidRPr="00953FD4">
              <w:rPr>
                <w:rFonts w:ascii="Arial Narrow" w:hAnsi="Arial Narrow"/>
                <w:sz w:val="22"/>
                <w:szCs w:val="20"/>
              </w:rPr>
              <w:t>4</w:t>
            </w:r>
            <w:r w:rsidR="009A05C9">
              <w:rPr>
                <w:rFonts w:ascii="Arial Narrow" w:hAnsi="Arial Narrow"/>
                <w:sz w:val="22"/>
                <w:szCs w:val="20"/>
              </w:rPr>
              <w:t>7</w:t>
            </w:r>
          </w:p>
        </w:tc>
      </w:tr>
      <w:tr w:rsidR="00953FD4" w:rsidRPr="00953FD4" w:rsidTr="005E6E01">
        <w:tc>
          <w:tcPr>
            <w:tcW w:w="8046" w:type="dxa"/>
            <w:shd w:val="clear" w:color="auto" w:fill="auto"/>
          </w:tcPr>
          <w:p w:rsidR="00953FD4" w:rsidRPr="00953FD4" w:rsidRDefault="00953FD4" w:rsidP="00953FD4">
            <w:pPr>
              <w:keepNext/>
              <w:widowControl w:val="0"/>
              <w:tabs>
                <w:tab w:val="left" w:pos="436"/>
                <w:tab w:val="left" w:leader="dot" w:pos="7655"/>
              </w:tabs>
              <w:jc w:val="both"/>
              <w:outlineLvl w:val="1"/>
              <w:rPr>
                <w:rFonts w:ascii="Arial Narrow" w:hAnsi="Arial Narrow"/>
                <w:sz w:val="22"/>
                <w:szCs w:val="20"/>
              </w:rPr>
            </w:pPr>
            <w:r w:rsidRPr="00953FD4">
              <w:rPr>
                <w:rFonts w:ascii="Arial Narrow" w:hAnsi="Arial Narrow"/>
                <w:sz w:val="22"/>
                <w:szCs w:val="20"/>
              </w:rPr>
              <w:t>3.</w:t>
            </w:r>
            <w:r w:rsidRPr="00953FD4">
              <w:rPr>
                <w:rFonts w:ascii="Arial Narrow" w:hAnsi="Arial Narrow"/>
                <w:sz w:val="22"/>
                <w:szCs w:val="20"/>
              </w:rPr>
              <w:tab/>
              <w:t>Οι αγορές τίτλων του Ελληνικού Δημοσίου</w:t>
            </w:r>
            <w:r w:rsidRPr="00953FD4">
              <w:rPr>
                <w:rFonts w:ascii="Arial Narrow" w:hAnsi="Arial Narrow"/>
                <w:sz w:val="22"/>
                <w:szCs w:val="20"/>
              </w:rPr>
              <w:tab/>
            </w:r>
          </w:p>
        </w:tc>
        <w:tc>
          <w:tcPr>
            <w:tcW w:w="993" w:type="dxa"/>
            <w:shd w:val="clear" w:color="auto" w:fill="auto"/>
            <w:vAlign w:val="bottom"/>
          </w:tcPr>
          <w:p w:rsidR="00953FD4" w:rsidRPr="00953FD4" w:rsidRDefault="009A05C9" w:rsidP="00953FD4">
            <w:pPr>
              <w:widowControl w:val="0"/>
              <w:tabs>
                <w:tab w:val="left" w:pos="436"/>
              </w:tabs>
              <w:jc w:val="right"/>
              <w:outlineLvl w:val="2"/>
              <w:rPr>
                <w:rFonts w:ascii="Arial Narrow" w:hAnsi="Arial Narrow"/>
                <w:sz w:val="22"/>
                <w:szCs w:val="20"/>
              </w:rPr>
            </w:pPr>
            <w:r>
              <w:rPr>
                <w:rFonts w:ascii="Arial Narrow" w:hAnsi="Arial Narrow"/>
                <w:sz w:val="22"/>
                <w:szCs w:val="20"/>
              </w:rPr>
              <w:t>48</w:t>
            </w:r>
          </w:p>
        </w:tc>
      </w:tr>
      <w:tr w:rsidR="00953FD4" w:rsidRPr="00953FD4" w:rsidTr="005E6E01">
        <w:tc>
          <w:tcPr>
            <w:tcW w:w="8046" w:type="dxa"/>
            <w:shd w:val="clear" w:color="auto" w:fill="auto"/>
          </w:tcPr>
          <w:p w:rsidR="00953FD4" w:rsidRPr="00953FD4" w:rsidRDefault="00953FD4" w:rsidP="009A05C9">
            <w:pPr>
              <w:widowControl w:val="0"/>
              <w:tabs>
                <w:tab w:val="left" w:pos="436"/>
                <w:tab w:val="left" w:leader="dot" w:pos="7655"/>
              </w:tabs>
              <w:jc w:val="both"/>
              <w:outlineLvl w:val="2"/>
              <w:rPr>
                <w:rFonts w:ascii="Arial Narrow" w:hAnsi="Arial Narrow"/>
                <w:sz w:val="22"/>
                <w:szCs w:val="20"/>
              </w:rPr>
            </w:pPr>
            <w:r w:rsidRPr="00953FD4">
              <w:rPr>
                <w:rFonts w:ascii="Arial Narrow" w:hAnsi="Arial Narrow"/>
                <w:sz w:val="22"/>
                <w:szCs w:val="20"/>
              </w:rPr>
              <w:t>4.</w:t>
            </w:r>
            <w:r w:rsidRPr="00953FD4">
              <w:rPr>
                <w:rFonts w:ascii="Arial Narrow" w:hAnsi="Arial Narrow"/>
                <w:sz w:val="22"/>
                <w:szCs w:val="20"/>
              </w:rPr>
              <w:tab/>
              <w:t>Βασικές κατευθύνσεις δανεισμού και διαχειριστικών στόχων για το 2018</w:t>
            </w:r>
            <w:r w:rsidRPr="00953FD4">
              <w:rPr>
                <w:rFonts w:ascii="Arial Narrow" w:hAnsi="Arial Narrow"/>
                <w:sz w:val="22"/>
                <w:szCs w:val="20"/>
              </w:rPr>
              <w:tab/>
            </w:r>
          </w:p>
        </w:tc>
        <w:tc>
          <w:tcPr>
            <w:tcW w:w="993" w:type="dxa"/>
            <w:shd w:val="clear" w:color="auto" w:fill="auto"/>
            <w:vAlign w:val="bottom"/>
          </w:tcPr>
          <w:p w:rsidR="00953FD4" w:rsidRPr="00953FD4" w:rsidRDefault="009A05C9" w:rsidP="00953FD4">
            <w:pPr>
              <w:widowControl w:val="0"/>
              <w:tabs>
                <w:tab w:val="left" w:pos="436"/>
              </w:tabs>
              <w:jc w:val="right"/>
              <w:outlineLvl w:val="2"/>
              <w:rPr>
                <w:rFonts w:ascii="Arial Narrow" w:hAnsi="Arial Narrow"/>
                <w:sz w:val="22"/>
                <w:szCs w:val="20"/>
              </w:rPr>
            </w:pPr>
            <w:r>
              <w:rPr>
                <w:rFonts w:ascii="Arial Narrow" w:hAnsi="Arial Narrow"/>
                <w:sz w:val="22"/>
                <w:szCs w:val="20"/>
              </w:rPr>
              <w:t>49</w:t>
            </w:r>
          </w:p>
        </w:tc>
      </w:tr>
      <w:tr w:rsidR="00953FD4" w:rsidRPr="00953FD4" w:rsidTr="005E6E01">
        <w:tc>
          <w:tcPr>
            <w:tcW w:w="8046" w:type="dxa"/>
          </w:tcPr>
          <w:p w:rsidR="00953FD4" w:rsidRPr="00953FD4" w:rsidRDefault="00953FD4" w:rsidP="00953FD4">
            <w:pPr>
              <w:widowControl w:val="0"/>
              <w:tabs>
                <w:tab w:val="left" w:pos="436"/>
                <w:tab w:val="left" w:leader="dot" w:pos="7655"/>
              </w:tabs>
              <w:jc w:val="both"/>
              <w:rPr>
                <w:rFonts w:ascii="Arial Narrow" w:hAnsi="Arial Narrow"/>
                <w:b/>
                <w:sz w:val="22"/>
                <w:szCs w:val="20"/>
              </w:rPr>
            </w:pPr>
          </w:p>
        </w:tc>
        <w:tc>
          <w:tcPr>
            <w:tcW w:w="993" w:type="dxa"/>
            <w:vAlign w:val="bottom"/>
          </w:tcPr>
          <w:p w:rsidR="00953FD4" w:rsidRPr="00953FD4" w:rsidRDefault="00953FD4" w:rsidP="00953FD4">
            <w:pPr>
              <w:widowControl w:val="0"/>
              <w:tabs>
                <w:tab w:val="left" w:pos="436"/>
              </w:tabs>
              <w:jc w:val="right"/>
              <w:rPr>
                <w:rFonts w:ascii="Arial Narrow" w:hAnsi="Arial Narrow"/>
                <w:b/>
                <w:sz w:val="22"/>
                <w:szCs w:val="20"/>
              </w:rPr>
            </w:pPr>
          </w:p>
        </w:tc>
      </w:tr>
      <w:tr w:rsidR="00953FD4" w:rsidRPr="00953FD4" w:rsidTr="005E6E01">
        <w:tc>
          <w:tcPr>
            <w:tcW w:w="8046" w:type="dxa"/>
          </w:tcPr>
          <w:p w:rsidR="00953FD4" w:rsidRPr="00953FD4" w:rsidRDefault="00953FD4" w:rsidP="00953FD4">
            <w:pPr>
              <w:widowControl w:val="0"/>
              <w:tabs>
                <w:tab w:val="left" w:pos="436"/>
                <w:tab w:val="left" w:leader="dot" w:pos="7655"/>
              </w:tabs>
              <w:jc w:val="both"/>
              <w:rPr>
                <w:rFonts w:ascii="Arial Narrow" w:hAnsi="Arial Narrow"/>
                <w:b/>
                <w:sz w:val="22"/>
                <w:szCs w:val="20"/>
              </w:rPr>
            </w:pPr>
          </w:p>
        </w:tc>
        <w:tc>
          <w:tcPr>
            <w:tcW w:w="993" w:type="dxa"/>
            <w:vAlign w:val="bottom"/>
          </w:tcPr>
          <w:p w:rsidR="00953FD4" w:rsidRPr="00953FD4" w:rsidRDefault="00953FD4" w:rsidP="00953FD4">
            <w:pPr>
              <w:widowControl w:val="0"/>
              <w:tabs>
                <w:tab w:val="left" w:pos="436"/>
              </w:tabs>
              <w:jc w:val="right"/>
              <w:rPr>
                <w:rFonts w:ascii="Arial Narrow" w:hAnsi="Arial Narrow"/>
                <w:sz w:val="20"/>
                <w:szCs w:val="20"/>
              </w:rPr>
            </w:pPr>
          </w:p>
        </w:tc>
      </w:tr>
    </w:tbl>
    <w:p w:rsidR="00953FD4" w:rsidRPr="00953FD4" w:rsidRDefault="00953FD4" w:rsidP="00953FD4">
      <w:pPr>
        <w:jc w:val="both"/>
        <w:rPr>
          <w:sz w:val="20"/>
          <w:szCs w:val="20"/>
        </w:rPr>
      </w:pPr>
    </w:p>
    <w:p w:rsidR="00953FD4" w:rsidRPr="00953FD4" w:rsidRDefault="00953FD4" w:rsidP="00953FD4">
      <w:pPr>
        <w:jc w:val="both"/>
        <w:rPr>
          <w:sz w:val="20"/>
          <w:szCs w:val="20"/>
        </w:rPr>
      </w:pPr>
    </w:p>
    <w:p w:rsidR="00953FD4" w:rsidRDefault="00953FD4">
      <w:pPr>
        <w:rPr>
          <w:sz w:val="20"/>
          <w:szCs w:val="20"/>
        </w:rPr>
      </w:pPr>
      <w:r>
        <w:rPr>
          <w:sz w:val="20"/>
          <w:szCs w:val="20"/>
        </w:rPr>
        <w:br w:type="page"/>
      </w:r>
    </w:p>
    <w:p w:rsidR="00953FD4" w:rsidRPr="00953FD4" w:rsidRDefault="00953FD4" w:rsidP="00953FD4">
      <w:pPr>
        <w:jc w:val="both"/>
        <w:rPr>
          <w:sz w:val="20"/>
          <w:szCs w:val="20"/>
        </w:rPr>
      </w:pPr>
    </w:p>
    <w:p w:rsidR="003B594D" w:rsidRDefault="003B594D">
      <w:pPr>
        <w:rPr>
          <w:b/>
        </w:rPr>
      </w:pPr>
    </w:p>
    <w:p w:rsidR="003B594D" w:rsidRDefault="003B594D">
      <w:pPr>
        <w:rPr>
          <w:b/>
        </w:rPr>
        <w:sectPr w:rsidR="003B594D" w:rsidSect="004213BC">
          <w:pgSz w:w="11906" w:h="16838" w:code="9"/>
          <w:pgMar w:top="1418" w:right="1418" w:bottom="1418" w:left="1418" w:header="709" w:footer="709" w:gutter="0"/>
          <w:pgNumType w:start="7"/>
          <w:cols w:space="708"/>
          <w:docGrid w:linePitch="360"/>
        </w:sectPr>
      </w:pPr>
    </w:p>
    <w:p w:rsidR="003B594D" w:rsidRPr="003B594D" w:rsidRDefault="003B594D">
      <w:pPr>
        <w:rPr>
          <w:b/>
        </w:rPr>
      </w:pPr>
    </w:p>
    <w:p w:rsidR="003B594D" w:rsidRPr="003B594D" w:rsidRDefault="003B594D">
      <w:pPr>
        <w:rPr>
          <w:b/>
        </w:rPr>
      </w:pPr>
    </w:p>
    <w:p w:rsidR="00BF4161" w:rsidRPr="001E0957" w:rsidRDefault="00BF4161">
      <w:pPr>
        <w:jc w:val="both"/>
        <w:rPr>
          <w:rFonts w:ascii="Arial Narrow" w:hAnsi="Arial Narrow"/>
          <w:b/>
          <w:color w:val="000080"/>
          <w:sz w:val="40"/>
          <w:szCs w:val="22"/>
        </w:rPr>
      </w:pPr>
      <w:r w:rsidRPr="001E0957">
        <w:rPr>
          <w:rFonts w:ascii="Arial Narrow" w:hAnsi="Arial Narrow"/>
          <w:b/>
          <w:color w:val="000080"/>
          <w:sz w:val="40"/>
          <w:szCs w:val="22"/>
        </w:rPr>
        <w:t>ΟΙΚΟΝΟΜΙΚΕΣ ΕΞΕΛΙΞΕΙΣ</w:t>
      </w:r>
    </w:p>
    <w:p w:rsidR="00BF4161" w:rsidRPr="001E0957" w:rsidRDefault="00BF4161">
      <w:pPr>
        <w:jc w:val="both"/>
        <w:rPr>
          <w:rFonts w:ascii="Arial Narrow" w:hAnsi="Arial Narrow"/>
          <w:b/>
          <w:color w:val="000080"/>
          <w:sz w:val="40"/>
          <w:szCs w:val="22"/>
        </w:rPr>
      </w:pPr>
      <w:r w:rsidRPr="001E0957">
        <w:rPr>
          <w:rFonts w:ascii="Arial Narrow" w:hAnsi="Arial Narrow"/>
          <w:b/>
          <w:color w:val="000080"/>
          <w:sz w:val="40"/>
          <w:szCs w:val="22"/>
        </w:rPr>
        <w:t>ΚΑΙ ΠΡΟΟΠΤΙΚΕΣ</w:t>
      </w:r>
    </w:p>
    <w:p w:rsidR="00BF4161" w:rsidRDefault="00BF4161">
      <w:pPr>
        <w:jc w:val="both"/>
        <w:rPr>
          <w:szCs w:val="22"/>
        </w:rPr>
      </w:pPr>
    </w:p>
    <w:p w:rsidR="00BF4161" w:rsidRDefault="00BF4161">
      <w:pPr>
        <w:jc w:val="both"/>
        <w:rPr>
          <w:szCs w:val="22"/>
        </w:rPr>
      </w:pPr>
    </w:p>
    <w:p w:rsidR="00BF4161" w:rsidRDefault="00BF4161">
      <w:pPr>
        <w:jc w:val="both"/>
        <w:rPr>
          <w:szCs w:val="22"/>
        </w:rPr>
      </w:pPr>
    </w:p>
    <w:p w:rsidR="00BF4161" w:rsidRPr="00966494" w:rsidRDefault="00BF4161" w:rsidP="00E951A2">
      <w:pPr>
        <w:shd w:val="clear" w:color="auto" w:fill="BFBFBF" w:themeFill="background1" w:themeFillShade="BF"/>
        <w:tabs>
          <w:tab w:val="left" w:pos="540"/>
        </w:tabs>
        <w:jc w:val="both"/>
        <w:rPr>
          <w:rFonts w:ascii="Arial Narrow" w:hAnsi="Arial Narrow"/>
          <w:b/>
          <w:sz w:val="26"/>
          <w:szCs w:val="22"/>
        </w:rPr>
      </w:pPr>
      <w:bookmarkStart w:id="0" w:name="OLE_LINK1"/>
      <w:r w:rsidRPr="00966494">
        <w:rPr>
          <w:rFonts w:ascii="Arial Narrow" w:hAnsi="Arial Narrow"/>
          <w:b/>
          <w:sz w:val="26"/>
          <w:szCs w:val="22"/>
        </w:rPr>
        <w:t>1.</w:t>
      </w:r>
      <w:r w:rsidRPr="00966494">
        <w:rPr>
          <w:rFonts w:ascii="Arial Narrow" w:hAnsi="Arial Narrow"/>
          <w:b/>
          <w:sz w:val="26"/>
          <w:szCs w:val="22"/>
        </w:rPr>
        <w:tab/>
      </w:r>
      <w:r w:rsidR="00190132">
        <w:rPr>
          <w:rFonts w:ascii="Arial Narrow" w:hAnsi="Arial Narrow"/>
          <w:b/>
          <w:sz w:val="26"/>
          <w:szCs w:val="22"/>
        </w:rPr>
        <w:t>Διεθνείς ο</w:t>
      </w:r>
      <w:r w:rsidR="00F05384" w:rsidRPr="00966494">
        <w:rPr>
          <w:rFonts w:ascii="Arial Narrow" w:hAnsi="Arial Narrow"/>
          <w:b/>
          <w:sz w:val="26"/>
          <w:szCs w:val="22"/>
        </w:rPr>
        <w:t>ικονομικές εξελίξεις</w:t>
      </w:r>
    </w:p>
    <w:bookmarkEnd w:id="0"/>
    <w:p w:rsidR="00005975" w:rsidRPr="005C3B7B" w:rsidRDefault="00005975" w:rsidP="00005975">
      <w:pPr>
        <w:jc w:val="both"/>
        <w:rPr>
          <w:szCs w:val="22"/>
        </w:rPr>
      </w:pPr>
    </w:p>
    <w:p w:rsidR="009B2352" w:rsidRPr="009B2352" w:rsidRDefault="009B2352" w:rsidP="009B2352">
      <w:pPr>
        <w:jc w:val="both"/>
        <w:rPr>
          <w:szCs w:val="22"/>
        </w:rPr>
      </w:pPr>
      <w:r w:rsidRPr="009B2352">
        <w:rPr>
          <w:szCs w:val="22"/>
        </w:rPr>
        <w:t>Η παγκόσμια οικονομική ανάπτυξη αναμέν</w:t>
      </w:r>
      <w:r w:rsidR="007322B1">
        <w:rPr>
          <w:szCs w:val="22"/>
        </w:rPr>
        <w:t>εται να συνεχίσει να ανακάμπτει</w:t>
      </w:r>
      <w:r w:rsidR="007322B1" w:rsidRPr="007322B1">
        <w:rPr>
          <w:szCs w:val="22"/>
        </w:rPr>
        <w:t xml:space="preserve">, </w:t>
      </w:r>
      <w:r w:rsidR="007322B1">
        <w:rPr>
          <w:szCs w:val="22"/>
        </w:rPr>
        <w:t>καθώς ο</w:t>
      </w:r>
      <w:r w:rsidRPr="009B2352">
        <w:rPr>
          <w:szCs w:val="22"/>
        </w:rPr>
        <w:t>ι βρ</w:t>
      </w:r>
      <w:r w:rsidRPr="009B2352">
        <w:rPr>
          <w:szCs w:val="22"/>
        </w:rPr>
        <w:t>α</w:t>
      </w:r>
      <w:r w:rsidRPr="009B2352">
        <w:rPr>
          <w:szCs w:val="22"/>
        </w:rPr>
        <w:t>χυπρόθεσμες προοπτικές</w:t>
      </w:r>
      <w:r w:rsidR="00AE369D">
        <w:rPr>
          <w:szCs w:val="22"/>
        </w:rPr>
        <w:t xml:space="preserve"> της</w:t>
      </w:r>
      <w:r w:rsidRPr="009B2352">
        <w:rPr>
          <w:szCs w:val="22"/>
        </w:rPr>
        <w:t xml:space="preserve"> χαρακτηρίζονται αισιόδοξες. Σύμφωνα με τα αναφερόμενα στην αναθεωρημένη έκθεση</w:t>
      </w:r>
      <w:r w:rsidRPr="005C2D49">
        <w:rPr>
          <w:szCs w:val="22"/>
          <w:vertAlign w:val="superscript"/>
        </w:rPr>
        <w:footnoteReference w:id="1"/>
      </w:r>
      <w:r w:rsidRPr="009B2352">
        <w:rPr>
          <w:szCs w:val="22"/>
        </w:rPr>
        <w:t xml:space="preserve"> του Διεθνούς Νομισματικού Ταμείου (ΔΝΤ) η παγκόσμια αναπτυξ</w:t>
      </w:r>
      <w:r w:rsidRPr="009B2352">
        <w:rPr>
          <w:szCs w:val="22"/>
        </w:rPr>
        <w:t>ι</w:t>
      </w:r>
      <w:r w:rsidRPr="009B2352">
        <w:rPr>
          <w:szCs w:val="22"/>
        </w:rPr>
        <w:t>ακή δυναμική</w:t>
      </w:r>
      <w:r w:rsidR="007322B1">
        <w:rPr>
          <w:szCs w:val="22"/>
        </w:rPr>
        <w:t xml:space="preserve"> διατηρείται</w:t>
      </w:r>
      <w:r w:rsidRPr="009B2352">
        <w:rPr>
          <w:szCs w:val="22"/>
        </w:rPr>
        <w:t>, δεχόμενη ώθηση από την ολοένα ενισχυόμενη προοπτική ανάπτ</w:t>
      </w:r>
      <w:r w:rsidRPr="009B2352">
        <w:rPr>
          <w:szCs w:val="22"/>
        </w:rPr>
        <w:t>υ</w:t>
      </w:r>
      <w:r w:rsidRPr="009B2352">
        <w:rPr>
          <w:szCs w:val="22"/>
        </w:rPr>
        <w:t>ξης των αναδυόμενων αγορών.</w:t>
      </w:r>
    </w:p>
    <w:p w:rsidR="009B2352" w:rsidRDefault="009B2352" w:rsidP="009B2352">
      <w:pPr>
        <w:jc w:val="both"/>
        <w:rPr>
          <w:szCs w:val="22"/>
        </w:rPr>
      </w:pPr>
    </w:p>
    <w:p w:rsidR="009B2352" w:rsidRPr="009B2352" w:rsidRDefault="009B2352" w:rsidP="009B2352">
      <w:pPr>
        <w:jc w:val="both"/>
        <w:rPr>
          <w:szCs w:val="22"/>
        </w:rPr>
      </w:pPr>
      <w:r w:rsidRPr="009B2352">
        <w:rPr>
          <w:szCs w:val="22"/>
        </w:rPr>
        <w:t>Ειδικότερα, η έκθεση του Ιουλίου 2017 προβλέπει αύξηση του παγκόσμιου ΑΕΠ κατά 3,5% το 2017 και 3,6% το 2018 (πίνακας 1.1). Οι ρυθμοί αύξησης του Παγκόσμιου ΑΕΠ παραμ</w:t>
      </w:r>
      <w:r w:rsidRPr="009B2352">
        <w:rPr>
          <w:szCs w:val="22"/>
        </w:rPr>
        <w:t>έ</w:t>
      </w:r>
      <w:r w:rsidRPr="009B2352">
        <w:rPr>
          <w:szCs w:val="22"/>
        </w:rPr>
        <w:t>νουν αμετάβλητοι τόσο για το 2017 όσο και για το 2018 συγκριτικά με την προηγούμενη έ</w:t>
      </w:r>
      <w:r w:rsidRPr="009B2352">
        <w:rPr>
          <w:szCs w:val="22"/>
        </w:rPr>
        <w:t>κ</w:t>
      </w:r>
      <w:r w:rsidRPr="009B2352">
        <w:rPr>
          <w:szCs w:val="22"/>
        </w:rPr>
        <w:t>θεση του Απριλίου του ιδίου έτους. Ωστόσο, υπάρχουν διαφορές σε επίπεδο χωρών.</w:t>
      </w:r>
    </w:p>
    <w:p w:rsidR="009B2352" w:rsidRDefault="009B2352" w:rsidP="009B2352">
      <w:pPr>
        <w:jc w:val="both"/>
        <w:rPr>
          <w:szCs w:val="22"/>
        </w:rPr>
      </w:pPr>
    </w:p>
    <w:p w:rsidR="009B2352" w:rsidRPr="009B2352" w:rsidRDefault="009B2352" w:rsidP="009B2352">
      <w:pPr>
        <w:jc w:val="both"/>
        <w:rPr>
          <w:szCs w:val="22"/>
        </w:rPr>
      </w:pPr>
      <w:r w:rsidRPr="009B2352">
        <w:rPr>
          <w:szCs w:val="22"/>
        </w:rPr>
        <w:t>Γι</w:t>
      </w:r>
      <w:r w:rsidR="005C2D49">
        <w:rPr>
          <w:szCs w:val="22"/>
        </w:rPr>
        <w:t xml:space="preserve">α τις αναπτυγμένες οικονομίες οι </w:t>
      </w:r>
      <w:r w:rsidRPr="009B2352">
        <w:rPr>
          <w:szCs w:val="22"/>
        </w:rPr>
        <w:t>προοπτικές υποδηλώνουν τη συνέχιση της κυκλικής αν</w:t>
      </w:r>
      <w:r w:rsidRPr="009B2352">
        <w:rPr>
          <w:szCs w:val="22"/>
        </w:rPr>
        <w:t>ά</w:t>
      </w:r>
      <w:r w:rsidRPr="009B2352">
        <w:rPr>
          <w:szCs w:val="22"/>
        </w:rPr>
        <w:t>καμψης. Στην έκθεσή του το ΔΝΤ προβλέπει την οικονομική δραστηριότητα σε 2% και 1,9% για τ</w:t>
      </w:r>
      <w:r w:rsidR="004B6DE9">
        <w:rPr>
          <w:szCs w:val="22"/>
        </w:rPr>
        <w:t>α έτη</w:t>
      </w:r>
      <w:r w:rsidRPr="009B2352">
        <w:rPr>
          <w:szCs w:val="22"/>
        </w:rPr>
        <w:t xml:space="preserve"> 2017 και 2018 αντίστοιχα. Το ποσοστό παραμένει αμετάβλητο για το έτος 2017, ενώ παρουσιάζεται μειωμένο κατά 0,1% για το έτος 2018 </w:t>
      </w:r>
      <w:r w:rsidR="004B6DE9">
        <w:rPr>
          <w:szCs w:val="22"/>
        </w:rPr>
        <w:t>συγκριτικά με</w:t>
      </w:r>
      <w:r w:rsidRPr="009B2352">
        <w:rPr>
          <w:szCs w:val="22"/>
        </w:rPr>
        <w:t xml:space="preserve"> τις προβλέψεις του Απριλίου του ιδίου έτους. </w:t>
      </w:r>
    </w:p>
    <w:p w:rsidR="009B2352" w:rsidRDefault="009B2352" w:rsidP="009B2352">
      <w:pPr>
        <w:jc w:val="both"/>
        <w:rPr>
          <w:szCs w:val="22"/>
        </w:rPr>
      </w:pPr>
    </w:p>
    <w:p w:rsidR="009B2352" w:rsidRPr="009B2352" w:rsidRDefault="007322B1" w:rsidP="009B2352">
      <w:pPr>
        <w:jc w:val="both"/>
        <w:rPr>
          <w:szCs w:val="22"/>
        </w:rPr>
      </w:pPr>
      <w:r>
        <w:rPr>
          <w:szCs w:val="22"/>
        </w:rPr>
        <w:t>Γ</w:t>
      </w:r>
      <w:r w:rsidR="009B2352" w:rsidRPr="009B2352">
        <w:rPr>
          <w:szCs w:val="22"/>
        </w:rPr>
        <w:t>ια την Ευρωζώνη</w:t>
      </w:r>
      <w:r>
        <w:rPr>
          <w:szCs w:val="22"/>
        </w:rPr>
        <w:t xml:space="preserve"> συνολικά</w:t>
      </w:r>
      <w:r w:rsidR="009B2352" w:rsidRPr="009B2352">
        <w:rPr>
          <w:szCs w:val="22"/>
        </w:rPr>
        <w:t>, το ΔΝΤ προβλέπει θετικούς ρυθμούς ανάπτυξης 1,9% το 2017 και 1,7% το 2018</w:t>
      </w:r>
      <w:r>
        <w:rPr>
          <w:szCs w:val="22"/>
        </w:rPr>
        <w:t>, καθώς η εγχώρια ζήτηση παρουσιάζει ισχυρότερη δυναμική σε σχέση με τις αρχικές προβλέψεις</w:t>
      </w:r>
      <w:r w:rsidR="009B2352" w:rsidRPr="009B2352">
        <w:rPr>
          <w:szCs w:val="22"/>
        </w:rPr>
        <w:t>. Επί τα βελτίω αναθεωρεί τις προβλέψεις της για την Ευρωζώνη και η Ευρωπαϊκή Κεντρική Τράπεζα</w:t>
      </w:r>
      <w:r w:rsidR="009B2352" w:rsidRPr="005C2D49">
        <w:rPr>
          <w:szCs w:val="22"/>
          <w:vertAlign w:val="superscript"/>
        </w:rPr>
        <w:footnoteReference w:id="2"/>
      </w:r>
      <w:r w:rsidR="009B2352" w:rsidRPr="009B2352">
        <w:rPr>
          <w:szCs w:val="22"/>
        </w:rPr>
        <w:t xml:space="preserve"> (ΕΚΤ) </w:t>
      </w:r>
      <w:r>
        <w:rPr>
          <w:szCs w:val="22"/>
        </w:rPr>
        <w:t xml:space="preserve">και συγκεκριμένα σε </w:t>
      </w:r>
      <w:r w:rsidR="009B2352" w:rsidRPr="009B2352">
        <w:rPr>
          <w:szCs w:val="22"/>
        </w:rPr>
        <w:t>2,2% για το έτος 2017 σύμφωνα με τα στοιχεία του Σεπτεμβρίου</w:t>
      </w:r>
      <w:r w:rsidR="00570539">
        <w:rPr>
          <w:szCs w:val="22"/>
        </w:rPr>
        <w:t xml:space="preserve"> 2017</w:t>
      </w:r>
      <w:r w:rsidR="009B2352" w:rsidRPr="009B2352">
        <w:rPr>
          <w:szCs w:val="22"/>
        </w:rPr>
        <w:t>, έναντι πρ</w:t>
      </w:r>
      <w:r w:rsidR="00570539">
        <w:rPr>
          <w:szCs w:val="22"/>
        </w:rPr>
        <w:t>οηγούμενης</w:t>
      </w:r>
      <w:r w:rsidR="009B2352" w:rsidRPr="009B2352">
        <w:rPr>
          <w:szCs w:val="22"/>
        </w:rPr>
        <w:t xml:space="preserve"> εκτίμησης 1,9% τον Ιούνιο του ιδίου έτους. Για το 2018 προβλέπει ρυθμό ανάπτυξης 1,8% αμετάβλητο συγκριτικά με τα στοιχεία του Ιουνίου του </w:t>
      </w:r>
      <w:r w:rsidR="00570539">
        <w:rPr>
          <w:szCs w:val="22"/>
        </w:rPr>
        <w:t>2017</w:t>
      </w:r>
      <w:r w:rsidR="009B2352" w:rsidRPr="009B2352">
        <w:rPr>
          <w:szCs w:val="22"/>
        </w:rPr>
        <w:t xml:space="preserve">. </w:t>
      </w:r>
    </w:p>
    <w:p w:rsidR="009B2352" w:rsidRDefault="009B2352" w:rsidP="009B2352">
      <w:pPr>
        <w:jc w:val="both"/>
        <w:rPr>
          <w:szCs w:val="22"/>
        </w:rPr>
      </w:pPr>
    </w:p>
    <w:p w:rsidR="009B2352" w:rsidRPr="009B2352" w:rsidRDefault="009B2352" w:rsidP="009B2352">
      <w:pPr>
        <w:jc w:val="both"/>
        <w:rPr>
          <w:szCs w:val="22"/>
        </w:rPr>
      </w:pPr>
      <w:r w:rsidRPr="009B2352">
        <w:rPr>
          <w:szCs w:val="22"/>
        </w:rPr>
        <w:t>Σ</w:t>
      </w:r>
      <w:r w:rsidR="00D977E7">
        <w:rPr>
          <w:szCs w:val="22"/>
        </w:rPr>
        <w:t>ύμφωνα με την αναθεωρημένη έκθεση Ιουλίου 2017 του ΔΝΤ, σ</w:t>
      </w:r>
      <w:r w:rsidRPr="009B2352">
        <w:rPr>
          <w:szCs w:val="22"/>
        </w:rPr>
        <w:t>τις αναδυόμενες και ανα</w:t>
      </w:r>
      <w:r w:rsidRPr="009B2352">
        <w:rPr>
          <w:szCs w:val="22"/>
        </w:rPr>
        <w:t>π</w:t>
      </w:r>
      <w:r w:rsidRPr="009B2352">
        <w:rPr>
          <w:szCs w:val="22"/>
        </w:rPr>
        <w:t>τυσσόμενες οικονομίες η ανάπτυξη αναμένεται να σ</w:t>
      </w:r>
      <w:r w:rsidR="007322B1">
        <w:rPr>
          <w:szCs w:val="22"/>
        </w:rPr>
        <w:t>υνεχιστεί και να διαμορφωθεί σε</w:t>
      </w:r>
      <w:r w:rsidRPr="009B2352">
        <w:rPr>
          <w:szCs w:val="22"/>
        </w:rPr>
        <w:t xml:space="preserve"> 4,6% το 2017 και 4,8% το 2018 κατά 0,1% υψηλότερη για το 2017 και αμετάβλητη για το 2018 συ</w:t>
      </w:r>
      <w:r w:rsidRPr="009B2352">
        <w:rPr>
          <w:szCs w:val="22"/>
        </w:rPr>
        <w:t>γ</w:t>
      </w:r>
      <w:r w:rsidRPr="009B2352">
        <w:rPr>
          <w:szCs w:val="22"/>
        </w:rPr>
        <w:t xml:space="preserve">κριτικά με τα στοιχεία του Απριλίου. </w:t>
      </w:r>
    </w:p>
    <w:p w:rsidR="009B2352" w:rsidRPr="00905F63" w:rsidRDefault="009B2352" w:rsidP="009B2352">
      <w:pPr>
        <w:jc w:val="both"/>
        <w:rPr>
          <w:szCs w:val="22"/>
        </w:rPr>
      </w:pPr>
    </w:p>
    <w:p w:rsidR="009B2352" w:rsidRPr="009B2352" w:rsidRDefault="009B2352" w:rsidP="009B2352">
      <w:pPr>
        <w:jc w:val="both"/>
        <w:rPr>
          <w:szCs w:val="22"/>
        </w:rPr>
      </w:pPr>
      <w:r w:rsidRPr="009B2352">
        <w:rPr>
          <w:szCs w:val="22"/>
        </w:rPr>
        <w:t>Ο παγκόσμιος πληθωρισμός αναμένεται να αυξηθεί με αργό ρυθμό, δεδομένης της περιορι</w:t>
      </w:r>
      <w:r w:rsidRPr="009B2352">
        <w:rPr>
          <w:szCs w:val="22"/>
        </w:rPr>
        <w:t>σ</w:t>
      </w:r>
      <w:r w:rsidRPr="009B2352">
        <w:rPr>
          <w:szCs w:val="22"/>
        </w:rPr>
        <w:t xml:space="preserve">μένης ανάκαμψης των διεθνών τιμών των εμπορευμάτων το 2017 και </w:t>
      </w:r>
      <w:r w:rsidR="00D977E7">
        <w:rPr>
          <w:szCs w:val="22"/>
        </w:rPr>
        <w:t xml:space="preserve">το </w:t>
      </w:r>
      <w:r w:rsidRPr="009B2352">
        <w:rPr>
          <w:szCs w:val="22"/>
        </w:rPr>
        <w:t xml:space="preserve">2018, και ειδικότερα των τιμών στον κλάδο ενέργειας. Σύμφωνα με το ΔΝΤ, η μέση τιμή του αργού πετρελαίου (UK </w:t>
      </w:r>
      <w:proofErr w:type="spellStart"/>
      <w:r w:rsidRPr="009B2352">
        <w:rPr>
          <w:szCs w:val="22"/>
        </w:rPr>
        <w:t>Brent</w:t>
      </w:r>
      <w:proofErr w:type="spellEnd"/>
      <w:r w:rsidRPr="009B2352">
        <w:rPr>
          <w:szCs w:val="22"/>
        </w:rPr>
        <w:t xml:space="preserve">, </w:t>
      </w:r>
      <w:proofErr w:type="spellStart"/>
      <w:r w:rsidRPr="009B2352">
        <w:rPr>
          <w:szCs w:val="22"/>
        </w:rPr>
        <w:t>Dubai</w:t>
      </w:r>
      <w:proofErr w:type="spellEnd"/>
      <w:r w:rsidRPr="009B2352">
        <w:rPr>
          <w:szCs w:val="22"/>
        </w:rPr>
        <w:t xml:space="preserve"> </w:t>
      </w:r>
      <w:proofErr w:type="spellStart"/>
      <w:r w:rsidRPr="009B2352">
        <w:rPr>
          <w:szCs w:val="22"/>
        </w:rPr>
        <w:t>Fateh</w:t>
      </w:r>
      <w:proofErr w:type="spellEnd"/>
      <w:r w:rsidRPr="009B2352">
        <w:rPr>
          <w:szCs w:val="22"/>
        </w:rPr>
        <w:t xml:space="preserve"> και </w:t>
      </w:r>
      <w:proofErr w:type="spellStart"/>
      <w:r w:rsidRPr="009B2352">
        <w:rPr>
          <w:szCs w:val="22"/>
        </w:rPr>
        <w:t>West</w:t>
      </w:r>
      <w:proofErr w:type="spellEnd"/>
      <w:r w:rsidRPr="009B2352">
        <w:rPr>
          <w:szCs w:val="22"/>
        </w:rPr>
        <w:t xml:space="preserve"> </w:t>
      </w:r>
      <w:proofErr w:type="spellStart"/>
      <w:r w:rsidRPr="009B2352">
        <w:rPr>
          <w:szCs w:val="22"/>
        </w:rPr>
        <w:t>Texas</w:t>
      </w:r>
      <w:proofErr w:type="spellEnd"/>
      <w:r w:rsidRPr="009B2352">
        <w:rPr>
          <w:szCs w:val="22"/>
        </w:rPr>
        <w:t xml:space="preserve"> </w:t>
      </w:r>
      <w:proofErr w:type="spellStart"/>
      <w:r w:rsidRPr="009B2352">
        <w:rPr>
          <w:szCs w:val="22"/>
        </w:rPr>
        <w:t>Intermediate</w:t>
      </w:r>
      <w:proofErr w:type="spellEnd"/>
      <w:r w:rsidRPr="009B2352">
        <w:rPr>
          <w:szCs w:val="22"/>
        </w:rPr>
        <w:t>, που αποτελεί βάση αναφοράς για τη διαμόρφωση των τιμών) διαμορφώθηκε στα 42,8 δολάρια το βαρέλι το 2016. Για το 2017 προβλέπεται μέση τιμή του αργού πετρελαίου στα 51,9 δολάρια το βαρέλι και 52,0 δολάρια το βαρέλι για το 2018</w:t>
      </w:r>
      <w:r w:rsidRPr="005C2D49">
        <w:rPr>
          <w:szCs w:val="22"/>
          <w:vertAlign w:val="superscript"/>
        </w:rPr>
        <w:footnoteReference w:id="3"/>
      </w:r>
      <w:r w:rsidRPr="009B2352">
        <w:rPr>
          <w:szCs w:val="22"/>
        </w:rPr>
        <w:t xml:space="preserve">. Η πρόσφατη παράταση της συμφωνίας του ΟΠΕΚ δεν έχει προς το </w:t>
      </w:r>
      <w:r w:rsidRPr="009B2352">
        <w:rPr>
          <w:szCs w:val="22"/>
        </w:rPr>
        <w:lastRenderedPageBreak/>
        <w:t>παρόν οδηγήσει στα αναμενόμενα αποτελέσματα, πιθανώς λόγω του επιπέδου των</w:t>
      </w:r>
      <w:r w:rsidR="005C2D49">
        <w:rPr>
          <w:szCs w:val="22"/>
        </w:rPr>
        <w:t xml:space="preserve"> </w:t>
      </w:r>
      <w:r w:rsidRPr="009B2352">
        <w:rPr>
          <w:szCs w:val="22"/>
        </w:rPr>
        <w:t>αποθεμ</w:t>
      </w:r>
      <w:r w:rsidRPr="009B2352">
        <w:rPr>
          <w:szCs w:val="22"/>
        </w:rPr>
        <w:t>ά</w:t>
      </w:r>
      <w:r w:rsidRPr="009B2352">
        <w:rPr>
          <w:szCs w:val="22"/>
        </w:rPr>
        <w:t>των πετρελαίου των ΗΠΑ και της πιθανής αύξησης της παραγωγής σχιστολιθικού πετρελα</w:t>
      </w:r>
      <w:r w:rsidRPr="009B2352">
        <w:rPr>
          <w:szCs w:val="22"/>
        </w:rPr>
        <w:t>ί</w:t>
      </w:r>
      <w:r w:rsidRPr="009B2352">
        <w:rPr>
          <w:szCs w:val="22"/>
        </w:rPr>
        <w:t xml:space="preserve">ου, καθώς και ανησυχιών ότι ορισμένες από τις μεγαλύτερες πετρελαιοπαραγωγούς χώρες μπορεί να </w:t>
      </w:r>
      <w:r w:rsidR="00D977E7">
        <w:rPr>
          <w:szCs w:val="22"/>
        </w:rPr>
        <w:t>διαφοροποιηθούν</w:t>
      </w:r>
      <w:r w:rsidRPr="009B2352">
        <w:rPr>
          <w:szCs w:val="22"/>
        </w:rPr>
        <w:t xml:space="preserve"> από τη συμφωνία. Ο πληθωρισμός προβλέπεται στο 1,9% και 1,8% για τ</w:t>
      </w:r>
      <w:r w:rsidR="00D977E7">
        <w:rPr>
          <w:szCs w:val="22"/>
        </w:rPr>
        <w:t xml:space="preserve">α έτη </w:t>
      </w:r>
      <w:r w:rsidRPr="009B2352">
        <w:rPr>
          <w:szCs w:val="22"/>
        </w:rPr>
        <w:t>2017 και 2018, αντιστοίχως, στις προηγμένες οικονομίες και στο 4,5% και 4,6% για τις αναδυόμενες αγορές και τις αναπτυσσόμενες οικονομίες.</w:t>
      </w:r>
    </w:p>
    <w:p w:rsidR="009B2352" w:rsidRDefault="009B2352" w:rsidP="009B2352">
      <w:pPr>
        <w:jc w:val="both"/>
        <w:rPr>
          <w:szCs w:val="22"/>
        </w:rPr>
      </w:pPr>
    </w:p>
    <w:p w:rsidR="009B2352" w:rsidRPr="009B2352" w:rsidRDefault="009B2352" w:rsidP="009B2352">
      <w:pPr>
        <w:jc w:val="both"/>
        <w:rPr>
          <w:szCs w:val="22"/>
        </w:rPr>
      </w:pPr>
      <w:r w:rsidRPr="009B2352">
        <w:rPr>
          <w:szCs w:val="22"/>
        </w:rPr>
        <w:t>Το παγκόσμιο εμπόριο αναμένεται να επεκταθεί μεσοπρόθεσμα, συμβαδίζοντας με την αν</w:t>
      </w:r>
      <w:r w:rsidRPr="009B2352">
        <w:rPr>
          <w:szCs w:val="22"/>
        </w:rPr>
        <w:t>ά</w:t>
      </w:r>
      <w:r w:rsidRPr="009B2352">
        <w:rPr>
          <w:szCs w:val="22"/>
        </w:rPr>
        <w:t>καμψη της παγκόσμιας οικονομικής δραστηριότητας. Σύμφωνα με τα στοιχεία της έκθεσης του ΔΝΤ προβλέπεται αύξηση του παγκοσμί</w:t>
      </w:r>
      <w:r w:rsidR="00D977E7">
        <w:rPr>
          <w:szCs w:val="22"/>
        </w:rPr>
        <w:t>ου εμπορίου 4,0% και 3,9% για τα έτη</w:t>
      </w:r>
      <w:r w:rsidRPr="009B2352">
        <w:rPr>
          <w:szCs w:val="22"/>
        </w:rPr>
        <w:t xml:space="preserve"> 2017 και 2018 αντίστοιχα. Για τις προηγμένες οικονομίες προβλέπεται 3,9% και 3,5% και για τις αν</w:t>
      </w:r>
      <w:r w:rsidRPr="009B2352">
        <w:rPr>
          <w:szCs w:val="22"/>
        </w:rPr>
        <w:t>α</w:t>
      </w:r>
      <w:r w:rsidRPr="009B2352">
        <w:rPr>
          <w:szCs w:val="22"/>
        </w:rPr>
        <w:t xml:space="preserve">δυόμενες και αναπτυσσόμενες 4,1% και 4,6% για το 2017 και 2018 αντίστοιχα. </w:t>
      </w:r>
      <w:r w:rsidR="00D977E7" w:rsidRPr="009B2352">
        <w:rPr>
          <w:szCs w:val="22"/>
        </w:rPr>
        <w:t xml:space="preserve">Το </w:t>
      </w:r>
      <w:r w:rsidRPr="009B2352">
        <w:rPr>
          <w:szCs w:val="22"/>
        </w:rPr>
        <w:t>παγκό</w:t>
      </w:r>
      <w:r w:rsidRPr="009B2352">
        <w:rPr>
          <w:szCs w:val="22"/>
        </w:rPr>
        <w:t>σ</w:t>
      </w:r>
      <w:r w:rsidRPr="009B2352">
        <w:rPr>
          <w:szCs w:val="22"/>
        </w:rPr>
        <w:t>μιο εμπόριο (εκτός ζώνης ευρώ) σύμφωνα με τα στοιχεία της ΕΚΤ προβλέπεται σε 5,3% και 3,8% για το 2017 και 2018 αντίστοιχα. H εξωτερική ζήτηση της Ευρωζώνης αναμένεται να αυξηθεί κατά 4,7% το 2017 και 3,4% το 2018. Συγκριτικά με τα στοιχεία του Ιουνίου του ιδ</w:t>
      </w:r>
      <w:r w:rsidRPr="009B2352">
        <w:rPr>
          <w:szCs w:val="22"/>
        </w:rPr>
        <w:t>ί</w:t>
      </w:r>
      <w:r w:rsidRPr="009B2352">
        <w:rPr>
          <w:szCs w:val="22"/>
        </w:rPr>
        <w:t xml:space="preserve">ου έτους, αναθεωρήθηκε ανοδικά κατά 1,1% για το 2017, αντανακλώντας κυρίως </w:t>
      </w:r>
      <w:r w:rsidR="007322B1">
        <w:rPr>
          <w:szCs w:val="22"/>
        </w:rPr>
        <w:t>τα θετικ</w:t>
      </w:r>
      <w:r w:rsidR="007322B1">
        <w:rPr>
          <w:szCs w:val="22"/>
        </w:rPr>
        <w:t>ό</w:t>
      </w:r>
      <w:r w:rsidR="007322B1">
        <w:rPr>
          <w:szCs w:val="22"/>
        </w:rPr>
        <w:t xml:space="preserve">τερα </w:t>
      </w:r>
      <w:r w:rsidRPr="009B2352">
        <w:rPr>
          <w:szCs w:val="22"/>
        </w:rPr>
        <w:t>από ότι αναμενόταν πρόσφατα στοιχεία.</w:t>
      </w:r>
      <w:r w:rsidR="005C2D49">
        <w:rPr>
          <w:szCs w:val="22"/>
        </w:rPr>
        <w:t xml:space="preserve"> </w:t>
      </w:r>
    </w:p>
    <w:p w:rsidR="009B2352" w:rsidRDefault="009B2352" w:rsidP="009B2352">
      <w:pPr>
        <w:jc w:val="both"/>
        <w:rPr>
          <w:szCs w:val="22"/>
        </w:rPr>
      </w:pPr>
    </w:p>
    <w:p w:rsidR="009B2352" w:rsidRPr="009B2352" w:rsidRDefault="009B2352" w:rsidP="009B2352">
      <w:pPr>
        <w:jc w:val="both"/>
        <w:rPr>
          <w:szCs w:val="22"/>
        </w:rPr>
      </w:pPr>
      <w:r w:rsidRPr="009B2352">
        <w:rPr>
          <w:szCs w:val="22"/>
        </w:rPr>
        <w:t>Οι συνθήκες στις αγορές εργασίας της ζώνης του ευρώ αναμένεται να συνεχίσουν να βελτι</w:t>
      </w:r>
      <w:r w:rsidRPr="009B2352">
        <w:rPr>
          <w:szCs w:val="22"/>
        </w:rPr>
        <w:t>ώ</w:t>
      </w:r>
      <w:r w:rsidRPr="009B2352">
        <w:rPr>
          <w:szCs w:val="22"/>
        </w:rPr>
        <w:t>νονται στον προβλεπόμενο χρονικό ορίζοντα. Σύμφωνα με την Ευρωπαϊκή Κεντρική Τράπ</w:t>
      </w:r>
      <w:r w:rsidRPr="009B2352">
        <w:rPr>
          <w:szCs w:val="22"/>
        </w:rPr>
        <w:t>ε</w:t>
      </w:r>
      <w:r w:rsidRPr="009B2352">
        <w:rPr>
          <w:szCs w:val="22"/>
        </w:rPr>
        <w:t>ζα</w:t>
      </w:r>
      <w:r w:rsidRPr="005C2D49">
        <w:rPr>
          <w:szCs w:val="22"/>
          <w:vertAlign w:val="superscript"/>
        </w:rPr>
        <w:footnoteReference w:id="4"/>
      </w:r>
      <w:r w:rsidRPr="009B2352">
        <w:rPr>
          <w:szCs w:val="22"/>
        </w:rPr>
        <w:t>, η πορεία των μισθών προβλέπεται αυξητική, λόγω της βελτίωσης των συνθηκών στην αγορά εργασίας. Η απασχόληση θα συνεχίσει να αυξάνεται, ωστόσο θα χάσει μέρος της δ</w:t>
      </w:r>
      <w:r w:rsidRPr="009B2352">
        <w:rPr>
          <w:szCs w:val="22"/>
        </w:rPr>
        <w:t>υ</w:t>
      </w:r>
      <w:r w:rsidRPr="009B2352">
        <w:rPr>
          <w:szCs w:val="22"/>
        </w:rPr>
        <w:t xml:space="preserve">ναμικής της λόγω κυρίως </w:t>
      </w:r>
      <w:r w:rsidR="00D977E7">
        <w:rPr>
          <w:szCs w:val="22"/>
        </w:rPr>
        <w:t>της έ</w:t>
      </w:r>
      <w:r w:rsidRPr="009B2352">
        <w:rPr>
          <w:szCs w:val="22"/>
        </w:rPr>
        <w:t>λλε</w:t>
      </w:r>
      <w:r w:rsidR="00D977E7">
        <w:rPr>
          <w:szCs w:val="22"/>
        </w:rPr>
        <w:t>ι</w:t>
      </w:r>
      <w:r w:rsidRPr="009B2352">
        <w:rPr>
          <w:szCs w:val="22"/>
        </w:rPr>
        <w:t>ψ</w:t>
      </w:r>
      <w:r w:rsidR="00D977E7">
        <w:rPr>
          <w:szCs w:val="22"/>
        </w:rPr>
        <w:t>ης</w:t>
      </w:r>
      <w:r w:rsidRPr="009B2352">
        <w:rPr>
          <w:szCs w:val="22"/>
        </w:rPr>
        <w:t xml:space="preserve"> στην προσφορά ε</w:t>
      </w:r>
      <w:r w:rsidR="00D977E7">
        <w:rPr>
          <w:szCs w:val="22"/>
        </w:rPr>
        <w:t>ξε</w:t>
      </w:r>
      <w:r w:rsidRPr="009B2352">
        <w:rPr>
          <w:szCs w:val="22"/>
        </w:rPr>
        <w:t xml:space="preserve">ιδικευμένου προσωπικού, </w:t>
      </w:r>
      <w:r w:rsidR="00D977E7">
        <w:rPr>
          <w:szCs w:val="22"/>
        </w:rPr>
        <w:t xml:space="preserve">γεγονός που θα δημιουργήσει </w:t>
      </w:r>
      <w:r w:rsidRPr="009B2352">
        <w:rPr>
          <w:szCs w:val="22"/>
        </w:rPr>
        <w:t>περιορισμούς σε ορισμένες χώρες, επηρεάζοντας αρνητικά την αύξηση της απασχόλησης και οδηγώντας σε άνοδο του αριθμού πραγματικών ωρών εργασίας ανά ε</w:t>
      </w:r>
      <w:r w:rsidRPr="009B2352">
        <w:rPr>
          <w:szCs w:val="22"/>
        </w:rPr>
        <w:t>ρ</w:t>
      </w:r>
      <w:r w:rsidRPr="009B2352">
        <w:rPr>
          <w:szCs w:val="22"/>
        </w:rPr>
        <w:t>γαζόμενο. Αυτές οι εξελίξεις στην απασχόληση υποδηλώνουν ανάκαμψη της παραγωγικότ</w:t>
      </w:r>
      <w:r w:rsidRPr="009B2352">
        <w:rPr>
          <w:szCs w:val="22"/>
        </w:rPr>
        <w:t>η</w:t>
      </w:r>
      <w:r w:rsidRPr="009B2352">
        <w:rPr>
          <w:szCs w:val="22"/>
        </w:rPr>
        <w:t xml:space="preserve">τας της εργασίας. Το ποσοστό ανεργίας στην Ευρωζώνη εκτιμάται ότι θα διαμορφωθεί σε 9,1% και 8,6% το 2017 και 2018 και </w:t>
      </w:r>
      <w:r w:rsidR="007322B1">
        <w:rPr>
          <w:szCs w:val="22"/>
        </w:rPr>
        <w:t xml:space="preserve">σε </w:t>
      </w:r>
      <w:r w:rsidRPr="009B2352">
        <w:rPr>
          <w:szCs w:val="22"/>
        </w:rPr>
        <w:t>8,1% το 2019</w:t>
      </w:r>
      <w:r w:rsidR="00D977E7">
        <w:rPr>
          <w:szCs w:val="22"/>
        </w:rPr>
        <w:t>,</w:t>
      </w:r>
      <w:r w:rsidRPr="009B2352">
        <w:rPr>
          <w:szCs w:val="22"/>
        </w:rPr>
        <w:t xml:space="preserve"> από 10,0% το 2016, παραμένοντας σε επίπεδα υψηλότερα από ό,τι πριν την κρίση (7,5% το 2007).</w:t>
      </w:r>
    </w:p>
    <w:p w:rsidR="009B2352" w:rsidRPr="009B2352" w:rsidRDefault="009B2352" w:rsidP="009B2352">
      <w:pPr>
        <w:jc w:val="both"/>
        <w:rPr>
          <w:szCs w:val="22"/>
        </w:rPr>
      </w:pPr>
    </w:p>
    <w:p w:rsidR="009B2352" w:rsidRPr="009B2352" w:rsidRDefault="009B2352" w:rsidP="009B2352">
      <w:pPr>
        <w:jc w:val="both"/>
        <w:rPr>
          <w:szCs w:val="22"/>
        </w:rPr>
      </w:pPr>
    </w:p>
    <w:tbl>
      <w:tblPr>
        <w:tblW w:w="9102" w:type="dxa"/>
        <w:tblInd w:w="10" w:type="dxa"/>
        <w:tblLayout w:type="fixed"/>
        <w:tblCellMar>
          <w:left w:w="0" w:type="dxa"/>
          <w:right w:w="0" w:type="dxa"/>
        </w:tblCellMar>
        <w:tblLook w:val="0000"/>
      </w:tblPr>
      <w:tblGrid>
        <w:gridCol w:w="4218"/>
        <w:gridCol w:w="1133"/>
        <w:gridCol w:w="1276"/>
        <w:gridCol w:w="1133"/>
        <w:gridCol w:w="1312"/>
        <w:gridCol w:w="30"/>
      </w:tblGrid>
      <w:tr w:rsidR="00192541" w:rsidRPr="00DB5E6C" w:rsidTr="008C6FD3">
        <w:tc>
          <w:tcPr>
            <w:tcW w:w="9072" w:type="dxa"/>
            <w:gridSpan w:val="5"/>
            <w:tcBorders>
              <w:top w:val="single" w:sz="8" w:space="0" w:color="000000"/>
              <w:left w:val="single" w:sz="8" w:space="0" w:color="000000"/>
              <w:bottom w:val="single" w:sz="8" w:space="0" w:color="000000"/>
            </w:tcBorders>
            <w:shd w:val="clear" w:color="auto" w:fill="FFFFFF"/>
          </w:tcPr>
          <w:p w:rsidR="00192541" w:rsidRPr="00DB5E6C" w:rsidRDefault="00192541" w:rsidP="00751596">
            <w:pPr>
              <w:snapToGrid w:val="0"/>
              <w:spacing w:before="120"/>
              <w:jc w:val="center"/>
              <w:rPr>
                <w:rFonts w:ascii="Arial Narrow" w:hAnsi="Arial Narrow"/>
                <w:b/>
                <w:bCs/>
              </w:rPr>
            </w:pPr>
            <w:r w:rsidRPr="00DB5E6C">
              <w:rPr>
                <w:rFonts w:ascii="Arial Narrow" w:hAnsi="Arial Narrow"/>
                <w:b/>
                <w:bCs/>
              </w:rPr>
              <w:t>Πίνακας 1.1 Βασικά μεγέθη της παγκόσμιας οικονομίας</w:t>
            </w:r>
          </w:p>
          <w:p w:rsidR="00192541" w:rsidRPr="00DB5E6C" w:rsidRDefault="00192541" w:rsidP="00751596">
            <w:pPr>
              <w:spacing w:after="120"/>
              <w:jc w:val="center"/>
              <w:rPr>
                <w:rFonts w:ascii="Arial Narrow" w:hAnsi="Arial Narrow"/>
                <w:b/>
                <w:bCs/>
              </w:rPr>
            </w:pPr>
            <w:r w:rsidRPr="00DB5E6C">
              <w:rPr>
                <w:rFonts w:ascii="Arial Narrow" w:hAnsi="Arial Narrow"/>
                <w:b/>
                <w:bCs/>
              </w:rPr>
              <w:t>(% ετήσιες μεταβολές, σταθερές τιμές)</w:t>
            </w:r>
          </w:p>
        </w:tc>
        <w:tc>
          <w:tcPr>
            <w:tcW w:w="30" w:type="dxa"/>
            <w:tcBorders>
              <w:left w:val="single" w:sz="8" w:space="0" w:color="000000"/>
            </w:tcBorders>
            <w:shd w:val="clear" w:color="auto" w:fill="auto"/>
          </w:tcPr>
          <w:p w:rsidR="00192541" w:rsidRPr="00DB5E6C" w:rsidRDefault="00192541" w:rsidP="00751596">
            <w:pPr>
              <w:snapToGrid w:val="0"/>
              <w:rPr>
                <w:rFonts w:ascii="Arial Narrow" w:hAnsi="Arial Narrow"/>
                <w:b/>
                <w:bCs/>
                <w:sz w:val="16"/>
              </w:rPr>
            </w:pPr>
          </w:p>
        </w:tc>
      </w:tr>
      <w:tr w:rsidR="00192541" w:rsidRPr="00DB5E6C" w:rsidTr="008C6FD3">
        <w:tblPrEx>
          <w:tblCellMar>
            <w:left w:w="108" w:type="dxa"/>
            <w:right w:w="108" w:type="dxa"/>
          </w:tblCellMar>
        </w:tblPrEx>
        <w:trPr>
          <w:gridAfter w:val="1"/>
          <w:wAfter w:w="30" w:type="dxa"/>
        </w:trPr>
        <w:tc>
          <w:tcPr>
            <w:tcW w:w="4218" w:type="dxa"/>
            <w:tcBorders>
              <w:top w:val="single" w:sz="8" w:space="0" w:color="000000"/>
              <w:left w:val="single" w:sz="8" w:space="0" w:color="000000"/>
              <w:bottom w:val="single" w:sz="8" w:space="0" w:color="000000"/>
            </w:tcBorders>
            <w:shd w:val="clear" w:color="auto" w:fill="FFFFFF"/>
          </w:tcPr>
          <w:p w:rsidR="00192541" w:rsidRPr="00DB5E6C" w:rsidRDefault="00192541" w:rsidP="00751596">
            <w:pPr>
              <w:snapToGrid w:val="0"/>
              <w:spacing w:before="80" w:after="80"/>
              <w:jc w:val="both"/>
              <w:rPr>
                <w:rFonts w:ascii="Arial Narrow" w:hAnsi="Arial Narrow"/>
                <w:b/>
                <w:bCs/>
                <w:sz w:val="16"/>
              </w:rPr>
            </w:pPr>
          </w:p>
        </w:tc>
        <w:tc>
          <w:tcPr>
            <w:tcW w:w="1133" w:type="dxa"/>
            <w:tcBorders>
              <w:top w:val="single" w:sz="8" w:space="0" w:color="000000"/>
              <w:left w:val="single" w:sz="8" w:space="0" w:color="000000"/>
              <w:bottom w:val="single" w:sz="8" w:space="0" w:color="000000"/>
            </w:tcBorders>
            <w:shd w:val="clear" w:color="auto" w:fill="FFFFFF"/>
          </w:tcPr>
          <w:p w:rsidR="00192541" w:rsidRPr="00DB5E6C" w:rsidRDefault="00192541" w:rsidP="00751596">
            <w:pPr>
              <w:snapToGrid w:val="0"/>
              <w:spacing w:before="80" w:after="80"/>
              <w:jc w:val="center"/>
              <w:rPr>
                <w:rFonts w:ascii="Arial Narrow" w:hAnsi="Arial Narrow"/>
                <w:b/>
                <w:sz w:val="16"/>
              </w:rPr>
            </w:pPr>
            <w:r w:rsidRPr="00DB5E6C">
              <w:rPr>
                <w:rFonts w:ascii="Arial Narrow" w:hAnsi="Arial Narrow"/>
                <w:b/>
                <w:sz w:val="16"/>
              </w:rPr>
              <w:t>2015</w:t>
            </w:r>
          </w:p>
        </w:tc>
        <w:tc>
          <w:tcPr>
            <w:tcW w:w="1276" w:type="dxa"/>
            <w:tcBorders>
              <w:top w:val="single" w:sz="8" w:space="0" w:color="000000"/>
              <w:left w:val="single" w:sz="8" w:space="0" w:color="000000"/>
              <w:bottom w:val="single" w:sz="8" w:space="0" w:color="000000"/>
            </w:tcBorders>
            <w:shd w:val="clear" w:color="auto" w:fill="FFFFFF"/>
          </w:tcPr>
          <w:p w:rsidR="00192541" w:rsidRPr="00DB5E6C" w:rsidRDefault="00192541" w:rsidP="00751596">
            <w:pPr>
              <w:snapToGrid w:val="0"/>
              <w:spacing w:before="80" w:after="80"/>
              <w:jc w:val="center"/>
              <w:rPr>
                <w:rFonts w:ascii="Arial Narrow" w:hAnsi="Arial Narrow"/>
                <w:b/>
                <w:sz w:val="16"/>
              </w:rPr>
            </w:pPr>
            <w:r w:rsidRPr="00DB5E6C">
              <w:rPr>
                <w:rFonts w:ascii="Arial Narrow" w:hAnsi="Arial Narrow"/>
                <w:b/>
                <w:sz w:val="16"/>
              </w:rPr>
              <w:t>2016</w:t>
            </w:r>
          </w:p>
        </w:tc>
        <w:tc>
          <w:tcPr>
            <w:tcW w:w="1133" w:type="dxa"/>
            <w:tcBorders>
              <w:top w:val="single" w:sz="8" w:space="0" w:color="000000"/>
              <w:left w:val="single" w:sz="8" w:space="0" w:color="000000"/>
              <w:bottom w:val="single" w:sz="8" w:space="0" w:color="000000"/>
            </w:tcBorders>
            <w:shd w:val="clear" w:color="auto" w:fill="FFFFFF"/>
          </w:tcPr>
          <w:p w:rsidR="00192541" w:rsidRPr="00DB5E6C" w:rsidRDefault="00192541" w:rsidP="00751596">
            <w:pPr>
              <w:snapToGrid w:val="0"/>
              <w:spacing w:before="80" w:after="80"/>
              <w:jc w:val="center"/>
              <w:rPr>
                <w:rFonts w:ascii="Arial Narrow" w:hAnsi="Arial Narrow"/>
                <w:b/>
                <w:sz w:val="16"/>
                <w:lang w:val="en-US"/>
              </w:rPr>
            </w:pPr>
            <w:r w:rsidRPr="00DB5E6C">
              <w:rPr>
                <w:rFonts w:ascii="Arial Narrow" w:hAnsi="Arial Narrow"/>
                <w:b/>
                <w:sz w:val="16"/>
              </w:rPr>
              <w:t>2017</w:t>
            </w:r>
            <w:r w:rsidRPr="00DB5E6C">
              <w:rPr>
                <w:rFonts w:ascii="Arial Narrow" w:hAnsi="Arial Narrow"/>
                <w:b/>
                <w:sz w:val="16"/>
                <w:lang w:val="en-US"/>
              </w:rPr>
              <w:t>*</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Pr>
          <w:p w:rsidR="00192541" w:rsidRPr="00DB5E6C" w:rsidRDefault="00192541" w:rsidP="00751596">
            <w:pPr>
              <w:snapToGrid w:val="0"/>
              <w:spacing w:before="80" w:after="80"/>
              <w:jc w:val="center"/>
              <w:rPr>
                <w:rFonts w:ascii="Arial Narrow" w:hAnsi="Arial Narrow"/>
                <w:b/>
                <w:sz w:val="16"/>
                <w:lang w:val="en-US"/>
              </w:rPr>
            </w:pPr>
            <w:r w:rsidRPr="00DB5E6C">
              <w:rPr>
                <w:rFonts w:ascii="Arial Narrow" w:hAnsi="Arial Narrow"/>
                <w:b/>
                <w:sz w:val="16"/>
              </w:rPr>
              <w:t>2018</w:t>
            </w:r>
            <w:r w:rsidRPr="00DB5E6C">
              <w:rPr>
                <w:rFonts w:ascii="Arial Narrow" w:hAnsi="Arial Narrow"/>
                <w:b/>
                <w:sz w:val="16"/>
                <w:lang w:val="en-US"/>
              </w:rPr>
              <w:t>*</w:t>
            </w:r>
          </w:p>
        </w:tc>
      </w:tr>
      <w:tr w:rsidR="00192541" w:rsidRPr="00DB5E6C" w:rsidTr="008C6FD3">
        <w:tblPrEx>
          <w:tblCellMar>
            <w:left w:w="108" w:type="dxa"/>
            <w:right w:w="108" w:type="dxa"/>
          </w:tblCellMar>
        </w:tblPrEx>
        <w:trPr>
          <w:gridAfter w:val="1"/>
          <w:wAfter w:w="30" w:type="dxa"/>
        </w:trPr>
        <w:tc>
          <w:tcPr>
            <w:tcW w:w="4218" w:type="dxa"/>
            <w:tcBorders>
              <w:top w:val="single" w:sz="8" w:space="0" w:color="000000"/>
              <w:left w:val="single" w:sz="8" w:space="0" w:color="000000"/>
            </w:tcBorders>
            <w:shd w:val="clear" w:color="auto" w:fill="FFFFFF"/>
          </w:tcPr>
          <w:p w:rsidR="00192541" w:rsidRPr="00DB5E6C" w:rsidRDefault="00192541" w:rsidP="00192541">
            <w:pPr>
              <w:snapToGrid w:val="0"/>
              <w:jc w:val="both"/>
              <w:rPr>
                <w:rFonts w:ascii="Arial Narrow" w:hAnsi="Arial Narrow"/>
                <w:bCs/>
                <w:sz w:val="16"/>
                <w:lang w:val="en-US"/>
              </w:rPr>
            </w:pPr>
            <w:r w:rsidRPr="00DB5E6C">
              <w:rPr>
                <w:rFonts w:ascii="Arial Narrow" w:hAnsi="Arial Narrow"/>
                <w:bCs/>
                <w:sz w:val="16"/>
              </w:rPr>
              <w:t>Παγκόσμιο ΑΕΠ</w:t>
            </w:r>
            <w:r w:rsidRPr="00DB5E6C">
              <w:rPr>
                <w:rFonts w:ascii="Arial Narrow" w:hAnsi="Arial Narrow"/>
                <w:bCs/>
                <w:sz w:val="16"/>
                <w:lang w:val="en-US"/>
              </w:rPr>
              <w:t xml:space="preserve"> </w:t>
            </w:r>
          </w:p>
        </w:tc>
        <w:tc>
          <w:tcPr>
            <w:tcW w:w="1133" w:type="dxa"/>
            <w:tcBorders>
              <w:top w:val="single" w:sz="8" w:space="0" w:color="000000"/>
            </w:tcBorders>
            <w:shd w:val="clear" w:color="auto" w:fill="FFFFFF"/>
          </w:tcPr>
          <w:p w:rsidR="00192541" w:rsidRPr="00DB5E6C" w:rsidRDefault="00192541" w:rsidP="00192541">
            <w:pPr>
              <w:tabs>
                <w:tab w:val="decimal" w:pos="461"/>
              </w:tabs>
              <w:snapToGrid w:val="0"/>
              <w:jc w:val="both"/>
              <w:rPr>
                <w:rFonts w:ascii="Arial Narrow" w:hAnsi="Arial Narrow"/>
                <w:sz w:val="16"/>
                <w:lang w:val="en-US"/>
              </w:rPr>
            </w:pPr>
            <w:r w:rsidRPr="00DB5E6C">
              <w:rPr>
                <w:rFonts w:ascii="Arial Narrow" w:hAnsi="Arial Narrow"/>
                <w:sz w:val="16"/>
                <w:lang w:val="en-US"/>
              </w:rPr>
              <w:t>3,4</w:t>
            </w:r>
          </w:p>
        </w:tc>
        <w:tc>
          <w:tcPr>
            <w:tcW w:w="1276" w:type="dxa"/>
            <w:tcBorders>
              <w:top w:val="single" w:sz="8" w:space="0" w:color="000000"/>
            </w:tcBorders>
            <w:shd w:val="clear" w:color="auto" w:fill="FFFFFF"/>
          </w:tcPr>
          <w:p w:rsidR="00192541" w:rsidRPr="00DB5E6C" w:rsidRDefault="00192541" w:rsidP="00192541">
            <w:pPr>
              <w:tabs>
                <w:tab w:val="decimal" w:pos="510"/>
              </w:tabs>
              <w:snapToGrid w:val="0"/>
              <w:jc w:val="both"/>
              <w:rPr>
                <w:rFonts w:ascii="Arial Narrow" w:hAnsi="Arial Narrow"/>
                <w:sz w:val="16"/>
                <w:lang w:val="en-GB"/>
              </w:rPr>
            </w:pPr>
            <w:r w:rsidRPr="00DB5E6C">
              <w:rPr>
                <w:rFonts w:ascii="Arial Narrow" w:hAnsi="Arial Narrow"/>
                <w:sz w:val="16"/>
                <w:lang w:val="en-US"/>
              </w:rPr>
              <w:t>3,2</w:t>
            </w:r>
          </w:p>
        </w:tc>
        <w:tc>
          <w:tcPr>
            <w:tcW w:w="1133" w:type="dxa"/>
            <w:tcBorders>
              <w:top w:val="single" w:sz="8" w:space="0" w:color="000000"/>
            </w:tcBorders>
            <w:shd w:val="clear" w:color="auto" w:fill="FFFFFF"/>
          </w:tcPr>
          <w:p w:rsidR="00192541" w:rsidRPr="00DB5E6C" w:rsidRDefault="00192541" w:rsidP="00192541">
            <w:pPr>
              <w:tabs>
                <w:tab w:val="decimal" w:pos="461"/>
              </w:tabs>
              <w:snapToGrid w:val="0"/>
              <w:jc w:val="both"/>
              <w:rPr>
                <w:rFonts w:ascii="Arial Narrow" w:hAnsi="Arial Narrow"/>
                <w:sz w:val="16"/>
                <w:lang w:val="en-GB"/>
              </w:rPr>
            </w:pPr>
            <w:r w:rsidRPr="00DB5E6C">
              <w:rPr>
                <w:rFonts w:ascii="Arial Narrow" w:hAnsi="Arial Narrow"/>
                <w:sz w:val="16"/>
                <w:lang w:val="en-US"/>
              </w:rPr>
              <w:t>3,5</w:t>
            </w:r>
          </w:p>
        </w:tc>
        <w:tc>
          <w:tcPr>
            <w:tcW w:w="1312" w:type="dxa"/>
            <w:tcBorders>
              <w:top w:val="single" w:sz="8" w:space="0" w:color="000000"/>
              <w:right w:val="single" w:sz="8" w:space="0" w:color="000000"/>
            </w:tcBorders>
            <w:shd w:val="clear" w:color="auto" w:fill="FFFFFF"/>
          </w:tcPr>
          <w:p w:rsidR="00192541" w:rsidRPr="00DB5E6C" w:rsidRDefault="00192541" w:rsidP="00192541">
            <w:pPr>
              <w:tabs>
                <w:tab w:val="decimal" w:pos="510"/>
              </w:tabs>
              <w:snapToGrid w:val="0"/>
              <w:jc w:val="both"/>
              <w:rPr>
                <w:rFonts w:ascii="Arial Narrow" w:hAnsi="Arial Narrow"/>
                <w:sz w:val="16"/>
                <w:lang w:val="en-GB"/>
              </w:rPr>
            </w:pPr>
            <w:r w:rsidRPr="00DB5E6C">
              <w:rPr>
                <w:rFonts w:ascii="Arial Narrow" w:hAnsi="Arial Narrow"/>
                <w:sz w:val="16"/>
                <w:lang w:val="en-US"/>
              </w:rPr>
              <w:t>3,6</w:t>
            </w:r>
          </w:p>
        </w:tc>
      </w:tr>
      <w:tr w:rsidR="00192541" w:rsidRPr="00DB5E6C" w:rsidTr="008C6FD3">
        <w:tblPrEx>
          <w:tblCellMar>
            <w:left w:w="108" w:type="dxa"/>
            <w:right w:w="108" w:type="dxa"/>
          </w:tblCellMar>
        </w:tblPrEx>
        <w:trPr>
          <w:gridAfter w:val="1"/>
          <w:wAfter w:w="30" w:type="dxa"/>
        </w:trPr>
        <w:tc>
          <w:tcPr>
            <w:tcW w:w="4218" w:type="dxa"/>
            <w:tcBorders>
              <w:left w:val="single" w:sz="8" w:space="0" w:color="000000"/>
            </w:tcBorders>
            <w:shd w:val="clear" w:color="auto" w:fill="FFFFFF"/>
          </w:tcPr>
          <w:p w:rsidR="00192541" w:rsidRPr="00DB5E6C" w:rsidRDefault="00192541" w:rsidP="00192541">
            <w:pPr>
              <w:snapToGrid w:val="0"/>
              <w:jc w:val="both"/>
              <w:rPr>
                <w:rFonts w:ascii="Arial Narrow" w:hAnsi="Arial Narrow"/>
                <w:bCs/>
                <w:sz w:val="16"/>
                <w:lang w:val="en-US"/>
              </w:rPr>
            </w:pPr>
            <w:r w:rsidRPr="00DB5E6C">
              <w:rPr>
                <w:rFonts w:ascii="Arial Narrow" w:hAnsi="Arial Narrow"/>
                <w:bCs/>
                <w:sz w:val="16"/>
              </w:rPr>
              <w:t>ΑΕΠ Ευρωζώνης</w:t>
            </w:r>
            <w:r w:rsidRPr="00DB5E6C">
              <w:rPr>
                <w:rFonts w:ascii="Arial Narrow" w:hAnsi="Arial Narrow"/>
                <w:bCs/>
                <w:sz w:val="16"/>
                <w:lang w:val="en-US"/>
              </w:rPr>
              <w:t xml:space="preserve"> </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lang w:val="en-US"/>
              </w:rPr>
            </w:pPr>
            <w:r w:rsidRPr="00DB5E6C">
              <w:rPr>
                <w:rFonts w:ascii="Arial Narrow" w:hAnsi="Arial Narrow"/>
                <w:sz w:val="16"/>
                <w:lang w:val="en-US"/>
              </w:rPr>
              <w:t>2,0</w:t>
            </w:r>
          </w:p>
        </w:tc>
        <w:tc>
          <w:tcPr>
            <w:tcW w:w="1276" w:type="dxa"/>
            <w:shd w:val="clear" w:color="auto" w:fill="FFFFFF"/>
          </w:tcPr>
          <w:p w:rsidR="00192541" w:rsidRPr="00DB5E6C" w:rsidRDefault="00192541" w:rsidP="00751596">
            <w:pPr>
              <w:tabs>
                <w:tab w:val="decimal" w:pos="510"/>
              </w:tabs>
              <w:snapToGrid w:val="0"/>
              <w:jc w:val="both"/>
              <w:rPr>
                <w:rFonts w:ascii="Arial Narrow" w:hAnsi="Arial Narrow"/>
                <w:sz w:val="16"/>
                <w:lang w:val="en-GB"/>
              </w:rPr>
            </w:pPr>
            <w:r w:rsidRPr="00DB5E6C">
              <w:rPr>
                <w:rFonts w:ascii="Arial Narrow" w:hAnsi="Arial Narrow"/>
                <w:sz w:val="16"/>
                <w:lang w:val="en-GB"/>
              </w:rPr>
              <w:t>1,8</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lang w:val="en-GB"/>
              </w:rPr>
            </w:pPr>
            <w:r w:rsidRPr="00DB5E6C">
              <w:rPr>
                <w:rFonts w:ascii="Arial Narrow" w:hAnsi="Arial Narrow"/>
                <w:sz w:val="16"/>
                <w:lang w:val="en-GB"/>
              </w:rPr>
              <w:t>1,9</w:t>
            </w:r>
          </w:p>
        </w:tc>
        <w:tc>
          <w:tcPr>
            <w:tcW w:w="1312" w:type="dxa"/>
            <w:tcBorders>
              <w:right w:val="single" w:sz="8" w:space="0" w:color="000000"/>
            </w:tcBorders>
            <w:shd w:val="clear" w:color="auto" w:fill="FFFFFF"/>
          </w:tcPr>
          <w:p w:rsidR="00192541" w:rsidRPr="00DB5E6C" w:rsidRDefault="00192541" w:rsidP="00751596">
            <w:pPr>
              <w:tabs>
                <w:tab w:val="decimal" w:pos="510"/>
              </w:tabs>
              <w:snapToGrid w:val="0"/>
              <w:jc w:val="both"/>
              <w:rPr>
                <w:rFonts w:ascii="Arial Narrow" w:hAnsi="Arial Narrow"/>
                <w:sz w:val="16"/>
                <w:lang w:val="en-GB"/>
              </w:rPr>
            </w:pPr>
            <w:r w:rsidRPr="00DB5E6C">
              <w:rPr>
                <w:rFonts w:ascii="Arial Narrow" w:hAnsi="Arial Narrow"/>
                <w:sz w:val="16"/>
                <w:lang w:val="en-GB"/>
              </w:rPr>
              <w:t>1,7</w:t>
            </w:r>
          </w:p>
        </w:tc>
      </w:tr>
      <w:tr w:rsidR="00192541" w:rsidRPr="00DB5E6C" w:rsidTr="008C6FD3">
        <w:tblPrEx>
          <w:tblCellMar>
            <w:left w:w="108" w:type="dxa"/>
            <w:right w:w="108" w:type="dxa"/>
          </w:tblCellMar>
        </w:tblPrEx>
        <w:trPr>
          <w:gridAfter w:val="1"/>
          <w:wAfter w:w="30" w:type="dxa"/>
        </w:trPr>
        <w:tc>
          <w:tcPr>
            <w:tcW w:w="4218" w:type="dxa"/>
            <w:tcBorders>
              <w:left w:val="single" w:sz="8" w:space="0" w:color="000000"/>
            </w:tcBorders>
            <w:shd w:val="clear" w:color="auto" w:fill="FFFFFF"/>
          </w:tcPr>
          <w:p w:rsidR="00192541" w:rsidRPr="00DB5E6C" w:rsidRDefault="00192541" w:rsidP="00751596">
            <w:pPr>
              <w:snapToGrid w:val="0"/>
              <w:jc w:val="both"/>
              <w:rPr>
                <w:rFonts w:ascii="Arial Narrow" w:hAnsi="Arial Narrow"/>
                <w:bCs/>
                <w:sz w:val="16"/>
              </w:rPr>
            </w:pPr>
            <w:r w:rsidRPr="00DB5E6C">
              <w:rPr>
                <w:rFonts w:ascii="Arial Narrow" w:hAnsi="Arial Narrow"/>
                <w:bCs/>
                <w:sz w:val="16"/>
              </w:rPr>
              <w:t>ΑΕΠ ΗΠΑ</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lang w:val="en-US"/>
              </w:rPr>
            </w:pPr>
            <w:r w:rsidRPr="00DB5E6C">
              <w:rPr>
                <w:rFonts w:ascii="Arial Narrow" w:hAnsi="Arial Narrow"/>
                <w:sz w:val="16"/>
                <w:lang w:val="en-US"/>
              </w:rPr>
              <w:t>2,6</w:t>
            </w:r>
          </w:p>
        </w:tc>
        <w:tc>
          <w:tcPr>
            <w:tcW w:w="1276" w:type="dxa"/>
            <w:shd w:val="clear" w:color="auto" w:fill="FFFFFF"/>
          </w:tcPr>
          <w:p w:rsidR="00192541" w:rsidRPr="00DB5E6C" w:rsidRDefault="00192541" w:rsidP="00751596">
            <w:pPr>
              <w:tabs>
                <w:tab w:val="decimal" w:pos="510"/>
              </w:tabs>
              <w:snapToGrid w:val="0"/>
              <w:jc w:val="both"/>
              <w:rPr>
                <w:rFonts w:ascii="Arial Narrow" w:hAnsi="Arial Narrow"/>
                <w:sz w:val="16"/>
                <w:lang w:val="en-GB"/>
              </w:rPr>
            </w:pPr>
            <w:r w:rsidRPr="00DB5E6C">
              <w:rPr>
                <w:rFonts w:ascii="Arial Narrow" w:hAnsi="Arial Narrow"/>
                <w:sz w:val="16"/>
                <w:lang w:val="en-GB"/>
              </w:rPr>
              <w:t>1,6</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lang w:val="en-GB"/>
              </w:rPr>
            </w:pPr>
            <w:r w:rsidRPr="00DB5E6C">
              <w:rPr>
                <w:rFonts w:ascii="Arial Narrow" w:hAnsi="Arial Narrow"/>
                <w:sz w:val="16"/>
                <w:lang w:val="en-GB"/>
              </w:rPr>
              <w:t>2,1</w:t>
            </w:r>
          </w:p>
        </w:tc>
        <w:tc>
          <w:tcPr>
            <w:tcW w:w="1312" w:type="dxa"/>
            <w:tcBorders>
              <w:right w:val="single" w:sz="8" w:space="0" w:color="000000"/>
            </w:tcBorders>
            <w:shd w:val="clear" w:color="auto" w:fill="FFFFFF"/>
          </w:tcPr>
          <w:p w:rsidR="00192541" w:rsidRPr="00DB5E6C" w:rsidRDefault="00192541" w:rsidP="00751596">
            <w:pPr>
              <w:tabs>
                <w:tab w:val="decimal" w:pos="510"/>
              </w:tabs>
              <w:snapToGrid w:val="0"/>
              <w:jc w:val="both"/>
              <w:rPr>
                <w:rFonts w:ascii="Arial Narrow" w:hAnsi="Arial Narrow"/>
                <w:sz w:val="16"/>
                <w:lang w:val="en-US"/>
              </w:rPr>
            </w:pPr>
            <w:r w:rsidRPr="00DB5E6C">
              <w:rPr>
                <w:rFonts w:ascii="Arial Narrow" w:hAnsi="Arial Narrow"/>
                <w:sz w:val="16"/>
                <w:lang w:val="en-US"/>
              </w:rPr>
              <w:t>2,1</w:t>
            </w:r>
          </w:p>
        </w:tc>
      </w:tr>
      <w:tr w:rsidR="00192541" w:rsidRPr="00DB5E6C" w:rsidTr="008C6FD3">
        <w:tblPrEx>
          <w:tblCellMar>
            <w:left w:w="108" w:type="dxa"/>
            <w:right w:w="108" w:type="dxa"/>
          </w:tblCellMar>
        </w:tblPrEx>
        <w:trPr>
          <w:gridAfter w:val="1"/>
          <w:wAfter w:w="30" w:type="dxa"/>
        </w:trPr>
        <w:tc>
          <w:tcPr>
            <w:tcW w:w="4218" w:type="dxa"/>
            <w:tcBorders>
              <w:left w:val="single" w:sz="8" w:space="0" w:color="000000"/>
            </w:tcBorders>
            <w:shd w:val="clear" w:color="auto" w:fill="FFFFFF"/>
          </w:tcPr>
          <w:p w:rsidR="00192541" w:rsidRPr="00DB5E6C" w:rsidRDefault="00192541" w:rsidP="00751596">
            <w:pPr>
              <w:snapToGrid w:val="0"/>
              <w:jc w:val="both"/>
              <w:rPr>
                <w:rFonts w:ascii="Arial Narrow" w:hAnsi="Arial Narrow"/>
                <w:bCs/>
                <w:sz w:val="16"/>
              </w:rPr>
            </w:pPr>
            <w:r w:rsidRPr="00DB5E6C">
              <w:rPr>
                <w:rFonts w:ascii="Arial Narrow" w:hAnsi="Arial Narrow"/>
                <w:bCs/>
                <w:sz w:val="16"/>
              </w:rPr>
              <w:t>Όγκος παγκόσμιου εμπορίου (αγαθά και υπηρεσίες)</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lang w:val="en-US"/>
              </w:rPr>
            </w:pPr>
            <w:r w:rsidRPr="00DB5E6C">
              <w:rPr>
                <w:rFonts w:ascii="Arial Narrow" w:hAnsi="Arial Narrow"/>
                <w:sz w:val="16"/>
                <w:lang w:val="en-US"/>
              </w:rPr>
              <w:t>2,6</w:t>
            </w:r>
          </w:p>
        </w:tc>
        <w:tc>
          <w:tcPr>
            <w:tcW w:w="1276" w:type="dxa"/>
            <w:shd w:val="clear" w:color="auto" w:fill="FFFFFF"/>
          </w:tcPr>
          <w:p w:rsidR="00192541" w:rsidRPr="00DB5E6C" w:rsidRDefault="00192541" w:rsidP="00751596">
            <w:pPr>
              <w:tabs>
                <w:tab w:val="decimal" w:pos="510"/>
              </w:tabs>
              <w:snapToGrid w:val="0"/>
              <w:jc w:val="both"/>
              <w:rPr>
                <w:rFonts w:ascii="Arial Narrow" w:hAnsi="Arial Narrow"/>
                <w:sz w:val="16"/>
                <w:lang w:val="en-US"/>
              </w:rPr>
            </w:pPr>
            <w:r w:rsidRPr="00DB5E6C">
              <w:rPr>
                <w:rFonts w:ascii="Arial Narrow" w:hAnsi="Arial Narrow"/>
                <w:sz w:val="16"/>
                <w:lang w:val="en-US"/>
              </w:rPr>
              <w:t>2,3</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lang w:val="en-US"/>
              </w:rPr>
            </w:pPr>
            <w:r w:rsidRPr="00DB5E6C">
              <w:rPr>
                <w:rFonts w:ascii="Arial Narrow" w:hAnsi="Arial Narrow"/>
                <w:sz w:val="16"/>
                <w:lang w:val="en-US"/>
              </w:rPr>
              <w:t>4,0</w:t>
            </w:r>
          </w:p>
        </w:tc>
        <w:tc>
          <w:tcPr>
            <w:tcW w:w="1312" w:type="dxa"/>
            <w:tcBorders>
              <w:right w:val="single" w:sz="8" w:space="0" w:color="000000"/>
            </w:tcBorders>
            <w:shd w:val="clear" w:color="auto" w:fill="FFFFFF"/>
          </w:tcPr>
          <w:p w:rsidR="00192541" w:rsidRPr="00DB5E6C" w:rsidRDefault="00192541" w:rsidP="00751596">
            <w:pPr>
              <w:tabs>
                <w:tab w:val="decimal" w:pos="510"/>
              </w:tabs>
              <w:snapToGrid w:val="0"/>
              <w:jc w:val="both"/>
              <w:rPr>
                <w:rFonts w:ascii="Arial Narrow" w:hAnsi="Arial Narrow"/>
                <w:sz w:val="16"/>
                <w:lang w:val="en-US"/>
              </w:rPr>
            </w:pPr>
            <w:r w:rsidRPr="00DB5E6C">
              <w:rPr>
                <w:rFonts w:ascii="Arial Narrow" w:hAnsi="Arial Narrow"/>
                <w:sz w:val="16"/>
                <w:lang w:val="en-US"/>
              </w:rPr>
              <w:t>3,9</w:t>
            </w:r>
          </w:p>
        </w:tc>
      </w:tr>
      <w:tr w:rsidR="00192541" w:rsidRPr="00DB5E6C" w:rsidTr="008C6FD3">
        <w:tblPrEx>
          <w:tblCellMar>
            <w:left w:w="108" w:type="dxa"/>
            <w:right w:w="108" w:type="dxa"/>
          </w:tblCellMar>
        </w:tblPrEx>
        <w:trPr>
          <w:gridAfter w:val="1"/>
          <w:wAfter w:w="30" w:type="dxa"/>
        </w:trPr>
        <w:tc>
          <w:tcPr>
            <w:tcW w:w="4218" w:type="dxa"/>
            <w:tcBorders>
              <w:left w:val="single" w:sz="8" w:space="0" w:color="000000"/>
            </w:tcBorders>
            <w:shd w:val="clear" w:color="auto" w:fill="FFFFFF"/>
          </w:tcPr>
          <w:p w:rsidR="00192541" w:rsidRPr="00DB5E6C" w:rsidRDefault="00192541" w:rsidP="00751596">
            <w:pPr>
              <w:snapToGrid w:val="0"/>
              <w:jc w:val="both"/>
              <w:rPr>
                <w:rFonts w:ascii="Arial Narrow" w:hAnsi="Arial Narrow"/>
                <w:bCs/>
                <w:sz w:val="16"/>
              </w:rPr>
            </w:pPr>
            <w:r w:rsidRPr="00DB5E6C">
              <w:rPr>
                <w:rFonts w:ascii="Arial Narrow" w:hAnsi="Arial Narrow"/>
                <w:bCs/>
                <w:sz w:val="16"/>
              </w:rPr>
              <w:t xml:space="preserve">Πληθωρισμός </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rPr>
            </w:pPr>
          </w:p>
        </w:tc>
        <w:tc>
          <w:tcPr>
            <w:tcW w:w="1276" w:type="dxa"/>
            <w:shd w:val="clear" w:color="auto" w:fill="FFFFFF"/>
          </w:tcPr>
          <w:p w:rsidR="00192541" w:rsidRPr="00DB5E6C" w:rsidRDefault="00192541" w:rsidP="00751596">
            <w:pPr>
              <w:tabs>
                <w:tab w:val="decimal" w:pos="510"/>
              </w:tabs>
              <w:snapToGrid w:val="0"/>
              <w:jc w:val="both"/>
              <w:rPr>
                <w:rFonts w:ascii="Arial Narrow" w:hAnsi="Arial Narrow"/>
                <w:sz w:val="16"/>
              </w:rPr>
            </w:pP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rPr>
            </w:pPr>
          </w:p>
        </w:tc>
        <w:tc>
          <w:tcPr>
            <w:tcW w:w="1312" w:type="dxa"/>
            <w:tcBorders>
              <w:right w:val="single" w:sz="8" w:space="0" w:color="000000"/>
            </w:tcBorders>
            <w:shd w:val="clear" w:color="auto" w:fill="FFFFFF"/>
          </w:tcPr>
          <w:p w:rsidR="00192541" w:rsidRPr="00DB5E6C" w:rsidRDefault="00192541" w:rsidP="00751596">
            <w:pPr>
              <w:tabs>
                <w:tab w:val="decimal" w:pos="510"/>
              </w:tabs>
              <w:snapToGrid w:val="0"/>
              <w:jc w:val="both"/>
              <w:rPr>
                <w:rFonts w:ascii="Arial Narrow" w:hAnsi="Arial Narrow"/>
                <w:sz w:val="16"/>
              </w:rPr>
            </w:pPr>
          </w:p>
        </w:tc>
      </w:tr>
      <w:tr w:rsidR="00192541" w:rsidRPr="00DB5E6C" w:rsidTr="008C6FD3">
        <w:tblPrEx>
          <w:tblCellMar>
            <w:left w:w="108" w:type="dxa"/>
            <w:right w:w="108" w:type="dxa"/>
          </w:tblCellMar>
        </w:tblPrEx>
        <w:trPr>
          <w:gridAfter w:val="1"/>
          <w:wAfter w:w="30" w:type="dxa"/>
        </w:trPr>
        <w:tc>
          <w:tcPr>
            <w:tcW w:w="4218" w:type="dxa"/>
            <w:tcBorders>
              <w:left w:val="single" w:sz="8" w:space="0" w:color="000000"/>
            </w:tcBorders>
            <w:shd w:val="clear" w:color="auto" w:fill="FFFFFF"/>
          </w:tcPr>
          <w:p w:rsidR="00192541" w:rsidRPr="00DB5E6C" w:rsidRDefault="00192541" w:rsidP="00192541">
            <w:pPr>
              <w:snapToGrid w:val="0"/>
              <w:jc w:val="both"/>
              <w:rPr>
                <w:rFonts w:ascii="Arial Narrow" w:hAnsi="Arial Narrow"/>
                <w:bCs/>
                <w:sz w:val="16"/>
                <w:lang w:val="en-US"/>
              </w:rPr>
            </w:pPr>
            <w:r w:rsidRPr="00DB5E6C">
              <w:rPr>
                <w:rFonts w:ascii="Arial Narrow" w:hAnsi="Arial Narrow"/>
                <w:bCs/>
                <w:sz w:val="16"/>
              </w:rPr>
              <w:t>α. Προηγμένες οικονομίες</w:t>
            </w:r>
            <w:r w:rsidRPr="00DB5E6C">
              <w:rPr>
                <w:rFonts w:ascii="Arial Narrow" w:hAnsi="Arial Narrow"/>
                <w:bCs/>
                <w:sz w:val="16"/>
                <w:lang w:val="en-US"/>
              </w:rPr>
              <w:t xml:space="preserve"> </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lang w:val="en-US"/>
              </w:rPr>
            </w:pPr>
            <w:r w:rsidRPr="00DB5E6C">
              <w:rPr>
                <w:rFonts w:ascii="Arial Narrow" w:hAnsi="Arial Narrow"/>
                <w:sz w:val="16"/>
                <w:lang w:val="en-US"/>
              </w:rPr>
              <w:t>0,3</w:t>
            </w:r>
          </w:p>
        </w:tc>
        <w:tc>
          <w:tcPr>
            <w:tcW w:w="1276" w:type="dxa"/>
            <w:shd w:val="clear" w:color="auto" w:fill="FFFFFF"/>
          </w:tcPr>
          <w:p w:rsidR="00192541" w:rsidRPr="00DB5E6C" w:rsidRDefault="00192541" w:rsidP="00751596">
            <w:pPr>
              <w:tabs>
                <w:tab w:val="decimal" w:pos="510"/>
              </w:tabs>
              <w:snapToGrid w:val="0"/>
              <w:jc w:val="both"/>
              <w:rPr>
                <w:rFonts w:ascii="Arial Narrow" w:hAnsi="Arial Narrow"/>
                <w:sz w:val="16"/>
                <w:lang w:val="en-US"/>
              </w:rPr>
            </w:pPr>
            <w:r w:rsidRPr="00DB5E6C">
              <w:rPr>
                <w:rFonts w:ascii="Arial Narrow" w:hAnsi="Arial Narrow"/>
                <w:sz w:val="16"/>
                <w:lang w:val="en-US"/>
              </w:rPr>
              <w:t>0,8</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lang w:val="en-GB"/>
              </w:rPr>
            </w:pPr>
            <w:r w:rsidRPr="00DB5E6C">
              <w:rPr>
                <w:rFonts w:ascii="Arial Narrow" w:hAnsi="Arial Narrow"/>
                <w:sz w:val="16"/>
                <w:lang w:val="en-GB"/>
              </w:rPr>
              <w:t>1,9</w:t>
            </w:r>
          </w:p>
        </w:tc>
        <w:tc>
          <w:tcPr>
            <w:tcW w:w="1312" w:type="dxa"/>
            <w:tcBorders>
              <w:right w:val="single" w:sz="8" w:space="0" w:color="000000"/>
            </w:tcBorders>
            <w:shd w:val="clear" w:color="auto" w:fill="FFFFFF"/>
          </w:tcPr>
          <w:p w:rsidR="00192541" w:rsidRPr="00DB5E6C" w:rsidRDefault="00192541" w:rsidP="00751596">
            <w:pPr>
              <w:tabs>
                <w:tab w:val="decimal" w:pos="510"/>
              </w:tabs>
              <w:snapToGrid w:val="0"/>
              <w:jc w:val="both"/>
              <w:rPr>
                <w:rFonts w:ascii="Arial Narrow" w:hAnsi="Arial Narrow"/>
                <w:sz w:val="16"/>
                <w:lang w:val="en-GB"/>
              </w:rPr>
            </w:pPr>
            <w:r w:rsidRPr="00DB5E6C">
              <w:rPr>
                <w:rFonts w:ascii="Arial Narrow" w:hAnsi="Arial Narrow"/>
                <w:sz w:val="16"/>
                <w:lang w:val="en-GB"/>
              </w:rPr>
              <w:t>1,8</w:t>
            </w:r>
          </w:p>
        </w:tc>
      </w:tr>
      <w:tr w:rsidR="00192541" w:rsidRPr="00DB5E6C" w:rsidTr="008C6FD3">
        <w:tblPrEx>
          <w:tblCellMar>
            <w:left w:w="108" w:type="dxa"/>
            <w:right w:w="108" w:type="dxa"/>
          </w:tblCellMar>
        </w:tblPrEx>
        <w:trPr>
          <w:gridAfter w:val="1"/>
          <w:wAfter w:w="30" w:type="dxa"/>
        </w:trPr>
        <w:tc>
          <w:tcPr>
            <w:tcW w:w="4218" w:type="dxa"/>
            <w:tcBorders>
              <w:left w:val="single" w:sz="8" w:space="0" w:color="000000"/>
            </w:tcBorders>
            <w:shd w:val="clear" w:color="auto" w:fill="FFFFFF"/>
          </w:tcPr>
          <w:p w:rsidR="00192541" w:rsidRPr="00DB5E6C" w:rsidRDefault="00192541" w:rsidP="00751596">
            <w:pPr>
              <w:snapToGrid w:val="0"/>
              <w:jc w:val="both"/>
              <w:rPr>
                <w:rFonts w:ascii="Arial Narrow" w:hAnsi="Arial Narrow"/>
                <w:bCs/>
                <w:sz w:val="16"/>
              </w:rPr>
            </w:pPr>
            <w:r w:rsidRPr="00DB5E6C">
              <w:rPr>
                <w:rFonts w:ascii="Arial Narrow" w:hAnsi="Arial Narrow"/>
                <w:bCs/>
                <w:sz w:val="16"/>
              </w:rPr>
              <w:t>β. Αναδυόμενες και αναπτυσσόμενες οικονομίες</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lang w:val="en-US"/>
              </w:rPr>
            </w:pPr>
            <w:r w:rsidRPr="00DB5E6C">
              <w:rPr>
                <w:rFonts w:ascii="Arial Narrow" w:hAnsi="Arial Narrow"/>
                <w:sz w:val="16"/>
                <w:lang w:val="en-US"/>
              </w:rPr>
              <w:t>4,7</w:t>
            </w:r>
          </w:p>
        </w:tc>
        <w:tc>
          <w:tcPr>
            <w:tcW w:w="1276" w:type="dxa"/>
            <w:shd w:val="clear" w:color="auto" w:fill="FFFFFF"/>
          </w:tcPr>
          <w:p w:rsidR="00192541" w:rsidRPr="00DB5E6C" w:rsidRDefault="00192541" w:rsidP="00751596">
            <w:pPr>
              <w:tabs>
                <w:tab w:val="decimal" w:pos="510"/>
              </w:tabs>
              <w:snapToGrid w:val="0"/>
              <w:jc w:val="both"/>
              <w:rPr>
                <w:rFonts w:ascii="Arial Narrow" w:hAnsi="Arial Narrow"/>
                <w:sz w:val="16"/>
                <w:lang w:val="en-US"/>
              </w:rPr>
            </w:pPr>
            <w:r w:rsidRPr="00DB5E6C">
              <w:rPr>
                <w:rFonts w:ascii="Arial Narrow" w:hAnsi="Arial Narrow"/>
                <w:sz w:val="16"/>
                <w:lang w:val="en-US"/>
              </w:rPr>
              <w:t>4,3</w:t>
            </w:r>
          </w:p>
        </w:tc>
        <w:tc>
          <w:tcPr>
            <w:tcW w:w="1133" w:type="dxa"/>
            <w:shd w:val="clear" w:color="auto" w:fill="FFFFFF"/>
          </w:tcPr>
          <w:p w:rsidR="00192541" w:rsidRPr="00DB5E6C" w:rsidRDefault="00192541" w:rsidP="00751596">
            <w:pPr>
              <w:tabs>
                <w:tab w:val="decimal" w:pos="461"/>
              </w:tabs>
              <w:snapToGrid w:val="0"/>
              <w:jc w:val="both"/>
              <w:rPr>
                <w:rFonts w:ascii="Arial Narrow" w:hAnsi="Arial Narrow"/>
                <w:sz w:val="16"/>
                <w:lang w:val="en-US"/>
              </w:rPr>
            </w:pPr>
            <w:r w:rsidRPr="00DB5E6C">
              <w:rPr>
                <w:rFonts w:ascii="Arial Narrow" w:hAnsi="Arial Narrow"/>
                <w:sz w:val="16"/>
                <w:lang w:val="en-US"/>
              </w:rPr>
              <w:t>4,5</w:t>
            </w:r>
          </w:p>
        </w:tc>
        <w:tc>
          <w:tcPr>
            <w:tcW w:w="1312" w:type="dxa"/>
            <w:tcBorders>
              <w:right w:val="single" w:sz="8" w:space="0" w:color="000000"/>
            </w:tcBorders>
            <w:shd w:val="clear" w:color="auto" w:fill="FFFFFF"/>
          </w:tcPr>
          <w:p w:rsidR="00192541" w:rsidRPr="00DB5E6C" w:rsidRDefault="00192541" w:rsidP="00751596">
            <w:pPr>
              <w:tabs>
                <w:tab w:val="decimal" w:pos="510"/>
              </w:tabs>
              <w:snapToGrid w:val="0"/>
              <w:jc w:val="both"/>
              <w:rPr>
                <w:rFonts w:ascii="Arial Narrow" w:hAnsi="Arial Narrow"/>
                <w:sz w:val="16"/>
                <w:lang w:val="en-US"/>
              </w:rPr>
            </w:pPr>
            <w:r w:rsidRPr="00DB5E6C">
              <w:rPr>
                <w:rFonts w:ascii="Arial Narrow" w:hAnsi="Arial Narrow"/>
                <w:sz w:val="16"/>
                <w:lang w:val="en-US"/>
              </w:rPr>
              <w:t>4,6</w:t>
            </w:r>
          </w:p>
        </w:tc>
      </w:tr>
      <w:tr w:rsidR="00192541" w:rsidRPr="00DB5E6C" w:rsidTr="008C6FD3">
        <w:tblPrEx>
          <w:tblCellMar>
            <w:left w:w="108" w:type="dxa"/>
            <w:right w:w="108" w:type="dxa"/>
          </w:tblCellMar>
        </w:tblPrEx>
        <w:trPr>
          <w:gridAfter w:val="1"/>
          <w:wAfter w:w="30" w:type="dxa"/>
        </w:trPr>
        <w:tc>
          <w:tcPr>
            <w:tcW w:w="4218" w:type="dxa"/>
            <w:tcBorders>
              <w:left w:val="single" w:sz="8" w:space="0" w:color="000000"/>
              <w:bottom w:val="single" w:sz="8" w:space="0" w:color="000000"/>
            </w:tcBorders>
            <w:shd w:val="clear" w:color="auto" w:fill="FFFFFF"/>
          </w:tcPr>
          <w:p w:rsidR="00192541" w:rsidRPr="00DB5E6C" w:rsidRDefault="00192541" w:rsidP="00751596">
            <w:pPr>
              <w:snapToGrid w:val="0"/>
              <w:jc w:val="both"/>
              <w:rPr>
                <w:rFonts w:ascii="Arial Narrow" w:hAnsi="Arial Narrow"/>
                <w:bCs/>
                <w:sz w:val="16"/>
              </w:rPr>
            </w:pPr>
            <w:r w:rsidRPr="00DB5E6C">
              <w:rPr>
                <w:rFonts w:ascii="Arial Narrow" w:hAnsi="Arial Narrow"/>
                <w:bCs/>
                <w:sz w:val="16"/>
              </w:rPr>
              <w:t xml:space="preserve">Τιμή πετρελαίου (δολάρια ΗΠΑ, μέση τιμή </w:t>
            </w:r>
            <w:r w:rsidRPr="00DB5E6C">
              <w:rPr>
                <w:rFonts w:ascii="Arial Narrow" w:hAnsi="Arial Narrow"/>
                <w:bCs/>
                <w:sz w:val="16"/>
                <w:lang w:val="en-GB"/>
              </w:rPr>
              <w:t>UK</w:t>
            </w:r>
            <w:r w:rsidR="003C6A93">
              <w:rPr>
                <w:rFonts w:ascii="Arial Narrow" w:hAnsi="Arial Narrow"/>
                <w:bCs/>
                <w:sz w:val="16"/>
              </w:rPr>
              <w:t xml:space="preserve"> </w:t>
            </w:r>
            <w:r w:rsidRPr="00DB5E6C">
              <w:rPr>
                <w:rFonts w:ascii="Arial Narrow" w:hAnsi="Arial Narrow"/>
                <w:bCs/>
                <w:sz w:val="16"/>
                <w:lang w:val="en-GB"/>
              </w:rPr>
              <w:t>Brent</w:t>
            </w:r>
            <w:r w:rsidRPr="00DB5E6C">
              <w:rPr>
                <w:rFonts w:ascii="Arial Narrow" w:hAnsi="Arial Narrow"/>
                <w:bCs/>
                <w:sz w:val="16"/>
              </w:rPr>
              <w:t xml:space="preserve">, </w:t>
            </w:r>
            <w:r w:rsidRPr="00DB5E6C">
              <w:rPr>
                <w:rFonts w:ascii="Arial Narrow" w:hAnsi="Arial Narrow"/>
                <w:bCs/>
                <w:sz w:val="16"/>
                <w:lang w:val="en-GB"/>
              </w:rPr>
              <w:t>Dubai</w:t>
            </w:r>
            <w:r w:rsidR="003C6A93">
              <w:rPr>
                <w:rFonts w:ascii="Arial Narrow" w:hAnsi="Arial Narrow"/>
                <w:bCs/>
                <w:sz w:val="16"/>
              </w:rPr>
              <w:t xml:space="preserve"> </w:t>
            </w:r>
            <w:proofErr w:type="spellStart"/>
            <w:r w:rsidRPr="00DB5E6C">
              <w:rPr>
                <w:rFonts w:ascii="Arial Narrow" w:hAnsi="Arial Narrow"/>
                <w:bCs/>
                <w:sz w:val="16"/>
                <w:lang w:val="en-GB"/>
              </w:rPr>
              <w:t>Fateh</w:t>
            </w:r>
            <w:proofErr w:type="spellEnd"/>
            <w:r w:rsidR="003C6A93">
              <w:rPr>
                <w:rFonts w:ascii="Arial Narrow" w:hAnsi="Arial Narrow"/>
                <w:bCs/>
                <w:sz w:val="16"/>
              </w:rPr>
              <w:t xml:space="preserve"> </w:t>
            </w:r>
            <w:r w:rsidRPr="00DB5E6C">
              <w:rPr>
                <w:rFonts w:ascii="Arial Narrow" w:hAnsi="Arial Narrow"/>
                <w:bCs/>
                <w:sz w:val="16"/>
              </w:rPr>
              <w:t xml:space="preserve">και </w:t>
            </w:r>
            <w:r w:rsidRPr="00DB5E6C">
              <w:rPr>
                <w:rFonts w:ascii="Arial Narrow" w:hAnsi="Arial Narrow"/>
                <w:bCs/>
                <w:sz w:val="16"/>
                <w:lang w:val="en-GB"/>
              </w:rPr>
              <w:t>West</w:t>
            </w:r>
            <w:r w:rsidR="00FA7AA3">
              <w:rPr>
                <w:rFonts w:ascii="Arial Narrow" w:hAnsi="Arial Narrow"/>
                <w:bCs/>
                <w:sz w:val="16"/>
              </w:rPr>
              <w:t xml:space="preserve"> </w:t>
            </w:r>
            <w:r w:rsidRPr="00DB5E6C">
              <w:rPr>
                <w:rFonts w:ascii="Arial Narrow" w:hAnsi="Arial Narrow"/>
                <w:bCs/>
                <w:sz w:val="16"/>
                <w:lang w:val="en-GB"/>
              </w:rPr>
              <w:t>Texas</w:t>
            </w:r>
            <w:r w:rsidR="003C6A93">
              <w:rPr>
                <w:rFonts w:ascii="Arial Narrow" w:hAnsi="Arial Narrow"/>
                <w:bCs/>
                <w:sz w:val="16"/>
              </w:rPr>
              <w:t xml:space="preserve"> </w:t>
            </w:r>
            <w:r w:rsidRPr="00DB5E6C">
              <w:rPr>
                <w:rFonts w:ascii="Arial Narrow" w:hAnsi="Arial Narrow"/>
                <w:bCs/>
                <w:sz w:val="16"/>
                <w:lang w:val="en-GB"/>
              </w:rPr>
              <w:t>Intermediate</w:t>
            </w:r>
            <w:r w:rsidRPr="00DB5E6C">
              <w:rPr>
                <w:rFonts w:ascii="Arial Narrow" w:hAnsi="Arial Narrow"/>
                <w:bCs/>
                <w:sz w:val="16"/>
              </w:rPr>
              <w:t>)</w:t>
            </w:r>
          </w:p>
        </w:tc>
        <w:tc>
          <w:tcPr>
            <w:tcW w:w="1133" w:type="dxa"/>
            <w:tcBorders>
              <w:bottom w:val="single" w:sz="8" w:space="0" w:color="000000"/>
            </w:tcBorders>
            <w:shd w:val="clear" w:color="auto" w:fill="FFFFFF"/>
          </w:tcPr>
          <w:p w:rsidR="00192541" w:rsidRPr="00D977E7" w:rsidRDefault="00192541" w:rsidP="00751596">
            <w:pPr>
              <w:tabs>
                <w:tab w:val="decimal" w:pos="461"/>
              </w:tabs>
              <w:snapToGrid w:val="0"/>
              <w:jc w:val="both"/>
              <w:rPr>
                <w:rFonts w:ascii="Arial Narrow" w:hAnsi="Arial Narrow"/>
                <w:sz w:val="16"/>
              </w:rPr>
            </w:pPr>
            <w:r w:rsidRPr="00DB5E6C">
              <w:rPr>
                <w:rFonts w:ascii="Arial Narrow" w:hAnsi="Arial Narrow"/>
                <w:sz w:val="16"/>
                <w:lang w:val="en-US"/>
              </w:rPr>
              <w:t>50,</w:t>
            </w:r>
            <w:r w:rsidR="00D977E7">
              <w:rPr>
                <w:rFonts w:ascii="Arial Narrow" w:hAnsi="Arial Narrow"/>
                <w:sz w:val="16"/>
              </w:rPr>
              <w:t>8</w:t>
            </w:r>
          </w:p>
        </w:tc>
        <w:tc>
          <w:tcPr>
            <w:tcW w:w="1276" w:type="dxa"/>
            <w:tcBorders>
              <w:bottom w:val="single" w:sz="8" w:space="0" w:color="000000"/>
            </w:tcBorders>
            <w:shd w:val="clear" w:color="auto" w:fill="FFFFFF"/>
          </w:tcPr>
          <w:p w:rsidR="00192541" w:rsidRPr="00DB5E6C" w:rsidRDefault="00192541" w:rsidP="00751596">
            <w:pPr>
              <w:tabs>
                <w:tab w:val="decimal" w:pos="510"/>
              </w:tabs>
              <w:snapToGrid w:val="0"/>
              <w:jc w:val="both"/>
              <w:rPr>
                <w:rFonts w:ascii="Arial Narrow" w:hAnsi="Arial Narrow"/>
                <w:sz w:val="16"/>
                <w:lang w:val="en-US"/>
              </w:rPr>
            </w:pPr>
            <w:r w:rsidRPr="00DB5E6C">
              <w:rPr>
                <w:rFonts w:ascii="Arial Narrow" w:hAnsi="Arial Narrow"/>
                <w:sz w:val="16"/>
                <w:lang w:val="en-US"/>
              </w:rPr>
              <w:t>42,8</w:t>
            </w:r>
          </w:p>
        </w:tc>
        <w:tc>
          <w:tcPr>
            <w:tcW w:w="1133" w:type="dxa"/>
            <w:tcBorders>
              <w:bottom w:val="single" w:sz="8" w:space="0" w:color="000000"/>
            </w:tcBorders>
            <w:shd w:val="clear" w:color="auto" w:fill="FFFFFF"/>
          </w:tcPr>
          <w:p w:rsidR="00192541" w:rsidRPr="00DB5E6C" w:rsidRDefault="00192541" w:rsidP="00751596">
            <w:pPr>
              <w:tabs>
                <w:tab w:val="decimal" w:pos="461"/>
              </w:tabs>
              <w:snapToGrid w:val="0"/>
              <w:jc w:val="both"/>
              <w:rPr>
                <w:rFonts w:ascii="Arial Narrow" w:hAnsi="Arial Narrow"/>
                <w:sz w:val="16"/>
                <w:lang w:val="en-US"/>
              </w:rPr>
            </w:pPr>
            <w:r w:rsidRPr="00DB5E6C">
              <w:rPr>
                <w:rFonts w:ascii="Arial Narrow" w:hAnsi="Arial Narrow"/>
                <w:sz w:val="16"/>
                <w:lang w:val="en-US"/>
              </w:rPr>
              <w:t>51,9</w:t>
            </w:r>
          </w:p>
        </w:tc>
        <w:tc>
          <w:tcPr>
            <w:tcW w:w="1312" w:type="dxa"/>
            <w:tcBorders>
              <w:bottom w:val="single" w:sz="8" w:space="0" w:color="000000"/>
              <w:right w:val="single" w:sz="8" w:space="0" w:color="000000"/>
            </w:tcBorders>
            <w:shd w:val="clear" w:color="auto" w:fill="FFFFFF"/>
          </w:tcPr>
          <w:p w:rsidR="00192541" w:rsidRPr="00DB5E6C" w:rsidRDefault="00192541" w:rsidP="00751596">
            <w:pPr>
              <w:tabs>
                <w:tab w:val="decimal" w:pos="510"/>
              </w:tabs>
              <w:snapToGrid w:val="0"/>
              <w:jc w:val="both"/>
              <w:rPr>
                <w:rFonts w:ascii="Arial Narrow" w:hAnsi="Arial Narrow"/>
                <w:sz w:val="16"/>
                <w:lang w:val="en-US"/>
              </w:rPr>
            </w:pPr>
            <w:r w:rsidRPr="00DB5E6C">
              <w:rPr>
                <w:rFonts w:ascii="Arial Narrow" w:hAnsi="Arial Narrow"/>
                <w:sz w:val="16"/>
                <w:lang w:val="en-US"/>
              </w:rPr>
              <w:t>52,0</w:t>
            </w:r>
          </w:p>
        </w:tc>
      </w:tr>
    </w:tbl>
    <w:p w:rsidR="00192541" w:rsidRPr="00DB5E6C" w:rsidRDefault="00192541" w:rsidP="00192541">
      <w:pPr>
        <w:jc w:val="both"/>
        <w:rPr>
          <w:rFonts w:ascii="Arial Narrow" w:hAnsi="Arial Narrow"/>
          <w:sz w:val="18"/>
          <w:szCs w:val="18"/>
          <w:lang w:val="en-US"/>
        </w:rPr>
      </w:pPr>
      <w:r w:rsidRPr="00DB5E6C">
        <w:rPr>
          <w:rFonts w:ascii="Arial Narrow" w:hAnsi="Arial Narrow"/>
          <w:sz w:val="18"/>
          <w:szCs w:val="18"/>
        </w:rPr>
        <w:t>Πηγή</w:t>
      </w:r>
      <w:r w:rsidRPr="00DB5E6C">
        <w:rPr>
          <w:rFonts w:ascii="Arial Narrow" w:hAnsi="Arial Narrow"/>
          <w:sz w:val="18"/>
          <w:szCs w:val="18"/>
          <w:lang w:val="en-US"/>
        </w:rPr>
        <w:t xml:space="preserve">: </w:t>
      </w:r>
      <w:r w:rsidRPr="00DB5E6C">
        <w:rPr>
          <w:rFonts w:ascii="Arial Narrow" w:hAnsi="Arial Narrow"/>
          <w:sz w:val="18"/>
          <w:szCs w:val="18"/>
          <w:lang w:val="en-GB"/>
        </w:rPr>
        <w:t>IMF, World Economic Outlook</w:t>
      </w:r>
      <w:r w:rsidRPr="00DB5E6C">
        <w:rPr>
          <w:rFonts w:ascii="Arial Narrow" w:hAnsi="Arial Narrow"/>
          <w:sz w:val="18"/>
          <w:szCs w:val="18"/>
          <w:lang w:val="en-US"/>
        </w:rPr>
        <w:t>,</w:t>
      </w:r>
      <w:r w:rsidRPr="00DB5E6C">
        <w:rPr>
          <w:rFonts w:ascii="Arial Narrow" w:hAnsi="Arial Narrow"/>
          <w:sz w:val="18"/>
          <w:szCs w:val="18"/>
          <w:lang w:val="en-GB"/>
        </w:rPr>
        <w:t xml:space="preserve"> Update (</w:t>
      </w:r>
      <w:r w:rsidRPr="00DB5E6C">
        <w:rPr>
          <w:rFonts w:ascii="Arial Narrow" w:hAnsi="Arial Narrow"/>
          <w:sz w:val="18"/>
          <w:szCs w:val="18"/>
        </w:rPr>
        <w:t>Ιούλιος</w:t>
      </w:r>
      <w:r w:rsidRPr="00DB5E6C">
        <w:rPr>
          <w:rFonts w:ascii="Arial Narrow" w:hAnsi="Arial Narrow"/>
          <w:sz w:val="18"/>
          <w:szCs w:val="18"/>
          <w:lang w:val="en-US"/>
        </w:rPr>
        <w:t xml:space="preserve"> 2017).</w:t>
      </w:r>
    </w:p>
    <w:p w:rsidR="00192541" w:rsidRPr="00DB5E6C" w:rsidRDefault="00192541" w:rsidP="00192541">
      <w:pPr>
        <w:jc w:val="both"/>
        <w:rPr>
          <w:rFonts w:ascii="Arial Narrow" w:hAnsi="Arial Narrow"/>
          <w:sz w:val="18"/>
          <w:szCs w:val="18"/>
        </w:rPr>
      </w:pPr>
      <w:r w:rsidRPr="00DB5E6C">
        <w:rPr>
          <w:rFonts w:ascii="Arial Narrow" w:hAnsi="Arial Narrow"/>
          <w:sz w:val="18"/>
          <w:szCs w:val="18"/>
        </w:rPr>
        <w:t>* Προβλέψεις</w:t>
      </w:r>
    </w:p>
    <w:p w:rsidR="009B2352" w:rsidRDefault="009B2352" w:rsidP="009B2352">
      <w:pPr>
        <w:jc w:val="both"/>
        <w:rPr>
          <w:szCs w:val="22"/>
        </w:rPr>
      </w:pPr>
    </w:p>
    <w:p w:rsidR="009B2352" w:rsidRPr="009B2352" w:rsidRDefault="00AD7731" w:rsidP="009B2352">
      <w:pPr>
        <w:jc w:val="both"/>
        <w:rPr>
          <w:szCs w:val="22"/>
        </w:rPr>
      </w:pPr>
      <w:r>
        <w:t xml:space="preserve">Σήμερα στο διεθνές περιβάλλον επιδρούν οικονομικοί και μη οικονομικοί παράγοντες που ενδέχεται να επηρεάσουν (θετικά </w:t>
      </w:r>
      <w:r w:rsidR="007322B1">
        <w:t>ή</w:t>
      </w:r>
      <w:r>
        <w:t xml:space="preserve"> αρνητικά) τις αισιόδοξες προοπτικές της παγκόσμιας ο</w:t>
      </w:r>
      <w:r>
        <w:t>ι</w:t>
      </w:r>
      <w:r>
        <w:t>κονομίας. Στο βραχυπρόθεσμο διάστημα οι παράγοντες αυτοί φαίνεται να εξισορροπούνται, ωστόσο μεσοπρόθεσμα οι κίνδυνοι βαραίνουν περισσότερο έναντι των ευνοϊκών παραγόντων για την παγκόσμια οικονομική</w:t>
      </w:r>
      <w:r w:rsidR="00677E3C" w:rsidRPr="00677E3C">
        <w:t xml:space="preserve"> </w:t>
      </w:r>
      <w:r w:rsidR="00677E3C">
        <w:t>δραστηριότητα</w:t>
      </w:r>
      <w:r w:rsidR="009B2352" w:rsidRPr="009B2352">
        <w:rPr>
          <w:szCs w:val="22"/>
        </w:rPr>
        <w:t>.</w:t>
      </w:r>
    </w:p>
    <w:p w:rsidR="009B2352" w:rsidRDefault="009B2352" w:rsidP="009B2352">
      <w:pPr>
        <w:jc w:val="both"/>
        <w:rPr>
          <w:szCs w:val="22"/>
        </w:rPr>
      </w:pPr>
    </w:p>
    <w:p w:rsidR="009B2352" w:rsidRPr="009B2352" w:rsidRDefault="009B2352" w:rsidP="009B2352">
      <w:pPr>
        <w:jc w:val="both"/>
        <w:rPr>
          <w:szCs w:val="22"/>
        </w:rPr>
      </w:pPr>
      <w:r w:rsidRPr="009B2352">
        <w:rPr>
          <w:szCs w:val="22"/>
        </w:rPr>
        <w:t>Μη οικονομικοί κίνδυνοι όπως οι γεωπολιτικές εντάσεις, η παρατεταμένη πολιτική αβεβαι</w:t>
      </w:r>
      <w:r w:rsidRPr="009B2352">
        <w:rPr>
          <w:szCs w:val="22"/>
        </w:rPr>
        <w:t>ό</w:t>
      </w:r>
      <w:r w:rsidRPr="009B2352">
        <w:rPr>
          <w:szCs w:val="22"/>
        </w:rPr>
        <w:t>τητα σε ορισμένες χώρες</w:t>
      </w:r>
      <w:r w:rsidR="003C6A93">
        <w:rPr>
          <w:szCs w:val="22"/>
        </w:rPr>
        <w:t>,</w:t>
      </w:r>
      <w:r w:rsidRPr="009B2352">
        <w:rPr>
          <w:szCs w:val="22"/>
        </w:rPr>
        <w:t xml:space="preserve"> καθώς και οι κλυδωνισμοί που μπορούν να προκληθούν από </w:t>
      </w:r>
      <w:r w:rsidR="007322B1">
        <w:rPr>
          <w:szCs w:val="22"/>
        </w:rPr>
        <w:t>περι</w:t>
      </w:r>
      <w:r w:rsidR="007322B1">
        <w:rPr>
          <w:szCs w:val="22"/>
        </w:rPr>
        <w:t>π</w:t>
      </w:r>
      <w:r w:rsidR="007322B1">
        <w:rPr>
          <w:szCs w:val="22"/>
        </w:rPr>
        <w:t xml:space="preserve">τώσεις </w:t>
      </w:r>
      <w:r w:rsidRPr="009B2352">
        <w:rPr>
          <w:szCs w:val="22"/>
        </w:rPr>
        <w:t>αδύ</w:t>
      </w:r>
      <w:r w:rsidR="00E00A3D">
        <w:rPr>
          <w:szCs w:val="22"/>
        </w:rPr>
        <w:t>ναμ</w:t>
      </w:r>
      <w:r w:rsidR="007322B1">
        <w:rPr>
          <w:szCs w:val="22"/>
        </w:rPr>
        <w:t>η</w:t>
      </w:r>
      <w:r w:rsidR="00E00A3D">
        <w:rPr>
          <w:szCs w:val="22"/>
        </w:rPr>
        <w:t>ς διακυβ</w:t>
      </w:r>
      <w:r w:rsidR="007322B1">
        <w:rPr>
          <w:szCs w:val="22"/>
        </w:rPr>
        <w:t>έρνησης</w:t>
      </w:r>
      <w:r w:rsidR="00E00A3D">
        <w:rPr>
          <w:szCs w:val="22"/>
        </w:rPr>
        <w:t xml:space="preserve"> ή </w:t>
      </w:r>
      <w:r w:rsidRPr="009B2352">
        <w:rPr>
          <w:szCs w:val="22"/>
        </w:rPr>
        <w:t>επικράτηση</w:t>
      </w:r>
      <w:r w:rsidR="007322B1">
        <w:rPr>
          <w:szCs w:val="22"/>
        </w:rPr>
        <w:t>ς</w:t>
      </w:r>
      <w:r w:rsidRPr="009B2352">
        <w:rPr>
          <w:szCs w:val="22"/>
        </w:rPr>
        <w:t xml:space="preserve"> της διαφθοράς, δύνανται να σταθούν τροχ</w:t>
      </w:r>
      <w:r w:rsidRPr="009B2352">
        <w:rPr>
          <w:szCs w:val="22"/>
        </w:rPr>
        <w:t>ο</w:t>
      </w:r>
      <w:r w:rsidRPr="009B2352">
        <w:rPr>
          <w:szCs w:val="22"/>
        </w:rPr>
        <w:t>πέδη στην παγκόσμια οικονομική δραστηριότητα.</w:t>
      </w:r>
    </w:p>
    <w:p w:rsidR="009B2352" w:rsidRDefault="009B2352" w:rsidP="009B2352">
      <w:pPr>
        <w:jc w:val="both"/>
        <w:rPr>
          <w:szCs w:val="22"/>
        </w:rPr>
      </w:pPr>
    </w:p>
    <w:p w:rsidR="009B2352" w:rsidRPr="009954EE" w:rsidRDefault="009B2352" w:rsidP="009B2352">
      <w:pPr>
        <w:jc w:val="both"/>
        <w:rPr>
          <w:szCs w:val="22"/>
        </w:rPr>
      </w:pPr>
      <w:r w:rsidRPr="009B2352">
        <w:rPr>
          <w:szCs w:val="22"/>
        </w:rPr>
        <w:t>Οι οικονομικοί κίνδυνοι</w:t>
      </w:r>
      <w:r w:rsidR="003C6A93">
        <w:rPr>
          <w:szCs w:val="22"/>
        </w:rPr>
        <w:t>,</w:t>
      </w:r>
      <w:r w:rsidRPr="009B2352">
        <w:rPr>
          <w:szCs w:val="22"/>
        </w:rPr>
        <w:t xml:space="preserve"> όπως η μεταβλητότητα του παγκόσμιου χρηματοπιστωτικού συστ</w:t>
      </w:r>
      <w:r w:rsidRPr="009B2352">
        <w:rPr>
          <w:szCs w:val="22"/>
        </w:rPr>
        <w:t>ή</w:t>
      </w:r>
      <w:r w:rsidRPr="009B2352">
        <w:rPr>
          <w:szCs w:val="22"/>
        </w:rPr>
        <w:t>ματος, η καθυστέρηση στην ενίσχυση του ρυθμιστικού και ελεγκτικού πλαισίου του χρημ</w:t>
      </w:r>
      <w:r w:rsidRPr="009B2352">
        <w:rPr>
          <w:szCs w:val="22"/>
        </w:rPr>
        <w:t>α</w:t>
      </w:r>
      <w:r w:rsidRPr="009B2352">
        <w:rPr>
          <w:szCs w:val="22"/>
        </w:rPr>
        <w:t>τοπιστωτικού τομέα, η αύξηση των μακροχρονίων επιτοκίων</w:t>
      </w:r>
      <w:r w:rsidR="003C6A93">
        <w:rPr>
          <w:szCs w:val="22"/>
        </w:rPr>
        <w:t xml:space="preserve"> </w:t>
      </w:r>
      <w:r w:rsidRPr="009B2352">
        <w:rPr>
          <w:szCs w:val="22"/>
        </w:rPr>
        <w:t>(</w:t>
      </w:r>
      <w:r w:rsidR="00E00A3D">
        <w:rPr>
          <w:szCs w:val="22"/>
        </w:rPr>
        <w:t>με</w:t>
      </w:r>
      <w:r w:rsidRPr="009B2352">
        <w:rPr>
          <w:szCs w:val="22"/>
        </w:rPr>
        <w:t xml:space="preserve"> επίπτωσ</w:t>
      </w:r>
      <w:r w:rsidR="00E00A3D">
        <w:rPr>
          <w:szCs w:val="22"/>
        </w:rPr>
        <w:t>η</w:t>
      </w:r>
      <w:r w:rsidRPr="009B2352">
        <w:rPr>
          <w:szCs w:val="22"/>
        </w:rPr>
        <w:t xml:space="preserve"> στο παγκόσμιο χρέος), η δυσκολία πρόβλεψης της δημοσιονομικής πολιτικής των ΗΠΑ καθώς και η αβεβα</w:t>
      </w:r>
      <w:r w:rsidRPr="009B2352">
        <w:rPr>
          <w:szCs w:val="22"/>
        </w:rPr>
        <w:t>ι</w:t>
      </w:r>
      <w:r w:rsidRPr="009B2352">
        <w:rPr>
          <w:szCs w:val="22"/>
        </w:rPr>
        <w:t xml:space="preserve">ότητα των διαπραγματεύσεων </w:t>
      </w:r>
      <w:r w:rsidR="008252EE">
        <w:rPr>
          <w:szCs w:val="22"/>
        </w:rPr>
        <w:t xml:space="preserve">για τη </w:t>
      </w:r>
      <w:r w:rsidRPr="009B2352">
        <w:rPr>
          <w:szCs w:val="22"/>
        </w:rPr>
        <w:t xml:space="preserve">μετά </w:t>
      </w:r>
      <w:proofErr w:type="spellStart"/>
      <w:r w:rsidRPr="009B2352">
        <w:rPr>
          <w:szCs w:val="22"/>
          <w:lang w:val="en-GB"/>
        </w:rPr>
        <w:t>Brexit</w:t>
      </w:r>
      <w:proofErr w:type="spellEnd"/>
      <w:r w:rsidRPr="009B2352">
        <w:rPr>
          <w:szCs w:val="22"/>
        </w:rPr>
        <w:t xml:space="preserve"> εποχή, αναμένεται να έχουν αρνητική επί</w:t>
      </w:r>
      <w:r w:rsidRPr="009B2352">
        <w:rPr>
          <w:szCs w:val="22"/>
        </w:rPr>
        <w:t>δ</w:t>
      </w:r>
      <w:r w:rsidRPr="009B2352">
        <w:rPr>
          <w:szCs w:val="22"/>
        </w:rPr>
        <w:t xml:space="preserve">ραση στην παγκόσμια ανάπτυξη. </w:t>
      </w:r>
      <w:r w:rsidR="009954EE" w:rsidRPr="009954EE">
        <w:rPr>
          <w:szCs w:val="22"/>
        </w:rPr>
        <w:t>Τυχόν απροσδόκητες περαιτέρω διαταραχές στην παγκό</w:t>
      </w:r>
      <w:r w:rsidR="009954EE" w:rsidRPr="009954EE">
        <w:rPr>
          <w:szCs w:val="22"/>
        </w:rPr>
        <w:t>σ</w:t>
      </w:r>
      <w:r w:rsidR="009954EE" w:rsidRPr="009954EE">
        <w:rPr>
          <w:szCs w:val="22"/>
        </w:rPr>
        <w:t>μια προσφορά πετρελαίου σε βραχυπρόθεσμο και μεσοπρόθεσμο ορίζοντα είναι δυνατόν να επιφέρουν υψηλότερες τιμές πετρελαίου, με συνέπεια την οριακή επιτάχυνση του πληθωρι</w:t>
      </w:r>
      <w:r w:rsidR="009954EE" w:rsidRPr="009954EE">
        <w:rPr>
          <w:szCs w:val="22"/>
        </w:rPr>
        <w:t>σ</w:t>
      </w:r>
      <w:r w:rsidR="009954EE" w:rsidRPr="009954EE">
        <w:rPr>
          <w:szCs w:val="22"/>
        </w:rPr>
        <w:t>μού και την οριακή επιβράδυνση της πραγματικής παγκόσμιας ανάπτυξης.</w:t>
      </w:r>
      <w:r w:rsidRPr="009954EE">
        <w:rPr>
          <w:szCs w:val="22"/>
        </w:rPr>
        <w:t xml:space="preserve"> </w:t>
      </w:r>
    </w:p>
    <w:p w:rsidR="00432866" w:rsidRPr="005C3B7B" w:rsidRDefault="00432866" w:rsidP="00E46209">
      <w:pPr>
        <w:jc w:val="both"/>
        <w:rPr>
          <w:szCs w:val="22"/>
        </w:rPr>
      </w:pPr>
    </w:p>
    <w:p w:rsidR="00432866" w:rsidRPr="005C3B7B" w:rsidRDefault="00432866" w:rsidP="00E46209">
      <w:pPr>
        <w:jc w:val="both"/>
        <w:rPr>
          <w:szCs w:val="22"/>
        </w:rPr>
      </w:pPr>
    </w:p>
    <w:p w:rsidR="00FF6B10" w:rsidRPr="00966494" w:rsidRDefault="00190132" w:rsidP="00E951A2">
      <w:pPr>
        <w:shd w:val="clear" w:color="auto" w:fill="BFBFBF" w:themeFill="background1" w:themeFillShade="BF"/>
        <w:tabs>
          <w:tab w:val="left" w:pos="540"/>
        </w:tabs>
        <w:jc w:val="both"/>
        <w:rPr>
          <w:rFonts w:ascii="Arial Narrow" w:hAnsi="Arial Narrow"/>
          <w:b/>
          <w:sz w:val="26"/>
          <w:szCs w:val="22"/>
        </w:rPr>
      </w:pPr>
      <w:r>
        <w:rPr>
          <w:rFonts w:ascii="Arial Narrow" w:hAnsi="Arial Narrow"/>
          <w:b/>
          <w:sz w:val="26"/>
          <w:szCs w:val="22"/>
        </w:rPr>
        <w:t>2.</w:t>
      </w:r>
      <w:r>
        <w:rPr>
          <w:rFonts w:ascii="Arial Narrow" w:hAnsi="Arial Narrow"/>
          <w:b/>
          <w:sz w:val="26"/>
          <w:szCs w:val="22"/>
        </w:rPr>
        <w:tab/>
        <w:t>Οι οικονομικές εξελίξεις στην Ελλάδα</w:t>
      </w:r>
    </w:p>
    <w:p w:rsidR="00D33C1C" w:rsidRDefault="00D33C1C" w:rsidP="00192266">
      <w:pPr>
        <w:jc w:val="both"/>
        <w:rPr>
          <w:szCs w:val="22"/>
        </w:rPr>
      </w:pPr>
    </w:p>
    <w:p w:rsidR="00707015" w:rsidRPr="00707015" w:rsidRDefault="00707015" w:rsidP="00707015">
      <w:pPr>
        <w:ind w:left="567" w:hanging="567"/>
        <w:jc w:val="both"/>
        <w:rPr>
          <w:rFonts w:ascii="Arial Narrow" w:hAnsi="Arial Narrow"/>
          <w:b/>
          <w:color w:val="000080"/>
          <w:szCs w:val="22"/>
        </w:rPr>
      </w:pPr>
      <w:r w:rsidRPr="00707015">
        <w:rPr>
          <w:rFonts w:ascii="Arial Narrow" w:hAnsi="Arial Narrow"/>
          <w:b/>
          <w:color w:val="000080"/>
          <w:szCs w:val="22"/>
        </w:rPr>
        <w:t>2.</w:t>
      </w:r>
      <w:r w:rsidR="00E91754">
        <w:rPr>
          <w:rFonts w:ascii="Arial Narrow" w:hAnsi="Arial Narrow"/>
          <w:b/>
          <w:color w:val="000080"/>
          <w:szCs w:val="22"/>
        </w:rPr>
        <w:t>1</w:t>
      </w:r>
      <w:r w:rsidR="00E91754">
        <w:rPr>
          <w:rFonts w:ascii="Arial Narrow" w:hAnsi="Arial Narrow"/>
          <w:b/>
          <w:color w:val="000080"/>
          <w:szCs w:val="22"/>
        </w:rPr>
        <w:tab/>
      </w:r>
      <w:r w:rsidRPr="00707015">
        <w:rPr>
          <w:rFonts w:ascii="Arial Narrow" w:hAnsi="Arial Narrow"/>
          <w:b/>
          <w:color w:val="000080"/>
          <w:szCs w:val="22"/>
        </w:rPr>
        <w:t xml:space="preserve">Γενική </w:t>
      </w:r>
      <w:bookmarkStart w:id="1" w:name="_Toc290575760"/>
      <w:r w:rsidR="00770593">
        <w:rPr>
          <w:rFonts w:ascii="Arial Narrow" w:hAnsi="Arial Narrow"/>
          <w:b/>
          <w:color w:val="000080"/>
          <w:szCs w:val="22"/>
        </w:rPr>
        <w:t>ε</w:t>
      </w:r>
      <w:r w:rsidRPr="00707015">
        <w:rPr>
          <w:rFonts w:ascii="Arial Narrow" w:hAnsi="Arial Narrow"/>
          <w:b/>
          <w:color w:val="000080"/>
          <w:szCs w:val="22"/>
        </w:rPr>
        <w:t>πισκόπηση</w:t>
      </w:r>
      <w:r w:rsidR="002E5A0E">
        <w:rPr>
          <w:rFonts w:ascii="Arial Narrow" w:hAnsi="Arial Narrow"/>
          <w:b/>
          <w:color w:val="000080"/>
          <w:szCs w:val="22"/>
        </w:rPr>
        <w:t xml:space="preserve"> της Ελληνικής ο</w:t>
      </w:r>
      <w:r w:rsidRPr="00707015">
        <w:rPr>
          <w:rFonts w:ascii="Arial Narrow" w:hAnsi="Arial Narrow"/>
          <w:b/>
          <w:color w:val="000080"/>
          <w:szCs w:val="22"/>
        </w:rPr>
        <w:t>ικονομίας</w:t>
      </w:r>
    </w:p>
    <w:p w:rsidR="00707015" w:rsidRPr="00707015" w:rsidRDefault="00707015" w:rsidP="00707015">
      <w:pPr>
        <w:ind w:left="567" w:hanging="567"/>
        <w:jc w:val="both"/>
        <w:rPr>
          <w:rFonts w:ascii="Arial Narrow" w:hAnsi="Arial Narrow"/>
          <w:b/>
          <w:color w:val="000080"/>
          <w:szCs w:val="22"/>
        </w:rPr>
      </w:pPr>
    </w:p>
    <w:bookmarkEnd w:id="1"/>
    <w:p w:rsidR="000564DE" w:rsidRPr="000564DE" w:rsidRDefault="000564DE" w:rsidP="000564DE">
      <w:pPr>
        <w:jc w:val="both"/>
      </w:pPr>
      <w:r w:rsidRPr="000564DE">
        <w:t>Το τρέχον πρόγραμμα στήριξης της ελληνικής οικονομίας μέσω του Ευρωπαϊκού Μηχανι</w:t>
      </w:r>
      <w:r w:rsidRPr="000564DE">
        <w:t>σ</w:t>
      </w:r>
      <w:r w:rsidRPr="000564DE">
        <w:t xml:space="preserve">μού Σταθερότητας υιοθετήθηκε τον Αύγουστο του 2015, δίνοντας τέλος σε μια </w:t>
      </w:r>
      <w:r w:rsidR="00DD770F">
        <w:t>παρα</w:t>
      </w:r>
      <w:r w:rsidRPr="000564DE">
        <w:t>τεταμένη πε</w:t>
      </w:r>
      <w:r w:rsidR="008252EE">
        <w:t>ρίοδο διαπραγματεύσεων με τους θ</w:t>
      </w:r>
      <w:r w:rsidRPr="000564DE">
        <w:t>εσμούς επί των όρων της νέας χρηματοδότησης.</w:t>
      </w:r>
    </w:p>
    <w:p w:rsidR="000564DE" w:rsidRDefault="000564DE" w:rsidP="000564DE">
      <w:pPr>
        <w:jc w:val="both"/>
      </w:pPr>
    </w:p>
    <w:p w:rsidR="000564DE" w:rsidRPr="000564DE" w:rsidRDefault="000564DE" w:rsidP="000564DE">
      <w:pPr>
        <w:jc w:val="both"/>
      </w:pPr>
      <w:r w:rsidRPr="000564DE">
        <w:t>Απαντώντας στην ανάγκη μιας πιο ήπιας δημοσιονομικής προσαρμογής, έπειτα από πέντε έτη σωρευτικής επιδείνωσης της εγχώριας ζήτησης, της απασχόλησης και της εισοδηματικής κ</w:t>
      </w:r>
      <w:r w:rsidRPr="000564DE">
        <w:t>α</w:t>
      </w:r>
      <w:r w:rsidRPr="000564DE">
        <w:t>τανομής, το πρόγραμμα μετατόπιζε το βάρος του οικονομικού σχεδιασμού προς τη δημιου</w:t>
      </w:r>
      <w:r w:rsidRPr="000564DE">
        <w:t>ρ</w:t>
      </w:r>
      <w:r w:rsidRPr="000564DE">
        <w:t xml:space="preserve">γία δημοσιονομικού χώρου προκειμένου να ενισχυθεί το δίκτυο κοινωνικής προστασίας και να υποστηριχθεί η ανάκαμψη. </w:t>
      </w:r>
    </w:p>
    <w:p w:rsidR="000564DE" w:rsidRDefault="000564DE" w:rsidP="000564DE">
      <w:pPr>
        <w:jc w:val="both"/>
      </w:pPr>
    </w:p>
    <w:p w:rsidR="000564DE" w:rsidRPr="000564DE" w:rsidRDefault="000564DE" w:rsidP="000564DE">
      <w:pPr>
        <w:jc w:val="both"/>
      </w:pPr>
      <w:r w:rsidRPr="000564DE">
        <w:t>Έτσι, η νέα Σύμβαση Χρηματοδοτικής Διευκόλυνσης (ΣΧΔ)</w:t>
      </w:r>
      <w:r w:rsidR="008578AA">
        <w:t xml:space="preserve"> για την τριετία 2015-2017</w:t>
      </w:r>
      <w:r w:rsidRPr="000564DE">
        <w:t xml:space="preserve"> πρ</w:t>
      </w:r>
      <w:r w:rsidRPr="000564DE">
        <w:t>ο</w:t>
      </w:r>
      <w:r w:rsidRPr="000564DE">
        <w:t>έβλεπε μείωση των στόχων για το πρωτογενές πλεόνασμα έναντι του προηγούμενου προ</w:t>
      </w:r>
      <w:r w:rsidRPr="000564DE">
        <w:t>γ</w:t>
      </w:r>
      <w:r w:rsidRPr="000564DE">
        <w:t xml:space="preserve">ράμματος, από </w:t>
      </w:r>
      <w:r w:rsidR="004636DB">
        <w:t xml:space="preserve">3,0% του ΑΕΠ το 2015, 4,5% το 2016 και 4,5% το 2017 </w:t>
      </w:r>
      <w:r w:rsidRPr="000564DE">
        <w:t>σε -0,25% το 2015, 0,5% το 2016 και 1,75% το 2017.</w:t>
      </w:r>
    </w:p>
    <w:p w:rsidR="000564DE" w:rsidRDefault="000564DE" w:rsidP="000564DE">
      <w:pPr>
        <w:jc w:val="both"/>
      </w:pPr>
    </w:p>
    <w:p w:rsidR="000564DE" w:rsidRPr="000564DE" w:rsidRDefault="000564DE" w:rsidP="000564DE">
      <w:pPr>
        <w:jc w:val="both"/>
      </w:pPr>
      <w:r w:rsidRPr="000564DE">
        <w:t xml:space="preserve">Ωστόσο, οι πολιτικές του νέου προγράμματος εφαρμόστηκαν αρχικά κάτω από </w:t>
      </w:r>
      <w:r w:rsidR="004636DB">
        <w:t xml:space="preserve">δυσμενείς </w:t>
      </w:r>
      <w:r w:rsidRPr="000564DE">
        <w:t>συνθήκες ρευστότητας και οικονομικών προσδοκιών</w:t>
      </w:r>
      <w:r w:rsidR="004636DB">
        <w:t xml:space="preserve"> και σε περιβάλλον υψηλής αβεβαιότ</w:t>
      </w:r>
      <w:r w:rsidR="004636DB">
        <w:t>η</w:t>
      </w:r>
      <w:r w:rsidR="004636DB">
        <w:t xml:space="preserve">τας οδηγώντας </w:t>
      </w:r>
      <w:r w:rsidRPr="000564DE">
        <w:t xml:space="preserve">στην εφαρμογή περιορισμών στην κίνηση κεφαλαίων τον Ιούλιο του 2015, προκειμένου να αντιμετωπιστεί η μεγάλη εκροή καταθέσεων από το τραπεζικό σύστημα. </w:t>
      </w:r>
    </w:p>
    <w:p w:rsidR="000564DE" w:rsidRDefault="000564DE" w:rsidP="000564DE">
      <w:pPr>
        <w:jc w:val="both"/>
      </w:pPr>
    </w:p>
    <w:p w:rsidR="000564DE" w:rsidRPr="000564DE" w:rsidRDefault="000564DE" w:rsidP="000564DE">
      <w:pPr>
        <w:jc w:val="both"/>
      </w:pPr>
      <w:r w:rsidRPr="000564DE">
        <w:t>Έναντι αυτ</w:t>
      </w:r>
      <w:r w:rsidR="00DD770F">
        <w:t>ών των αντιξοοτήτων</w:t>
      </w:r>
      <w:r w:rsidRPr="000564DE">
        <w:t>, η ελληνική οικονομία επέδειξε ανθεκτικότητα, με το πρα</w:t>
      </w:r>
      <w:r w:rsidRPr="000564DE">
        <w:t>γ</w:t>
      </w:r>
      <w:r w:rsidRPr="000564DE">
        <w:t xml:space="preserve">ματικό ΑΕΠ να καταγράφει οριακή μόνο πτώση το 2015 (-0,2% σε ετήσια βάση), στη βάση της θετικής συνεισφοράς του εξωτερικού τομέα (κατά 0,9% του πραγματικού ΑΕΠ) και της συγκράτησης του όγκου των επενδύσεων και της καταναλωτικής δαπάνης σχεδόν στο ίδιο </w:t>
      </w:r>
      <w:r w:rsidRPr="000564DE">
        <w:t>ε</w:t>
      </w:r>
      <w:r w:rsidRPr="000564DE">
        <w:t xml:space="preserve">πίπεδο με το 2014 (-0,2% σε ετήσια βάση). </w:t>
      </w:r>
    </w:p>
    <w:p w:rsidR="000564DE" w:rsidRDefault="000564DE" w:rsidP="000564DE">
      <w:pPr>
        <w:jc w:val="both"/>
      </w:pPr>
    </w:p>
    <w:p w:rsidR="000564DE" w:rsidRPr="000564DE" w:rsidRDefault="000564DE" w:rsidP="000564DE">
      <w:pPr>
        <w:jc w:val="both"/>
      </w:pPr>
      <w:r w:rsidRPr="000564DE">
        <w:t xml:space="preserve">Ακολούθως, μικτές τάσεις στην ελληνική οικονομία είχαν ως αποτέλεσμα τη διατήρηση του ΑΕΠ το 2016 στο ίδιο επίπεδο με το 2015, </w:t>
      </w:r>
      <w:r w:rsidR="00972631">
        <w:t xml:space="preserve">υψηλότερα από την εκτίμηση </w:t>
      </w:r>
      <w:r w:rsidR="00DD770F">
        <w:t xml:space="preserve">που είχε περιληφθεί </w:t>
      </w:r>
      <w:r w:rsidR="008252EE">
        <w:t>στην Εισηγητική Έκθεση του</w:t>
      </w:r>
      <w:r w:rsidR="00DD770F">
        <w:t xml:space="preserve"> Κ</w:t>
      </w:r>
      <w:r w:rsidR="00972631">
        <w:t>ρατι</w:t>
      </w:r>
      <w:r w:rsidR="00DD770F">
        <w:t>κ</w:t>
      </w:r>
      <w:r w:rsidR="008252EE">
        <w:t>ού</w:t>
      </w:r>
      <w:r w:rsidR="00DD770F">
        <w:t xml:space="preserve"> Π</w:t>
      </w:r>
      <w:r w:rsidRPr="000564DE">
        <w:t>ροϋπολογισμ</w:t>
      </w:r>
      <w:r w:rsidR="008252EE">
        <w:t>ού</w:t>
      </w:r>
      <w:r w:rsidRPr="000564DE">
        <w:t xml:space="preserve"> 2017 για οριακή ύφεση 0,3%. Η </w:t>
      </w:r>
      <w:r w:rsidRPr="000564DE">
        <w:lastRenderedPageBreak/>
        <w:t>ανάκαμψη της ιδιωτικής κατανάλωσης κατά 1,4% έναντι του 2015 υπήρξε καθοριστικός π</w:t>
      </w:r>
      <w:r w:rsidRPr="000564DE">
        <w:t>α</w:t>
      </w:r>
      <w:r w:rsidRPr="000564DE">
        <w:t>ράγοντας για τη σταθεροποίηση του ΑΕΠ, εν μέσω μείωσης των αποθεμάτων της οικονομίας και στασιμότητας των</w:t>
      </w:r>
      <w:r w:rsidR="005C2D49">
        <w:t xml:space="preserve"> </w:t>
      </w:r>
      <w:r w:rsidRPr="000564DE">
        <w:t xml:space="preserve">πραγματικών επενδύσεων σε </w:t>
      </w:r>
      <w:proofErr w:type="spellStart"/>
      <w:r w:rsidRPr="000564DE">
        <w:t>εθνικολογιστική</w:t>
      </w:r>
      <w:proofErr w:type="spellEnd"/>
      <w:r w:rsidRPr="000564DE">
        <w:t xml:space="preserve"> βάση (+0,1% σε ετήσια βάση).</w:t>
      </w:r>
    </w:p>
    <w:p w:rsidR="000564DE" w:rsidRDefault="000564DE" w:rsidP="000564DE">
      <w:pPr>
        <w:jc w:val="both"/>
      </w:pPr>
    </w:p>
    <w:p w:rsidR="000564DE" w:rsidRPr="000564DE" w:rsidRDefault="000564DE" w:rsidP="000564DE">
      <w:pPr>
        <w:jc w:val="both"/>
      </w:pPr>
      <w:r w:rsidRPr="000564DE">
        <w:t xml:space="preserve">Το ισοζύγιο τρεχουσών συναλλαγών </w:t>
      </w:r>
      <w:r w:rsidR="00ED2365">
        <w:t xml:space="preserve">παρουσίασε </w:t>
      </w:r>
      <w:r w:rsidRPr="000564DE">
        <w:t>το 2016</w:t>
      </w:r>
      <w:r w:rsidR="00ED2365">
        <w:t xml:space="preserve"> έλλειμμα </w:t>
      </w:r>
      <w:r w:rsidRPr="00ED2365">
        <w:t>1,</w:t>
      </w:r>
      <w:r w:rsidR="00ED2365">
        <w:t>1</w:t>
      </w:r>
      <w:r w:rsidRPr="000564DE">
        <w:t xml:space="preserve"> δισ. ευρώ</w:t>
      </w:r>
      <w:r w:rsidR="00ED2365">
        <w:t>.</w:t>
      </w:r>
      <w:r w:rsidRPr="000564DE">
        <w:t xml:space="preserve"> Η </w:t>
      </w:r>
      <w:r w:rsidR="00ED2365">
        <w:t xml:space="preserve">εξέλιξη αυτή </w:t>
      </w:r>
      <w:r w:rsidRPr="000564DE">
        <w:t xml:space="preserve">σχετίζεται σε μεγάλο βαθμό με συγκυριακούς παράγοντες που επέδρασαν το 2016, </w:t>
      </w:r>
      <w:r w:rsidRPr="000564DE">
        <w:t>ό</w:t>
      </w:r>
      <w:r w:rsidRPr="000564DE">
        <w:t>πως ο επηρεασμός της εικόνας της Ελλάδος ως τουριστικού προορισμού από την προσφυγική κρίση (πριν την εφαρμογή της συμφωνίας ΕΕ-Τουρκίας τον Μάρτιο 2016) και οι μειωμένοι ναύλοι.</w:t>
      </w:r>
    </w:p>
    <w:p w:rsidR="000564DE" w:rsidRDefault="000564DE" w:rsidP="000564DE">
      <w:pPr>
        <w:jc w:val="both"/>
      </w:pPr>
    </w:p>
    <w:p w:rsidR="000564DE" w:rsidRDefault="000564DE" w:rsidP="000564DE">
      <w:pPr>
        <w:jc w:val="both"/>
      </w:pPr>
      <w:r w:rsidRPr="000564DE">
        <w:t>Σε αδρές γραμμές, η σταθεροποίηση του ΑΕΠ υπήρξε συνάρτηση της προόδου στην υλοπο</w:t>
      </w:r>
      <w:r w:rsidRPr="000564DE">
        <w:t>ί</w:t>
      </w:r>
      <w:r w:rsidR="00751596">
        <w:t>ηση του Προγράμματος Σ</w:t>
      </w:r>
      <w:r w:rsidRPr="000564DE">
        <w:t>τήριξης. Η πρόοδος αυτή έχει αποτυπωθεί ως σήμερα στην ολο</w:t>
      </w:r>
      <w:r w:rsidRPr="000564DE">
        <w:t>κ</w:t>
      </w:r>
      <w:r w:rsidRPr="000564DE">
        <w:t>λήρωση της πρώτης αξιολόγησης του Προγράμματος, τον Ιούνιο του 2016, στην εκπλήρωση συμπληρ</w:t>
      </w:r>
      <w:r w:rsidR="00657834">
        <w:t>ωματικών οροσή</w:t>
      </w:r>
      <w:r w:rsidRPr="000564DE">
        <w:t>μων τον Οκτώβριο του 2016 και στην ολοκλήρωση της δεύτερης αξιολόγησης τον Ιούνιο του 2017. Σε όλη αυτή την περίοδο, η ομαλή υλοποίηση του προ</w:t>
      </w:r>
      <w:r w:rsidRPr="000564DE">
        <w:t>γ</w:t>
      </w:r>
      <w:r w:rsidRPr="000564DE">
        <w:t>ράμματος διασφάλισε:</w:t>
      </w:r>
    </w:p>
    <w:p w:rsidR="00281193" w:rsidRPr="000564DE" w:rsidRDefault="00281193" w:rsidP="000564DE">
      <w:pPr>
        <w:jc w:val="both"/>
      </w:pPr>
    </w:p>
    <w:p w:rsidR="000564DE" w:rsidRPr="000564DE" w:rsidRDefault="000564DE" w:rsidP="00C42D86">
      <w:pPr>
        <w:numPr>
          <w:ilvl w:val="0"/>
          <w:numId w:val="1"/>
        </w:numPr>
        <w:ind w:left="284" w:hanging="284"/>
        <w:jc w:val="both"/>
      </w:pPr>
      <w:r w:rsidRPr="000564DE">
        <w:t>την ομαλή χρη</w:t>
      </w:r>
      <w:r w:rsidR="00751596">
        <w:t>ματοδότηση της γενικής κ</w:t>
      </w:r>
      <w:r w:rsidRPr="000564DE">
        <w:t>υβέρνησης,</w:t>
      </w:r>
    </w:p>
    <w:p w:rsidR="000564DE" w:rsidRPr="000564DE" w:rsidRDefault="000564DE" w:rsidP="00C42D86">
      <w:pPr>
        <w:numPr>
          <w:ilvl w:val="0"/>
          <w:numId w:val="1"/>
        </w:numPr>
        <w:ind w:left="284" w:hanging="284"/>
        <w:jc w:val="both"/>
      </w:pPr>
      <w:r w:rsidRPr="000564DE">
        <w:t>τη μείωση του κόστους δανεισμού για το ελληνικό τραπεζικό σύστημα, μέσω της επανέ</w:t>
      </w:r>
      <w:r w:rsidRPr="000564DE">
        <w:t>ν</w:t>
      </w:r>
      <w:r w:rsidRPr="000564DE">
        <w:t xml:space="preserve">ταξης των ελληνικών ομολόγων ως επιλέξιμων για πράξεις </w:t>
      </w:r>
      <w:r w:rsidR="00DE7BD7">
        <w:t>ανα</w:t>
      </w:r>
      <w:r w:rsidRPr="000564DE">
        <w:t xml:space="preserve">χρηματοδότησης μέσω του </w:t>
      </w:r>
      <w:proofErr w:type="spellStart"/>
      <w:r w:rsidRPr="000564DE">
        <w:t>Ευρωσυστήματος</w:t>
      </w:r>
      <w:proofErr w:type="spellEnd"/>
      <w:r w:rsidRPr="000564DE">
        <w:t xml:space="preserve">, </w:t>
      </w:r>
    </w:p>
    <w:p w:rsidR="000564DE" w:rsidRPr="000564DE" w:rsidRDefault="000564DE" w:rsidP="00C42D86">
      <w:pPr>
        <w:numPr>
          <w:ilvl w:val="0"/>
          <w:numId w:val="1"/>
        </w:numPr>
        <w:ind w:left="284" w:hanging="284"/>
        <w:jc w:val="both"/>
      </w:pPr>
      <w:r w:rsidRPr="000564DE">
        <w:t>την ενίσχυση της ρευστότητας στην πραγματική οικονομία, μέσω του προγράμματος ε</w:t>
      </w:r>
      <w:r w:rsidRPr="000564DE">
        <w:t>κ</w:t>
      </w:r>
      <w:r w:rsidRPr="000564DE">
        <w:t xml:space="preserve">καθάρισης ληξιπροθέσμων οφειλών του Δημοσίου προς τον ιδιωτικό τομέα, </w:t>
      </w:r>
    </w:p>
    <w:p w:rsidR="000564DE" w:rsidRPr="000564DE" w:rsidRDefault="000564DE" w:rsidP="00C42D86">
      <w:pPr>
        <w:numPr>
          <w:ilvl w:val="0"/>
          <w:numId w:val="1"/>
        </w:numPr>
        <w:ind w:left="284" w:hanging="284"/>
        <w:jc w:val="both"/>
      </w:pPr>
      <w:r w:rsidRPr="000564DE">
        <w:t>την υλοποίηση της δέσμης βραχυπρόθεσμων μέτρων ελάφρυνσης του δημόσιου χρέους, τον Ιανουάριο του 2017 και την εξειδίκευση της μεσοπρόθεσμης δέσμης μέτρων</w:t>
      </w:r>
      <w:r w:rsidRPr="000564DE">
        <w:rPr>
          <w:vertAlign w:val="superscript"/>
        </w:rPr>
        <w:footnoteReference w:id="5"/>
      </w:r>
      <w:r w:rsidRPr="000564DE">
        <w:t xml:space="preserve"> τον Ιο</w:t>
      </w:r>
      <w:r w:rsidRPr="000564DE">
        <w:t>ύ</w:t>
      </w:r>
      <w:r w:rsidRPr="000564DE">
        <w:t xml:space="preserve">νιο του 2017, με ορίζοντα εφαρμογής στο τέλος του προγράμματος, </w:t>
      </w:r>
    </w:p>
    <w:p w:rsidR="000564DE" w:rsidRPr="000564DE" w:rsidRDefault="000564DE" w:rsidP="00C42D86">
      <w:pPr>
        <w:numPr>
          <w:ilvl w:val="0"/>
          <w:numId w:val="1"/>
        </w:numPr>
        <w:ind w:left="284" w:hanging="284"/>
        <w:jc w:val="both"/>
      </w:pPr>
      <w:r w:rsidRPr="000564DE">
        <w:t xml:space="preserve">τη σταδιακή βελτίωση του οικονομικού κλίματος και της εμπιστοσύνης στο τραπεζικό σύστημα, στη βάση όλων των παραπάνω. Η βελτίωση αυτή έγινε εμφανής τον Ιούλιο του 2017 </w:t>
      </w:r>
      <w:r w:rsidR="002B5ACC">
        <w:t>με</w:t>
      </w:r>
      <w:r w:rsidRPr="000564DE">
        <w:t xml:space="preserve"> το επιτυχημένο εγχείρημα δανεισμού της χώρας από τις διεθνείς αγορές για πρώτη φορά από τον Απρίλιο του 2014, με την απόδοση του πενταετούς ομολόγου στο 4,625% έναντι 4,95% το 2014. Εξάλλου, σε αναβάθμιση των προοπτικών της οικονομίας</w:t>
      </w:r>
      <w:r w:rsidR="00657834">
        <w:t xml:space="preserve"> από στ</w:t>
      </w:r>
      <w:r w:rsidR="00657834">
        <w:t>α</w:t>
      </w:r>
      <w:r w:rsidR="00657834">
        <w:t>θερές σε θετικές προέβησ</w:t>
      </w:r>
      <w:r w:rsidRPr="000564DE">
        <w:t xml:space="preserve">αν οι οίκοι αξιολόγησης </w:t>
      </w:r>
      <w:proofErr w:type="spellStart"/>
      <w:r w:rsidRPr="000564DE">
        <w:t>Moody’s</w:t>
      </w:r>
      <w:proofErr w:type="spellEnd"/>
      <w:r w:rsidRPr="000564DE">
        <w:t xml:space="preserve">, Standard &amp; </w:t>
      </w:r>
      <w:proofErr w:type="spellStart"/>
      <w:r w:rsidRPr="000564DE">
        <w:t>Poor’s</w:t>
      </w:r>
      <w:proofErr w:type="spellEnd"/>
      <w:r w:rsidRPr="000564DE">
        <w:t xml:space="preserve"> και </w:t>
      </w:r>
      <w:proofErr w:type="spellStart"/>
      <w:r w:rsidRPr="000564DE">
        <w:t>Fitch</w:t>
      </w:r>
      <w:proofErr w:type="spellEnd"/>
      <w:r w:rsidRPr="000564DE">
        <w:t xml:space="preserve">, με την </w:t>
      </w:r>
      <w:proofErr w:type="spellStart"/>
      <w:r w:rsidRPr="000564DE">
        <w:t>Moody’s</w:t>
      </w:r>
      <w:proofErr w:type="spellEnd"/>
      <w:r w:rsidRPr="000564DE">
        <w:t xml:space="preserve"> να αναβαθμίζει επίσης το αξιόχρεο των μακροπρόθεσμων μη καλυμμένων ομολόγων υψηλής διαβάθμισης των τεσσάρων μεγαλύτερων ελληνικών τραπεζών.</w:t>
      </w:r>
    </w:p>
    <w:p w:rsidR="000564DE" w:rsidRDefault="000564DE" w:rsidP="000564DE">
      <w:pPr>
        <w:jc w:val="both"/>
      </w:pPr>
    </w:p>
    <w:p w:rsidR="000564DE" w:rsidRPr="000564DE" w:rsidRDefault="000564DE" w:rsidP="000564DE">
      <w:pPr>
        <w:jc w:val="both"/>
      </w:pPr>
      <w:r w:rsidRPr="000564DE">
        <w:t>Γενικά, η ωφέλεια από το πρόγραμμα στήριξης συναρτάται με τον βαθμό αξιοπιστίας του, ο οποίος σήμερα έχει ενισχυθεί από την επίτευξη</w:t>
      </w:r>
      <w:r w:rsidR="00751596">
        <w:t xml:space="preserve"> πρωτογενών πλεονασμάτων της γενικής κ</w:t>
      </w:r>
      <w:r w:rsidRPr="000564DE">
        <w:t>υ</w:t>
      </w:r>
      <w:r w:rsidRPr="000564DE">
        <w:t xml:space="preserve">βέρνησης σημαντικά </w:t>
      </w:r>
      <w:r w:rsidR="00657834">
        <w:t>υψηλότερων</w:t>
      </w:r>
      <w:r w:rsidR="00751596">
        <w:t xml:space="preserve"> από τους στόχους του π</w:t>
      </w:r>
      <w:r w:rsidRPr="000564DE">
        <w:t>ρογράμματος, τόσο για το 2015 όσο και για το 2016. Συγκεκριμέν</w:t>
      </w:r>
      <w:r w:rsidR="00751596">
        <w:t>α, το πρωτογενές πλεόνασμα της γενικής κ</w:t>
      </w:r>
      <w:r w:rsidRPr="000564DE">
        <w:t xml:space="preserve">υβέρνησης </w:t>
      </w:r>
      <w:r w:rsidR="00657834">
        <w:t>δι</w:t>
      </w:r>
      <w:r w:rsidR="00657834">
        <w:t>α</w:t>
      </w:r>
      <w:r w:rsidR="00657834">
        <w:lastRenderedPageBreak/>
        <w:t>μορφώθηκε</w:t>
      </w:r>
      <w:r w:rsidRPr="000564DE">
        <w:t xml:space="preserve"> στο 0,5% το 2015 και στο 4,2%</w:t>
      </w:r>
      <w:r w:rsidRPr="000564DE">
        <w:rPr>
          <w:vertAlign w:val="superscript"/>
        </w:rPr>
        <w:footnoteReference w:id="6"/>
      </w:r>
      <w:r w:rsidRPr="000564DE">
        <w:t xml:space="preserve"> του ΑΕΠ το 2016, ποσοστό πάνω από οκτώ φ</w:t>
      </w:r>
      <w:r w:rsidRPr="000564DE">
        <w:t>ο</w:t>
      </w:r>
      <w:r w:rsidRPr="000564DE">
        <w:t xml:space="preserve">ρές μεγαλύτερο του στόχου </w:t>
      </w:r>
      <w:r w:rsidR="008578AA">
        <w:t xml:space="preserve">που είχε τεθεί </w:t>
      </w:r>
      <w:r w:rsidR="00657834">
        <w:t>το</w:t>
      </w:r>
      <w:r w:rsidRPr="000564DE">
        <w:t xml:space="preserve"> 2016 για πρωτογενές πλεόνασμα 0,5% του ΑΕΠ. Την ίδια χρο</w:t>
      </w:r>
      <w:r w:rsidR="00751596">
        <w:t xml:space="preserve">νιά, το </w:t>
      </w:r>
      <w:r w:rsidR="00DE7BD7">
        <w:t xml:space="preserve">συνολικό δημοσιονομικό αποτέλεσμα </w:t>
      </w:r>
      <w:r w:rsidR="00751596">
        <w:t>της γενικής κ</w:t>
      </w:r>
      <w:r w:rsidRPr="000564DE">
        <w:t xml:space="preserve">υβέρνησης </w:t>
      </w:r>
      <w:r w:rsidR="008578AA">
        <w:t>δι</w:t>
      </w:r>
      <w:r w:rsidR="008578AA">
        <w:t>α</w:t>
      </w:r>
      <w:r w:rsidR="008578AA">
        <w:t>μορφώθηκε σε</w:t>
      </w:r>
      <w:r w:rsidRPr="000564DE">
        <w:t xml:space="preserve"> πλεονασματικό </w:t>
      </w:r>
      <w:r w:rsidR="008578AA">
        <w:t>στο</w:t>
      </w:r>
      <w:r w:rsidRPr="000564DE">
        <w:t xml:space="preserve"> 0,7% του ΑΕΠ, για πρώτη φορά </w:t>
      </w:r>
      <w:r w:rsidR="00F12840">
        <w:t>από τότε που υπάρχουν συγκρίσιμα στοιχεία (1995).</w:t>
      </w:r>
    </w:p>
    <w:p w:rsidR="000564DE" w:rsidRDefault="000564DE" w:rsidP="000564DE">
      <w:pPr>
        <w:jc w:val="both"/>
      </w:pPr>
    </w:p>
    <w:p w:rsidR="000564DE" w:rsidRPr="000564DE" w:rsidRDefault="000564DE" w:rsidP="000564DE">
      <w:pPr>
        <w:jc w:val="both"/>
      </w:pPr>
      <w:r w:rsidRPr="000564DE">
        <w:t xml:space="preserve">Ως αποτέλεσμα </w:t>
      </w:r>
      <w:r w:rsidR="00807370">
        <w:t>της παραπάνω</w:t>
      </w:r>
      <w:r w:rsidRPr="000564DE">
        <w:t xml:space="preserve"> δημοσιονομικής προόδου, τον </w:t>
      </w:r>
      <w:r w:rsidR="00807370">
        <w:t>Σεπτέμβριο</w:t>
      </w:r>
      <w:r w:rsidRPr="000564DE">
        <w:t xml:space="preserve"> του 2017 το Συ</w:t>
      </w:r>
      <w:r w:rsidRPr="000564DE">
        <w:t>μ</w:t>
      </w:r>
      <w:r w:rsidRPr="000564DE">
        <w:t xml:space="preserve">βούλιο </w:t>
      </w:r>
      <w:r w:rsidR="00807370">
        <w:t xml:space="preserve">της Ευρώπης αποφάσισε την </w:t>
      </w:r>
      <w:r w:rsidRPr="000564DE">
        <w:t>έξοδο της Ελλάδας από τη Διαδικασία Υπερβ</w:t>
      </w:r>
      <w:r w:rsidR="00657834">
        <w:t>ολικού</w:t>
      </w:r>
      <w:r w:rsidRPr="000564DE">
        <w:t xml:space="preserve"> Ε</w:t>
      </w:r>
      <w:r w:rsidRPr="000564DE">
        <w:t>λ</w:t>
      </w:r>
      <w:r w:rsidRPr="000564DE">
        <w:t>λείμματος (ΔΥΕ), στ</w:t>
      </w:r>
      <w:r w:rsidR="00F12840">
        <w:t xml:space="preserve">ην </w:t>
      </w:r>
      <w:r w:rsidRPr="000564DE">
        <w:t>οποία υπαγόταν από τον εκτροχιασμό του δημοσιονομικού ελλείμμ</w:t>
      </w:r>
      <w:r w:rsidRPr="000564DE">
        <w:t>α</w:t>
      </w:r>
      <w:r w:rsidRPr="000564DE">
        <w:t>τος στο 15,1% του ΑΕΠ το 2009. Η έξοδος από τη ΔΥΕ αποτελεί θετικό σήμα που συμβά</w:t>
      </w:r>
      <w:r w:rsidRPr="000564DE">
        <w:t>λ</w:t>
      </w:r>
      <w:r w:rsidRPr="000564DE">
        <w:t xml:space="preserve">λει στην ενεργοποίηση ενός κύκλου ανάκαμψης και </w:t>
      </w:r>
      <w:r w:rsidR="00657834">
        <w:t xml:space="preserve">στην </w:t>
      </w:r>
      <w:r w:rsidRPr="000564DE">
        <w:t>ενίσχυση της εμπιστοσύνης στην οικονομία.</w:t>
      </w:r>
    </w:p>
    <w:p w:rsidR="000564DE" w:rsidRDefault="000564DE" w:rsidP="000564DE">
      <w:pPr>
        <w:jc w:val="both"/>
      </w:pPr>
    </w:p>
    <w:p w:rsidR="000564DE" w:rsidRPr="000564DE" w:rsidRDefault="000564DE" w:rsidP="000564DE">
      <w:pPr>
        <w:jc w:val="both"/>
      </w:pPr>
      <w:r w:rsidRPr="000564DE">
        <w:t xml:space="preserve">Η δημοσιονομική </w:t>
      </w:r>
      <w:proofErr w:type="spellStart"/>
      <w:r w:rsidRPr="000564DE">
        <w:t>υπερ</w:t>
      </w:r>
      <w:proofErr w:type="spellEnd"/>
      <w:r w:rsidR="00751596">
        <w:t>-</w:t>
      </w:r>
      <w:r w:rsidRPr="000564DE">
        <w:t xml:space="preserve">απόδοση των ετών 2015-2016 αντανακλά την αποτελεσματικότητα των παραμετρικών </w:t>
      </w:r>
      <w:r w:rsidR="003A6C04">
        <w:t>παρεμβάσεων</w:t>
      </w:r>
      <w:r w:rsidRPr="000564DE">
        <w:t xml:space="preserve"> που υιοθετήθηκαν με την έναρξη του Προγράμματος και με την ολοκλήρωση της πρώτης αξιολόγησής του. </w:t>
      </w:r>
      <w:r w:rsidR="005B5E94">
        <w:rPr>
          <w:lang w:val="en-US"/>
        </w:rPr>
        <w:t>T</w:t>
      </w:r>
      <w:r w:rsidRPr="000564DE">
        <w:t>ον Ιούνιο του 2017 και στο πλαίσιο της δε</w:t>
      </w:r>
      <w:r w:rsidRPr="000564DE">
        <w:t>ύ</w:t>
      </w:r>
      <w:r w:rsidRPr="000564DE">
        <w:t>τερης αξιολόγησης, υπήρξε επέκταση του μεταρρυθμιστικού σχεδιασμού, ως αποτέλεσμα δ</w:t>
      </w:r>
      <w:r w:rsidRPr="000564DE">
        <w:t>ι</w:t>
      </w:r>
      <w:r w:rsidRPr="000564DE">
        <w:t xml:space="preserve">απραγματεύσεων επί μίας συνολικής, μεσοπρόθεσμης λύσης για την οικονομία σε επίπεδο εξυπηρέτησης των χρηματοδοτικών αναγκών του κράτους, βελτίωσης της διάρθρωσης της οικονομίας και ενίσχυσης της κοινωνικής συνοχής. </w:t>
      </w:r>
    </w:p>
    <w:p w:rsidR="000564DE" w:rsidRDefault="000564DE" w:rsidP="000564DE">
      <w:pPr>
        <w:jc w:val="both"/>
      </w:pPr>
    </w:p>
    <w:p w:rsidR="000564DE" w:rsidRPr="000564DE" w:rsidRDefault="000564DE" w:rsidP="000564DE">
      <w:pPr>
        <w:jc w:val="both"/>
      </w:pPr>
      <w:r w:rsidRPr="000564DE">
        <w:t>Αναλυτικότερα, για το 2018 εξειδικεύτηκαν συμπληρωματικές δράσεις 0,3% του ΑΕΠ, ενώ περαιτέρω εγγυήσεις για τη διατήρηση των υψηλών πρωτογενών πλεονασμάτων στο μεσο</w:t>
      </w:r>
      <w:r w:rsidRPr="000564DE">
        <w:t>π</w:t>
      </w:r>
      <w:r w:rsidRPr="000564DE">
        <w:t>ρόθεσμο διάστημα δόθηκαν μέσω ενός πακέτου που θα εφαρμοστεί μετά το τέλος του προ</w:t>
      </w:r>
      <w:r w:rsidRPr="000564DE">
        <w:t>γ</w:t>
      </w:r>
      <w:r w:rsidRPr="000564DE">
        <w:t>ράμματος, αναδιαρθρώνοντας την ανα</w:t>
      </w:r>
      <w:r w:rsidR="00751596">
        <w:t>λογία πηγών χρηματοδότησης της γενικής κ</w:t>
      </w:r>
      <w:r w:rsidRPr="000564DE">
        <w:t>υβέρνησης κατά τρόπο πιο φιλικό προς την ανάπτυξη. Το πακέτο προωθεί εξοικονόμηση ύψους 2% του ΑΕΠ, που θα προέρχεται ισομερώς από τη διεύρυνση της φορολογικής βάσης εισοδήματος για τα φυσικά πρόσωπα, με έναρξη εφαρμογής το 2020, και από τη μεταρρύθμιση του συντ</w:t>
      </w:r>
      <w:r w:rsidRPr="000564DE">
        <w:t>α</w:t>
      </w:r>
      <w:r w:rsidRPr="000564DE">
        <w:t xml:space="preserve">ξιοδοτικού συστήματος, με μείωση της συνταξιοδοτικής δαπάνης, που θα εφαρμοστεί από το 2019. </w:t>
      </w:r>
    </w:p>
    <w:p w:rsidR="000564DE" w:rsidRDefault="000564DE" w:rsidP="000564DE">
      <w:pPr>
        <w:jc w:val="both"/>
      </w:pPr>
    </w:p>
    <w:p w:rsidR="007D5F14" w:rsidRPr="007D5F14" w:rsidRDefault="000564DE" w:rsidP="007D5F14">
      <w:pPr>
        <w:jc w:val="both"/>
      </w:pPr>
      <w:r w:rsidRPr="000564DE">
        <w:t>Ταυτόχρονα, όμως, το πακέτο προωθεί μία δέσμη εξισορροπητικών παρεμβάσεων ίσης απ</w:t>
      </w:r>
      <w:r w:rsidRPr="000564DE">
        <w:t>ο</w:t>
      </w:r>
      <w:r w:rsidRPr="000564DE">
        <w:t>τίμησης, με έναρξη εφαρμογής το 2019 και σκοπό τη μεταβολή του δημοσιονομικού μίγμ</w:t>
      </w:r>
      <w:r w:rsidRPr="000564DE">
        <w:t>α</w:t>
      </w:r>
      <w:r w:rsidRPr="000564DE">
        <w:t xml:space="preserve">τος προς: (α) </w:t>
      </w:r>
      <w:proofErr w:type="spellStart"/>
      <w:r w:rsidRPr="000564DE">
        <w:t>στοχευμένες</w:t>
      </w:r>
      <w:proofErr w:type="spellEnd"/>
      <w:r w:rsidRPr="000564DE">
        <w:t xml:space="preserve"> φορολογικές ελαφρύνσεις (μείωση ΕΝΦΙΑ, εισφοράς αλληλεγγ</w:t>
      </w:r>
      <w:r w:rsidRPr="000564DE">
        <w:t>ύ</w:t>
      </w:r>
      <w:r w:rsidRPr="000564DE">
        <w:t>ης, φορολογικών συντελεστών εισοδήματος φυσικών και νομικών προσώπων), (β) δημόσιες επενδύσεις (υποδομές), (γ) ενεργητικές πολιτικές απασχόλησης και (δ) κοινωνικές δαπάνες (</w:t>
      </w:r>
      <w:proofErr w:type="spellStart"/>
      <w:r w:rsidRPr="000564DE">
        <w:t>στοχευμέν</w:t>
      </w:r>
      <w:r w:rsidR="00D9187B">
        <w:t>ες</w:t>
      </w:r>
      <w:proofErr w:type="spellEnd"/>
      <w:r w:rsidRPr="000564DE">
        <w:t xml:space="preserve"> παροχ</w:t>
      </w:r>
      <w:r w:rsidR="00D9187B">
        <w:t>ές</w:t>
      </w:r>
      <w:r w:rsidRPr="000564DE">
        <w:t xml:space="preserve"> κοινωνικής πρ</w:t>
      </w:r>
      <w:r w:rsidR="00CC0C2C">
        <w:t>όνοια</w:t>
      </w:r>
      <w:r w:rsidR="00D9187B">
        <w:t>ς,</w:t>
      </w:r>
      <w:r w:rsidRPr="000564DE">
        <w:t xml:space="preserve"> όπως </w:t>
      </w:r>
      <w:r w:rsidR="00D9187B">
        <w:t xml:space="preserve">η θέσπιση </w:t>
      </w:r>
      <w:r w:rsidRPr="000564DE">
        <w:t>επ</w:t>
      </w:r>
      <w:r w:rsidR="00D9187B">
        <w:t>ιδόματος</w:t>
      </w:r>
      <w:r w:rsidRPr="000564DE">
        <w:t xml:space="preserve"> κατοικίας, </w:t>
      </w:r>
      <w:r w:rsidR="00D9187B">
        <w:t xml:space="preserve">η αύξηση του επιδόματος </w:t>
      </w:r>
      <w:r w:rsidRPr="000564DE">
        <w:t>τέκνων</w:t>
      </w:r>
      <w:r w:rsidR="00D9187B">
        <w:t xml:space="preserve"> και η επέκταση προγραμμάτων παροχής σχολικών γευμάτων και </w:t>
      </w:r>
      <w:r w:rsidRPr="000564DE">
        <w:t>προσχολική</w:t>
      </w:r>
      <w:r w:rsidR="00D9187B">
        <w:t>ς</w:t>
      </w:r>
      <w:r w:rsidRPr="000564DE">
        <w:t xml:space="preserve"> εκπαίδευση</w:t>
      </w:r>
      <w:r w:rsidR="00D9187B">
        <w:t>ς</w:t>
      </w:r>
      <w:r w:rsidRPr="000564DE">
        <w:t>).</w:t>
      </w:r>
      <w:r w:rsidR="005C2D49">
        <w:t xml:space="preserve"> </w:t>
      </w:r>
      <w:r w:rsidR="007D5F14" w:rsidRPr="007D5F14">
        <w:t>Πλέον αυτών, προβλέπονται επιπρόσθετες παρεμβάσεις κοινων</w:t>
      </w:r>
      <w:r w:rsidR="007D5F14" w:rsidRPr="007D5F14">
        <w:t>ι</w:t>
      </w:r>
      <w:r w:rsidR="007D5F14" w:rsidRPr="007D5F14">
        <w:t>κής προστασίας και φορολογικών ελαφρύνσεων που εκμεταλλεύονται το δημοσιονομικό χ</w:t>
      </w:r>
      <w:r w:rsidR="007D5F14" w:rsidRPr="007D5F14">
        <w:t>ώ</w:t>
      </w:r>
      <w:r w:rsidR="007D5F14" w:rsidRPr="007D5F14">
        <w:t xml:space="preserve">ρο που δημιουργούν η αυξημένη </w:t>
      </w:r>
      <w:proofErr w:type="spellStart"/>
      <w:r w:rsidR="007D5F14" w:rsidRPr="007D5F14">
        <w:t>εισπραξιμότητα</w:t>
      </w:r>
      <w:proofErr w:type="spellEnd"/>
      <w:r w:rsidR="007D5F14" w:rsidRPr="007D5F14">
        <w:t xml:space="preserve"> και η οικονομική μεγέθυνση.</w:t>
      </w:r>
    </w:p>
    <w:p w:rsidR="000564DE" w:rsidRDefault="000564DE" w:rsidP="000564DE">
      <w:pPr>
        <w:jc w:val="both"/>
      </w:pPr>
    </w:p>
    <w:p w:rsidR="000564DE" w:rsidRPr="000564DE" w:rsidRDefault="000564DE" w:rsidP="000564DE">
      <w:pPr>
        <w:jc w:val="both"/>
      </w:pPr>
      <w:r w:rsidRPr="000564DE">
        <w:t xml:space="preserve">Η ενίσχυση του δικτύου κοινωνικής προστασίας, που ήταν ένα από τα βασικά ζητούμενα του νέου </w:t>
      </w:r>
      <w:r w:rsidR="00304BB3" w:rsidRPr="000564DE">
        <w:t>Προγράμματος Στήριξης</w:t>
      </w:r>
      <w:r w:rsidRPr="000564DE">
        <w:t xml:space="preserve">, χτίζεται σήμερα γύρω από το νέο πρόγραμμα </w:t>
      </w:r>
      <w:r w:rsidR="00304BB3">
        <w:t xml:space="preserve">Κοινωνικού </w:t>
      </w:r>
      <w:r w:rsidRPr="000564DE">
        <w:t>Ε</w:t>
      </w:r>
      <w:r w:rsidRPr="000564DE">
        <w:t>ι</w:t>
      </w:r>
      <w:r w:rsidRPr="000564DE">
        <w:t xml:space="preserve">σοδήματος Αλληλεγγύης ή Ελάχιστου Εγγυημένου Εισοδήματος. Το πρόγραμμα ξεκίνησε το 2016 σε 30 δήμους της χώρας, επεκτάθηκε σε όλη τη χώρα από τον Φεβρουάριο του 2017, </w:t>
      </w:r>
      <w:r w:rsidRPr="000564DE">
        <w:lastRenderedPageBreak/>
        <w:t xml:space="preserve">και αναμένεται να ωφελήσει 750.000 άτομα </w:t>
      </w:r>
      <w:r w:rsidR="00304BB3">
        <w:t xml:space="preserve">που βρίσκονται </w:t>
      </w:r>
      <w:r w:rsidRPr="000564DE">
        <w:t>σε κίνδυνο φτώχειας και αποκλ</w:t>
      </w:r>
      <w:r w:rsidRPr="000564DE">
        <w:t>ε</w:t>
      </w:r>
      <w:r w:rsidRPr="000564DE">
        <w:t xml:space="preserve">ισμού. </w:t>
      </w:r>
    </w:p>
    <w:p w:rsidR="000564DE" w:rsidRDefault="000564DE" w:rsidP="000564DE">
      <w:pPr>
        <w:jc w:val="both"/>
      </w:pPr>
    </w:p>
    <w:p w:rsidR="000564DE" w:rsidRPr="000564DE" w:rsidRDefault="000564DE" w:rsidP="000564DE">
      <w:pPr>
        <w:jc w:val="both"/>
      </w:pPr>
      <w:r w:rsidRPr="000564DE">
        <w:t>Ο μεγάλος αυτός αριθμός των ωφελούμενων από το πρόγραμμα υποδηλώνει το υψηλό π</w:t>
      </w:r>
      <w:r w:rsidRPr="000564DE">
        <w:t>ο</w:t>
      </w:r>
      <w:r w:rsidRPr="000564DE">
        <w:t>σοστό του συνολικού πληθυσμού που βρίσκεται σε κίνδυνο φτώχειας. Σύμφωνα με την Ε</w:t>
      </w:r>
      <w:r w:rsidRPr="000564DE">
        <w:t>λ</w:t>
      </w:r>
      <w:r w:rsidRPr="000564DE">
        <w:t>ληνική Στατιστική Αρχή</w:t>
      </w:r>
      <w:r w:rsidRPr="000564DE">
        <w:rPr>
          <w:vertAlign w:val="superscript"/>
        </w:rPr>
        <w:footnoteReference w:id="7"/>
      </w:r>
      <w:r w:rsidRPr="000564DE">
        <w:t>, το ποσοστό του πληθυσμού σε κίνδυνο φτώχειας ήταν 21,2% το 2016 μετά τις κοινωνικές μεταβιβάσεις, έναντι 52,9% πριν από όλες τις κοινωνικές μεταβ</w:t>
      </w:r>
      <w:r w:rsidRPr="000564DE">
        <w:t>ι</w:t>
      </w:r>
      <w:r w:rsidRPr="000564DE">
        <w:t>βάσεις (κυρίως συντάξεις και κοινωνικά επιδόματα, συμπεριλαμβανομένου του ΕΚΑΣ που θα αντικατασταθεί σταδιακά από το Ελάχιστο Εγγυημένο Εισόδημα). Αυτό σημαίνει ότι οι κοινωνικές μεταβιβάσεις συμβάλλουν στη μείωση του κινδύνου φτώχειας κατά 31,7 ποσο</w:t>
      </w:r>
      <w:r w:rsidRPr="000564DE">
        <w:t>σ</w:t>
      </w:r>
      <w:r w:rsidRPr="000564DE">
        <w:t>τιαίες μονάδες, από τις οποίες οι 27,7 μονάδες οφείλονται σε συντάξεις και οι 4,0 μονάδες σε κοινωνικά επιδόματα</w:t>
      </w:r>
      <w:r w:rsidRPr="000564DE">
        <w:rPr>
          <w:vertAlign w:val="superscript"/>
        </w:rPr>
        <w:footnoteReference w:id="8"/>
      </w:r>
      <w:r w:rsidRPr="000564DE">
        <w:t xml:space="preserve">. </w:t>
      </w:r>
    </w:p>
    <w:p w:rsidR="000564DE" w:rsidRDefault="000564DE" w:rsidP="000564DE">
      <w:pPr>
        <w:jc w:val="both"/>
      </w:pPr>
    </w:p>
    <w:p w:rsidR="000564DE" w:rsidRPr="000564DE" w:rsidRDefault="000564DE" w:rsidP="000564DE">
      <w:pPr>
        <w:jc w:val="both"/>
      </w:pPr>
      <w:r w:rsidRPr="000564DE">
        <w:t>Θα πρέπει να σημειωθεί ότι, τη διετία 2015-2016, το ποσοστό του πληθυσμού σε κίνδυνο φτώχειας μετά τις κοινωνικές μεταβιβάσεις δεν αποκλίνει σημαντικά από το αντίστοιχο δια</w:t>
      </w:r>
      <w:r w:rsidRPr="000564DE">
        <w:t>χ</w:t>
      </w:r>
      <w:r w:rsidRPr="000564DE">
        <w:t>ρονικό ποσοστό για την Ελλάδα. Από το 1996 έως το 2009, ο μέσος όρος των ατόμων σε κί</w:t>
      </w:r>
      <w:r w:rsidRPr="000564DE">
        <w:t>ν</w:t>
      </w:r>
      <w:r w:rsidRPr="000564DE">
        <w:t>δυνο φτώχειας μετά τις κοινωνικές μεταβιβάσεις ήταν 20,5% του συνολικού πληθυσμού, ενώ για ελάχιστα έτη το ποσοστό έπεφτε κάτω από το 20%. Αντίθετα, την περίοδο 2012-2013 το αντίστοιχο ποσοστό ήταν 23,1%, και στο σύνολο της περιόδου 2010-2014 ήταν 22,0%.</w:t>
      </w:r>
    </w:p>
    <w:p w:rsidR="000564DE" w:rsidRDefault="000564DE" w:rsidP="000564DE">
      <w:pPr>
        <w:jc w:val="both"/>
      </w:pPr>
    </w:p>
    <w:p w:rsidR="000564DE" w:rsidRPr="000564DE" w:rsidRDefault="000564DE" w:rsidP="000564DE">
      <w:pPr>
        <w:jc w:val="both"/>
      </w:pPr>
      <w:r w:rsidRPr="000564DE">
        <w:t>Ένα μέρος της ανθεκτικότητας της ελληνικής οικονομίας την τελευταία διετία θα πρέπει να αναζητηθεί στην εξάντληση του κυκλικού παράγοντα που επέδρασε τα προηγούμενα χρόνια: την περίοδο 2008-2015 ο ακαθάριστος σχηματισμός παγίου κεφαλαίου συνεχώς μειωνόταν σε ετήσια βάση, χάνοντας σε αυτό το διάστημα το 65,8% του αντίστοιχου όγκου του 2007. Έναντι αυτής της σωρευτικής μείωσης το 2016 υπήρξε σταθεροποίηση, με ενδείξεις ανάκα</w:t>
      </w:r>
      <w:r w:rsidRPr="000564DE">
        <w:t>μ</w:t>
      </w:r>
      <w:r w:rsidRPr="000564DE">
        <w:t xml:space="preserve">ψης σε επιμέρους κατηγορίες επενδύσεων. Για την ιδιωτική κατανάλωση, οι απώλειες όγκου μεταξύ 2008 και </w:t>
      </w:r>
      <w:r w:rsidR="00304BB3">
        <w:t>2015 ήταν 25,5%, έναντι ανάκαμψή</w:t>
      </w:r>
      <w:r w:rsidRPr="000564DE">
        <w:t>ς της κατά 1,4% το 2016 σε ετήσια β</w:t>
      </w:r>
      <w:r w:rsidRPr="000564DE">
        <w:t>ά</w:t>
      </w:r>
      <w:r w:rsidRPr="000564DE">
        <w:t>ση. Τέλος, η θετική συμβολή του εξωτερικού τομέα στο πραγματικό ΑΕΠ την περίοδο 2008-2015 αποδίδεται σε μεγάλο βαθμό στη</w:t>
      </w:r>
      <w:r w:rsidR="00751596">
        <w:t>ν</w:t>
      </w:r>
      <w:r w:rsidRPr="000564DE">
        <w:t xml:space="preserve"> υποχώρηση των εισαγωγών, στη βάση της μειωμένης εγχώριας ζήτησης.</w:t>
      </w:r>
    </w:p>
    <w:p w:rsidR="000564DE" w:rsidRDefault="000564DE" w:rsidP="000564DE">
      <w:pPr>
        <w:jc w:val="both"/>
      </w:pPr>
    </w:p>
    <w:p w:rsidR="000564DE" w:rsidRPr="000564DE" w:rsidRDefault="000564DE" w:rsidP="000564DE">
      <w:pPr>
        <w:jc w:val="both"/>
      </w:pPr>
      <w:r w:rsidRPr="000564DE">
        <w:t>Η συρρίκνωση της εγχώριας ζήτησης κατά τη διάρκεια της οικονομικής προσαρμογής συνδ</w:t>
      </w:r>
      <w:r w:rsidRPr="000564DE">
        <w:t>έ</w:t>
      </w:r>
      <w:r w:rsidRPr="000564DE">
        <w:t xml:space="preserve">εται στενά με τις εξελίξεις στην αγορά εργασίας, που μόλις το 2015 άρχισε να δίνει εμφανή σημάδια ανάκαμψης του αριθμού των απασχολούμενων (+0,5% σε ετήσια βάση), μετά από τη σωρευτική απώλεια 17,7% των απασχολούμενων ή 859 χιλιάδων θέσεων εργασίας μεταξύ 2009 και 2013 (σε </w:t>
      </w:r>
      <w:proofErr w:type="spellStart"/>
      <w:r w:rsidRPr="000564DE">
        <w:t>εθνικολογιστική</w:t>
      </w:r>
      <w:proofErr w:type="spellEnd"/>
      <w:r w:rsidRPr="000564DE">
        <w:t xml:space="preserve"> βάση). Το ίδιο διάστημα, η ανεργία αυξήθηκε κατά 19,7 ποσοστιαίες μονάδες, υποχωρώντας έκτοτε κατά 1 ποσοστιαία μονάδα το 2014 και κατά 3 ποσοστιαίες μονάδες την περίοδο 2015-2016. </w:t>
      </w:r>
    </w:p>
    <w:p w:rsidR="000564DE" w:rsidRDefault="000564DE" w:rsidP="000564DE">
      <w:pPr>
        <w:jc w:val="both"/>
      </w:pPr>
    </w:p>
    <w:p w:rsidR="000564DE" w:rsidRDefault="000564DE" w:rsidP="000564DE">
      <w:pPr>
        <w:jc w:val="both"/>
      </w:pPr>
      <w:r w:rsidRPr="000564DE">
        <w:t>Για τη διαμόρφωση συνθηκών βιώσιμης ανάκαμψης στην αγορά εργασίας και στις επενδύσ</w:t>
      </w:r>
      <w:r w:rsidRPr="000564DE">
        <w:t>ε</w:t>
      </w:r>
      <w:r w:rsidRPr="000564DE">
        <w:t xml:space="preserve">ις, σημαντικός είναι ο ρόλος των διαρθρωτικών μεταρρυθμίσεων. Στο πλαίσιο του τρέχοντος </w:t>
      </w:r>
      <w:r w:rsidR="00304BB3" w:rsidRPr="000564DE">
        <w:t>Προγράμματος Στήριξης</w:t>
      </w:r>
      <w:r w:rsidRPr="000564DE">
        <w:t>, οι διαρθρωτικές μεταρρυθμίσεις διακρίνονται σε τρεις πυλώνες που συνοδεύουν τον στόχο της δημοσιονομικής βιωσιμότητας:</w:t>
      </w:r>
    </w:p>
    <w:p w:rsidR="000564DE" w:rsidRPr="000564DE" w:rsidRDefault="000564DE" w:rsidP="000564DE">
      <w:pPr>
        <w:jc w:val="both"/>
      </w:pPr>
    </w:p>
    <w:p w:rsidR="000564DE" w:rsidRDefault="000564DE" w:rsidP="00C42D86">
      <w:pPr>
        <w:numPr>
          <w:ilvl w:val="0"/>
          <w:numId w:val="1"/>
        </w:numPr>
        <w:ind w:left="284" w:hanging="284"/>
        <w:jc w:val="both"/>
      </w:pPr>
      <w:r w:rsidRPr="000564DE">
        <w:lastRenderedPageBreak/>
        <w:t xml:space="preserve">στον πυλώνα </w:t>
      </w:r>
      <w:r w:rsidRPr="000564DE">
        <w:rPr>
          <w:i/>
        </w:rPr>
        <w:t>διαφύλαξης της χρηματοοικονομικής σταθερότητας</w:t>
      </w:r>
      <w:r w:rsidRPr="000564DE">
        <w:t>, για την οποία έχουν υι</w:t>
      </w:r>
      <w:r w:rsidRPr="000564DE">
        <w:t>ο</w:t>
      </w:r>
      <w:r w:rsidRPr="000564DE">
        <w:t>θετηθεί μέτρα για τη αγορά δανείων, την ανάπτυξη μιας ενεργούς δευτερογενούς αγοράς μη εξυπηρετούμενων δανείων και την εποπτική παρακολούθηση των στόχων μείωσης μη εξυπηρετούμενων ανοιγμάτων,</w:t>
      </w:r>
    </w:p>
    <w:p w:rsidR="000564DE" w:rsidRPr="000564DE" w:rsidRDefault="000564DE" w:rsidP="000564DE">
      <w:pPr>
        <w:ind w:left="284"/>
        <w:jc w:val="both"/>
      </w:pPr>
    </w:p>
    <w:p w:rsidR="000564DE" w:rsidRDefault="000564DE" w:rsidP="00C42D86">
      <w:pPr>
        <w:numPr>
          <w:ilvl w:val="0"/>
          <w:numId w:val="1"/>
        </w:numPr>
        <w:ind w:left="284" w:hanging="284"/>
        <w:jc w:val="both"/>
      </w:pPr>
      <w:r w:rsidRPr="000564DE">
        <w:t xml:space="preserve">στον πυλώνα </w:t>
      </w:r>
      <w:r w:rsidRPr="000564DE">
        <w:rPr>
          <w:i/>
        </w:rPr>
        <w:t>ενίσχυσης της ανταγωνιστικότητας, των επενδύσεων και της ανάπτυξης</w:t>
      </w:r>
      <w:r w:rsidRPr="000564DE">
        <w:t>, στον οποίο περιλαμβάνονται οι μεταρρυθμίσεις στις αγορές προϊόντων και εργασίας (σε συ</w:t>
      </w:r>
      <w:r w:rsidRPr="000564DE">
        <w:t>μ</w:t>
      </w:r>
      <w:r w:rsidRPr="000564DE">
        <w:t>φωνία με τις βέλτιστες ευρωπαϊκές πρακτικές και τις συστάσεις από τις εργαλειοθήκες Ι, ΙΙ και ΙΙΙ του ΟΟΣΑ), η κατάρτιση μιας ολοκληρωμένης μεσοπρόθεσμης στρατηγικής ανά</w:t>
      </w:r>
      <w:r w:rsidRPr="000564DE">
        <w:t>π</w:t>
      </w:r>
      <w:r w:rsidRPr="000564DE">
        <w:t>τυξης (υποδομών, εκπαίδευσης, ανθρώπινου κεφαλαίου), η αξιοποίηση καινοτόμων χρ</w:t>
      </w:r>
      <w:r w:rsidRPr="000564DE">
        <w:t>η</w:t>
      </w:r>
      <w:r w:rsidRPr="000564DE">
        <w:t xml:space="preserve">ματοδοτικών εργαλείων (π.χ. επενδυτική πλατφόρμα συμμετοχικής χρηματοδότησης </w:t>
      </w:r>
      <w:proofErr w:type="spellStart"/>
      <w:r w:rsidRPr="000564DE">
        <w:rPr>
          <w:lang w:val="en-US"/>
        </w:rPr>
        <w:t>Equifund</w:t>
      </w:r>
      <w:proofErr w:type="spellEnd"/>
      <w:r w:rsidRPr="000564DE">
        <w:t xml:space="preserve"> για νεοφυείς επιχειρήσεις), το πρόγραμμα αποκρατικοποιήσεων (μεταξύ των </w:t>
      </w:r>
      <w:r w:rsidRPr="000564DE">
        <w:t>ο</w:t>
      </w:r>
      <w:r w:rsidRPr="000564DE">
        <w:t>ποίων το σημαντικό χαρτοφυλάκιο του Δημοσίου που μεταβιβάστηκε στη Εταιρία Δημ</w:t>
      </w:r>
      <w:r w:rsidRPr="000564DE">
        <w:t>ο</w:t>
      </w:r>
      <w:r w:rsidRPr="000564DE">
        <w:t xml:space="preserve">σίων Συμμετοχών της Ελληνικής Εταιρίας Συμμετοχών και Περιουσίας), το νέο πλαίσιο εξωδικαστικού συμβιβασμού και </w:t>
      </w:r>
      <w:proofErr w:type="spellStart"/>
      <w:r w:rsidRPr="000564DE">
        <w:t>αδειοδότησης</w:t>
      </w:r>
      <w:proofErr w:type="spellEnd"/>
      <w:r w:rsidRPr="000564DE">
        <w:t xml:space="preserve"> επιχειρήσεων, και μία σειρά παρεμβάσεων για την ενίσχυση της περιφερειακής βιομηχανίας,</w:t>
      </w:r>
    </w:p>
    <w:p w:rsidR="000564DE" w:rsidRDefault="000564DE" w:rsidP="000564DE">
      <w:pPr>
        <w:ind w:left="284"/>
        <w:jc w:val="both"/>
      </w:pPr>
    </w:p>
    <w:p w:rsidR="000564DE" w:rsidRPr="000564DE" w:rsidRDefault="000564DE" w:rsidP="00C42D86">
      <w:pPr>
        <w:numPr>
          <w:ilvl w:val="0"/>
          <w:numId w:val="1"/>
        </w:numPr>
        <w:ind w:left="284" w:hanging="284"/>
        <w:jc w:val="both"/>
      </w:pPr>
      <w:r w:rsidRPr="000564DE">
        <w:t xml:space="preserve">στον πυλώνα </w:t>
      </w:r>
      <w:r w:rsidRPr="000564DE">
        <w:rPr>
          <w:i/>
        </w:rPr>
        <w:t>εκσυγχρονισμού της δημόσιας διοίκησης</w:t>
      </w:r>
      <w:r w:rsidRPr="000564DE">
        <w:t>, για τον οποίον έχουν θεσμοθετηθεί δράσεις για την ενίσχυση της αποτελεσματικότητας του δικαστικού συστήματος, την κ</w:t>
      </w:r>
      <w:r w:rsidRPr="000564DE">
        <w:t>α</w:t>
      </w:r>
      <w:r w:rsidRPr="000564DE">
        <w:t>ταπολέμηση της διαφθοράς, και τη λειτουργική αυτονομία βασικών θεσμικών οργάνων (Ελληνική Στατιστική Αρχή, Ελληνική Επιτροπή Ανταγωνισμού).</w:t>
      </w:r>
    </w:p>
    <w:p w:rsidR="000564DE" w:rsidRDefault="000564DE" w:rsidP="000564DE">
      <w:pPr>
        <w:jc w:val="both"/>
      </w:pPr>
    </w:p>
    <w:p w:rsidR="000564DE" w:rsidRDefault="000564DE" w:rsidP="000564DE">
      <w:pPr>
        <w:jc w:val="both"/>
      </w:pPr>
      <w:r w:rsidRPr="000564DE">
        <w:t>Επιπλέον παράγοντες που, σε συνέχεια της ολοκλήρωσης της δεύτερης αξιολόγησης,</w:t>
      </w:r>
      <w:r w:rsidR="005C2D49">
        <w:t xml:space="preserve"> </w:t>
      </w:r>
      <w:r w:rsidRPr="000564DE">
        <w:t>αναμ</w:t>
      </w:r>
      <w:r w:rsidRPr="000564DE">
        <w:t>έ</w:t>
      </w:r>
      <w:r w:rsidRPr="000564DE">
        <w:t>νεται να βοηθήσουν στην οικονομική ανάπτυξη μέσω θετικών σημάτων στην αγορά, είναι:</w:t>
      </w:r>
    </w:p>
    <w:p w:rsidR="000564DE" w:rsidRPr="000564DE" w:rsidRDefault="000564DE" w:rsidP="000564DE">
      <w:pPr>
        <w:jc w:val="both"/>
      </w:pPr>
    </w:p>
    <w:p w:rsidR="000564DE" w:rsidRDefault="000564DE" w:rsidP="00C42D86">
      <w:pPr>
        <w:numPr>
          <w:ilvl w:val="0"/>
          <w:numId w:val="1"/>
        </w:numPr>
        <w:ind w:left="284" w:hanging="284"/>
        <w:jc w:val="both"/>
      </w:pPr>
      <w:r w:rsidRPr="000564DE">
        <w:t xml:space="preserve">η πρόοδος στην υλοποίηση του οδικού χάρτη για τη βιωσιμότητα του δημόσιου χρέους, μέσω της από 15 Ιουνίου 2017 περαιτέρω εξειδίκευσης των μεσοπρόθεσμων μέτρων </w:t>
      </w:r>
      <w:r w:rsidRPr="000564DE">
        <w:t>ε</w:t>
      </w:r>
      <w:r w:rsidRPr="000564DE">
        <w:t>λάφρυνσης που θα εφαρμοστούν κατά το χρόνο επιτυχούς ολοκλήρωσης του προγράμμ</w:t>
      </w:r>
      <w:r w:rsidRPr="000564DE">
        <w:t>α</w:t>
      </w:r>
      <w:r w:rsidRPr="000564DE">
        <w:t>τος,</w:t>
      </w:r>
    </w:p>
    <w:p w:rsidR="000564DE" w:rsidRPr="000564DE" w:rsidRDefault="000564DE" w:rsidP="000564DE">
      <w:pPr>
        <w:ind w:left="284"/>
        <w:jc w:val="both"/>
      </w:pPr>
    </w:p>
    <w:p w:rsidR="000564DE" w:rsidRDefault="000564DE" w:rsidP="00C42D86">
      <w:pPr>
        <w:numPr>
          <w:ilvl w:val="0"/>
          <w:numId w:val="1"/>
        </w:numPr>
        <w:ind w:left="284" w:hanging="284"/>
        <w:jc w:val="both"/>
      </w:pPr>
      <w:r w:rsidRPr="000564DE">
        <w:t>ο</w:t>
      </w:r>
      <w:r w:rsidR="005C2D49">
        <w:t xml:space="preserve"> </w:t>
      </w:r>
      <w:r w:rsidRPr="000564DE">
        <w:t>σχεδιασμός για δημιουργία της πρώτης εθνικής αναπτυξι</w:t>
      </w:r>
      <w:r w:rsidR="00D9187B">
        <w:t>ακής τράπεζας</w:t>
      </w:r>
      <w:r w:rsidRPr="000564DE">
        <w:t xml:space="preserve"> και</w:t>
      </w:r>
    </w:p>
    <w:p w:rsidR="000564DE" w:rsidRPr="000564DE" w:rsidRDefault="000564DE" w:rsidP="000564DE">
      <w:pPr>
        <w:ind w:left="284"/>
        <w:jc w:val="both"/>
      </w:pPr>
    </w:p>
    <w:p w:rsidR="000564DE" w:rsidRPr="000564DE" w:rsidRDefault="007861B6" w:rsidP="00C42D86">
      <w:pPr>
        <w:numPr>
          <w:ilvl w:val="0"/>
          <w:numId w:val="1"/>
        </w:numPr>
        <w:ind w:left="284" w:hanging="284"/>
        <w:jc w:val="both"/>
      </w:pPr>
      <w:r>
        <w:t>η πρόθεση των θ</w:t>
      </w:r>
      <w:r w:rsidR="000564DE" w:rsidRPr="000564DE">
        <w:t>εσμών να στηρίξουν τη χώρα στη δι</w:t>
      </w:r>
      <w:r w:rsidR="00D9187B">
        <w:t>αδικασία επιστροφής στις αγορές</w:t>
      </w:r>
      <w:r w:rsidR="005C2D49">
        <w:t xml:space="preserve"> </w:t>
      </w:r>
      <w:r w:rsidR="000564DE" w:rsidRPr="000564DE">
        <w:t>μ</w:t>
      </w:r>
      <w:r w:rsidR="000564DE" w:rsidRPr="000564DE">
        <w:t>έ</w:t>
      </w:r>
      <w:r w:rsidR="000564DE" w:rsidRPr="000564DE">
        <w:t>σω της δημιουργίας ταμειακών αποθεμάτων στο πλαίσιο επόμενων εκταμιεύσεων του τρ</w:t>
      </w:r>
      <w:r w:rsidR="000564DE" w:rsidRPr="000564DE">
        <w:t>έ</w:t>
      </w:r>
      <w:r w:rsidR="000564DE" w:rsidRPr="000564DE">
        <w:t>χοντος προγράμματος, με στόχο την ενδυνάμωση της επενδυτικής πίστης.</w:t>
      </w:r>
      <w:r w:rsidR="005C2D49">
        <w:t xml:space="preserve"> </w:t>
      </w:r>
      <w:r w:rsidR="000564DE" w:rsidRPr="000564DE">
        <w:t xml:space="preserve"> </w:t>
      </w:r>
    </w:p>
    <w:p w:rsidR="000564DE" w:rsidRDefault="000564DE" w:rsidP="000564DE">
      <w:pPr>
        <w:jc w:val="both"/>
      </w:pPr>
    </w:p>
    <w:p w:rsidR="000564DE" w:rsidRPr="000564DE" w:rsidRDefault="000564DE" w:rsidP="000564DE">
      <w:pPr>
        <w:jc w:val="both"/>
      </w:pPr>
      <w:r w:rsidRPr="000564DE">
        <w:t>Στη βάση των ανωτέρω, η ολοκλήρωση της δεύτερης αξιολόγησης, με το σύνολο παρεμβ</w:t>
      </w:r>
      <w:r w:rsidRPr="000564DE">
        <w:t>ά</w:t>
      </w:r>
      <w:r w:rsidRPr="000564DE">
        <w:t xml:space="preserve">σεων που εισήγαγε, θα ενισχύσει σημαντικά την αξιοπιστία της οικονομίας μεσοπρόθεσμα, συντείνοντας στη μεταστροφή προς θετικούς ρυθμούς ανάπτυξης από το τρέχον έτος. </w:t>
      </w:r>
    </w:p>
    <w:p w:rsidR="00D008F4" w:rsidRDefault="00D008F4" w:rsidP="00FD1707">
      <w:pPr>
        <w:jc w:val="both"/>
      </w:pPr>
    </w:p>
    <w:p w:rsidR="00150362" w:rsidRPr="001E7C48" w:rsidRDefault="00190132" w:rsidP="00404193">
      <w:pPr>
        <w:ind w:left="567" w:hanging="567"/>
        <w:jc w:val="both"/>
        <w:rPr>
          <w:rFonts w:ascii="Arial Narrow" w:hAnsi="Arial Narrow"/>
          <w:b/>
          <w:color w:val="000080"/>
          <w:szCs w:val="22"/>
        </w:rPr>
      </w:pPr>
      <w:r>
        <w:rPr>
          <w:rFonts w:ascii="Arial Narrow" w:hAnsi="Arial Narrow"/>
          <w:b/>
          <w:color w:val="000080"/>
          <w:szCs w:val="22"/>
        </w:rPr>
        <w:t>2.</w:t>
      </w:r>
      <w:r w:rsidR="00E91754">
        <w:rPr>
          <w:rFonts w:ascii="Arial Narrow" w:hAnsi="Arial Narrow"/>
          <w:b/>
          <w:color w:val="000080"/>
          <w:szCs w:val="22"/>
        </w:rPr>
        <w:t>2</w:t>
      </w:r>
      <w:r w:rsidR="00B81457">
        <w:rPr>
          <w:rFonts w:ascii="Arial Narrow" w:hAnsi="Arial Narrow"/>
          <w:b/>
          <w:color w:val="000080"/>
          <w:szCs w:val="22"/>
        </w:rPr>
        <w:tab/>
        <w:t>Οι εξελίξεις το 201</w:t>
      </w:r>
      <w:r w:rsidR="00A544A7" w:rsidRPr="001E7C48">
        <w:rPr>
          <w:rFonts w:ascii="Arial Narrow" w:hAnsi="Arial Narrow"/>
          <w:b/>
          <w:color w:val="000080"/>
          <w:szCs w:val="22"/>
        </w:rPr>
        <w:t>6</w:t>
      </w:r>
    </w:p>
    <w:p w:rsidR="00190132" w:rsidRPr="00C56FF3" w:rsidRDefault="00190132" w:rsidP="00A26D86">
      <w:pPr>
        <w:jc w:val="both"/>
      </w:pPr>
    </w:p>
    <w:p w:rsidR="00B37C2D" w:rsidRPr="00B37C2D" w:rsidRDefault="00B37C2D" w:rsidP="00B37C2D">
      <w:pPr>
        <w:jc w:val="both"/>
      </w:pPr>
      <w:r w:rsidRPr="00B37C2D">
        <w:t xml:space="preserve">Στη σταθεροποίηση του ΑΕΠ το 2016 συνέβαλε καθοριστικά η ανάκαμψη της πραγματικής ιδιωτικής κατανάλωσης (+1,4% σε ετήσια βάση), έναντι της οριακής της διακύμανσης γύρω από το μηδέν τα δύο προηγούμενα έτη, </w:t>
      </w:r>
      <w:r w:rsidR="00DD0F41">
        <w:t>και της μέσης ετήσιας συρρίκνωσή</w:t>
      </w:r>
      <w:r w:rsidRPr="00B37C2D">
        <w:t>ς της κατά 5,7% την περίοδο 2009-2013. Η ανάκαμψη αυτή αποτυπώθηκε και στην κατά 0,4% αύξηση του όγκου λιανικών πωλήσεων εκτός καυσίμων για πρώτη φορά από το 2008, η οποία ενισχύθηκε περαιτέρω στο πρώτο τετράμηνο του 2017 (στο 2,5% σε ετήσια βάση), υποδηλώνοντας τη δυναμική αύξησης της ενεργού ζήτησης και στο τρέχον έτος.</w:t>
      </w:r>
    </w:p>
    <w:p w:rsidR="00B37C2D" w:rsidRDefault="00B37C2D" w:rsidP="00B37C2D">
      <w:pPr>
        <w:jc w:val="both"/>
      </w:pPr>
    </w:p>
    <w:p w:rsidR="00B37C2D" w:rsidRPr="00B37C2D" w:rsidRDefault="00B37C2D" w:rsidP="00B37C2D">
      <w:pPr>
        <w:jc w:val="both"/>
      </w:pPr>
      <w:r w:rsidRPr="00B37C2D">
        <w:lastRenderedPageBreak/>
        <w:t>Στην αύξηση της ιδιωτικής κατανάλωσης συνέτεινε η βελτίωση στην αγορά εργασίας κατά τη διάρκεια του 2016. Ειδικότερα, η αύξηση της εξαρτημένης εργασίας συνεχίστηκε για δεύτερη χρονιά (+2,1% το 2016 και +0,7% το 2015</w:t>
      </w:r>
      <w:r w:rsidRPr="00B37C2D">
        <w:rPr>
          <w:vertAlign w:val="superscript"/>
        </w:rPr>
        <w:footnoteReference w:id="9"/>
      </w:r>
      <w:r w:rsidRPr="00B37C2D">
        <w:t>) στηρίζοντας, από κοινού με την εξάντληση της προς τα κάτω προσαρμογής του μέσου μισθού</w:t>
      </w:r>
      <w:r w:rsidRPr="00B37C2D">
        <w:rPr>
          <w:vertAlign w:val="superscript"/>
        </w:rPr>
        <w:footnoteReference w:id="10"/>
      </w:r>
      <w:r w:rsidRPr="00B37C2D">
        <w:t xml:space="preserve">, το διαθέσιμο εισόδημα των νοικοκυριών. Ευνοϊκή για το διαθέσιμο εισόδημα ήταν και η διατήρηση του </w:t>
      </w:r>
      <w:proofErr w:type="spellStart"/>
      <w:r w:rsidRPr="00B37C2D">
        <w:t>αποπληθωριστή</w:t>
      </w:r>
      <w:proofErr w:type="spellEnd"/>
      <w:r w:rsidRPr="00B37C2D">
        <w:t xml:space="preserve"> της ιδιωτικής κατανάλωσης και του εθνικού ΔΤΚ σε αρνητικό έδαφος (-0,5% και -0,8% σε ετήσια βάση), χαμηλότερα από τον </w:t>
      </w:r>
      <w:proofErr w:type="spellStart"/>
      <w:r w:rsidRPr="00B37C2D">
        <w:t>αποπληθωριστή</w:t>
      </w:r>
      <w:proofErr w:type="spellEnd"/>
      <w:r w:rsidRPr="00B37C2D">
        <w:t xml:space="preserve"> του ΑΕΠ (+0,1% έναντι του 2015). </w:t>
      </w:r>
    </w:p>
    <w:p w:rsidR="00B37C2D" w:rsidRDefault="00B37C2D" w:rsidP="00B37C2D">
      <w:pPr>
        <w:jc w:val="both"/>
      </w:pPr>
    </w:p>
    <w:p w:rsidR="00B37C2D" w:rsidRPr="00B37C2D" w:rsidRDefault="00B37C2D" w:rsidP="00B37C2D">
      <w:pPr>
        <w:jc w:val="both"/>
      </w:pPr>
      <w:r w:rsidRPr="00B37C2D">
        <w:t>Η συνεισφορά της ιδιωτικής κατανάλωσης στην αύξηση του ΑΕΠ έφτασε το 1,0%, αντι</w:t>
      </w:r>
      <w:r w:rsidRPr="00B37C2D">
        <w:t>σ</w:t>
      </w:r>
      <w:r w:rsidRPr="00B37C2D">
        <w:t xml:space="preserve">ταθμίζοντας το άθροισμα των αρνητικών επιδράσεων από τη δημόσια κατανάλωση και το εξωτερικό ισοζύγιο αγαθών και υπηρεσιών. </w:t>
      </w:r>
    </w:p>
    <w:p w:rsidR="00B37C2D" w:rsidRDefault="00B37C2D" w:rsidP="00B37C2D">
      <w:pPr>
        <w:jc w:val="both"/>
      </w:pPr>
    </w:p>
    <w:p w:rsidR="00B37C2D" w:rsidRPr="00B37C2D" w:rsidRDefault="00B37C2D" w:rsidP="00B37C2D">
      <w:pPr>
        <w:jc w:val="both"/>
      </w:pPr>
      <w:r w:rsidRPr="00B37C2D">
        <w:t xml:space="preserve">Ειδικότερα όσον αφορά το εξωτερικό ισοζύγιο, σε </w:t>
      </w:r>
      <w:proofErr w:type="spellStart"/>
      <w:r w:rsidRPr="00B37C2D">
        <w:t>εθνικολογιστική</w:t>
      </w:r>
      <w:proofErr w:type="spellEnd"/>
      <w:r w:rsidRPr="00B37C2D">
        <w:t xml:space="preserve"> βάση η αρνητική συμβ</w:t>
      </w:r>
      <w:r w:rsidRPr="00B37C2D">
        <w:t>ο</w:t>
      </w:r>
      <w:r w:rsidRPr="00B37C2D">
        <w:t>λή του (-0,5% του ΑΕΠ) οφείλεται κατά κύριο λόγο στο ισοζύγιο υπηρεσιών</w:t>
      </w:r>
      <w:r w:rsidRPr="00B37C2D">
        <w:rPr>
          <w:vertAlign w:val="superscript"/>
        </w:rPr>
        <w:footnoteReference w:id="11"/>
      </w:r>
      <w:r w:rsidRPr="00B37C2D">
        <w:t>, και δευτερε</w:t>
      </w:r>
      <w:r w:rsidRPr="00B37C2D">
        <w:t>υ</w:t>
      </w:r>
      <w:r w:rsidRPr="00B37C2D">
        <w:t>όντως στο ισοζύγιο αγαθών</w:t>
      </w:r>
      <w:r w:rsidRPr="00B37C2D">
        <w:rPr>
          <w:vertAlign w:val="superscript"/>
        </w:rPr>
        <w:footnoteReference w:id="12"/>
      </w:r>
      <w:r w:rsidRPr="00B37C2D">
        <w:t>. Και σε τρέχουσες όμως τιμές (στοιχεία ισοζυγίου πληρωμών Τράπεζας της Ελλάδος), η επιδείνωση του ισοζυγίου τρεχουσών συναλλαγών προήλθε κυρ</w:t>
      </w:r>
      <w:r w:rsidRPr="00B37C2D">
        <w:t>ί</w:t>
      </w:r>
      <w:r w:rsidRPr="00B37C2D">
        <w:t>ως από τη</w:t>
      </w:r>
      <w:r w:rsidR="00D9187B">
        <w:t>ν επιδείνωση</w:t>
      </w:r>
      <w:r w:rsidRPr="00B37C2D">
        <w:t xml:space="preserve"> κατά 1,6 δισ. ευρώ του ισοζυγίου υπηρεσιών, η οποία οφείλεται στη μείωση των ταξιδιωτικών εισπράξεων και των εισπράξεων από μεταφορικές υπηρεσίες. </w:t>
      </w:r>
    </w:p>
    <w:p w:rsidR="00BE0153" w:rsidRDefault="00BE0153" w:rsidP="00B37C2D">
      <w:pPr>
        <w:jc w:val="both"/>
      </w:pPr>
    </w:p>
    <w:p w:rsidR="00B37C2D" w:rsidRPr="00B37C2D" w:rsidRDefault="00B37C2D" w:rsidP="00B37C2D">
      <w:pPr>
        <w:jc w:val="both"/>
      </w:pPr>
      <w:r w:rsidRPr="00B37C2D">
        <w:t>Αφενός, η μείωση των καθαρών ταξιδιωτικών εισπράξεων κατά 0,88 δισ. ευρώ το 2016 (π</w:t>
      </w:r>
      <w:r w:rsidRPr="00B37C2D">
        <w:t>α</w:t>
      </w:r>
      <w:r w:rsidRPr="00B37C2D">
        <w:t>ρά την αύξηση των αφίξεων μη κατοίκων στη χώρα) αποδίδεται κυρίως στην επιθετική τιμ</w:t>
      </w:r>
      <w:r w:rsidRPr="00B37C2D">
        <w:t>ο</w:t>
      </w:r>
      <w:r w:rsidRPr="00B37C2D">
        <w:t>λόγηση των υπηρεσιών διαμονής</w:t>
      </w:r>
      <w:r w:rsidRPr="00B37C2D">
        <w:rPr>
          <w:vertAlign w:val="superscript"/>
        </w:rPr>
        <w:footnoteReference w:id="13"/>
      </w:r>
      <w:r w:rsidRPr="00B37C2D">
        <w:t>, ως μέσο προσέλκυσης ταξιδιωτών και αντιστάθμισης της επίδρασης της προσφυγικής κρίσης στην αντίληψη για την Ελλάδα ως τουριστικού προορι</w:t>
      </w:r>
      <w:r w:rsidRPr="00B37C2D">
        <w:t>σ</w:t>
      </w:r>
      <w:r w:rsidRPr="00B37C2D">
        <w:t>μού</w:t>
      </w:r>
      <w:r w:rsidRPr="00B37C2D">
        <w:rPr>
          <w:vertAlign w:val="superscript"/>
        </w:rPr>
        <w:footnoteReference w:id="14"/>
      </w:r>
      <w:r w:rsidRPr="00B37C2D">
        <w:t xml:space="preserve">. </w:t>
      </w:r>
    </w:p>
    <w:p w:rsidR="00B37C2D" w:rsidRDefault="00B37C2D" w:rsidP="00B37C2D">
      <w:pPr>
        <w:jc w:val="both"/>
      </w:pPr>
    </w:p>
    <w:p w:rsidR="00B37C2D" w:rsidRPr="00B37C2D" w:rsidRDefault="00B37C2D" w:rsidP="00B37C2D">
      <w:pPr>
        <w:jc w:val="both"/>
      </w:pPr>
      <w:r w:rsidRPr="00B37C2D">
        <w:t>Αφετέρου, το μειούμενο επίπεδο δραστηριότητας στις υπηρεσίες μεταφοράς και η πτώση των καθαρών εισπράξεων τους κατά 1,2 δισ. ευρώ, αντανακλά την επίπτωση στον κλάδο των θ</w:t>
      </w:r>
      <w:r w:rsidRPr="00B37C2D">
        <w:t>α</w:t>
      </w:r>
      <w:r w:rsidRPr="00B37C2D">
        <w:t>λάσσιων μεταφορών</w:t>
      </w:r>
      <w:r w:rsidRPr="00B37C2D">
        <w:rPr>
          <w:vertAlign w:val="superscript"/>
        </w:rPr>
        <w:footnoteReference w:id="15"/>
      </w:r>
      <w:r w:rsidRPr="00B37C2D">
        <w:t xml:space="preserve"> από τους περιορισμούς στην κίνηση κεφαλαίων και από την πτωτική πορεία των ναύλων. Από το 2017, η μεγαλύτερη χαλάρωση των περιορισμών στην κίνηση κεφαλαίων και η ήδη εμφανής αύξηση στους ναύλους αναμένεται να </w:t>
      </w:r>
      <w:r w:rsidR="00304BB3">
        <w:t>συμβάλλει σ</w:t>
      </w:r>
      <w:r w:rsidRPr="00B37C2D">
        <w:t>την τάση δυναμικής ανάκαμψης της ναυτιλίας, όπως παρατηρήθηκε στο πρώτο τρίμηνο του έτους (+12,8% στις καθαρές εισπράξεις θαλάσσιων μεταφορών σε ετήσια βάση).</w:t>
      </w:r>
    </w:p>
    <w:p w:rsidR="00B37C2D" w:rsidRDefault="00B37C2D" w:rsidP="00B37C2D">
      <w:pPr>
        <w:jc w:val="both"/>
      </w:pPr>
    </w:p>
    <w:p w:rsidR="00B37C2D" w:rsidRPr="00B37C2D" w:rsidRDefault="00B37C2D" w:rsidP="00B37C2D">
      <w:pPr>
        <w:jc w:val="both"/>
      </w:pPr>
      <w:r w:rsidRPr="00B37C2D">
        <w:t>Οι ανωτέρω εξελίξεις στο ισοζύγιο υπηρεσιών αντιστάθμισαν το 2016 τη βελτίωση στο ον</w:t>
      </w:r>
      <w:r w:rsidRPr="00B37C2D">
        <w:t>ο</w:t>
      </w:r>
      <w:r w:rsidRPr="00B37C2D">
        <w:t xml:space="preserve">μαστικό ισοζύγιο αγαθών, που ήταν απόρροια της μείωσης του ελλείμματος στο ισοζύγιο πλοίων (κατά 0,3 δισ. ευρώ) και στο ισοζύγιο καυσίμων (κατά 1,38 δισ. ευρώ), εν μέσω της </w:t>
      </w:r>
      <w:r w:rsidRPr="00B37C2D">
        <w:lastRenderedPageBreak/>
        <w:t>έντονα καθοδικής πορείας της διεθνούς τιμής του πετρελαίου στα πρώτα τρία τρίμηνα του 2016</w:t>
      </w:r>
      <w:r w:rsidRPr="00B37C2D">
        <w:rPr>
          <w:vertAlign w:val="superscript"/>
        </w:rPr>
        <w:footnoteReference w:id="16"/>
      </w:r>
      <w:r w:rsidRPr="00B37C2D">
        <w:t>.</w:t>
      </w:r>
    </w:p>
    <w:p w:rsidR="00B37C2D" w:rsidRDefault="00B37C2D" w:rsidP="00B37C2D">
      <w:pPr>
        <w:jc w:val="both"/>
      </w:pPr>
    </w:p>
    <w:p w:rsidR="00B37C2D" w:rsidRPr="00B37C2D" w:rsidRDefault="00B37C2D" w:rsidP="00B37C2D">
      <w:pPr>
        <w:jc w:val="both"/>
      </w:pPr>
      <w:r w:rsidRPr="00B37C2D">
        <w:t xml:space="preserve">Ο όγκος του ακαθάριστου σχηματισμού παγίου κεφαλαίου αυξήθηκε </w:t>
      </w:r>
      <w:r w:rsidR="00304BB3" w:rsidRPr="00B37C2D">
        <w:t xml:space="preserve">οριακά </w:t>
      </w:r>
      <w:r w:rsidRPr="00B37C2D">
        <w:t>το 2</w:t>
      </w:r>
      <w:r w:rsidR="00D9187B">
        <w:t>016 έναντι του 2015 (κατά 0,1%)</w:t>
      </w:r>
      <w:r w:rsidR="00E070F2">
        <w:t>, εν μέσω</w:t>
      </w:r>
      <w:r w:rsidRPr="00B37C2D">
        <w:t xml:space="preserve"> των μικτών τάσεων στους δείκτες επιχειρηματικών προσδ</w:t>
      </w:r>
      <w:r w:rsidRPr="00B37C2D">
        <w:t>ο</w:t>
      </w:r>
      <w:r w:rsidRPr="00B37C2D">
        <w:t xml:space="preserve">κιών. Ενδείξεις ανάκαμψης καταγράφηκαν εν τούτοις σε επιμέρους κατηγορίες πραγματικών επενδύσεων, όπως στις επενδύσεις σε μηχανολογικό εξοπλισμό (+5,1%) και στις κατασκευές πλην κατοικιών (+2,9%). Οι άμεσες ξένες επενδύσεις σημείωσαν επίσης βελτίωση, με το </w:t>
      </w:r>
      <w:r w:rsidRPr="00B37C2D">
        <w:t>ύ</w:t>
      </w:r>
      <w:r w:rsidRPr="00B37C2D">
        <w:t>ψος των 2,8 δισ. ευρώ καθαρών εισροών εντός του έτους να είναι το μεγαλύτερο που έχει κ</w:t>
      </w:r>
      <w:r w:rsidRPr="00B37C2D">
        <w:t>α</w:t>
      </w:r>
      <w:r w:rsidRPr="00B37C2D">
        <w:t xml:space="preserve">ταγραφεί από την έναρξη της κρίσης το 2008. </w:t>
      </w:r>
    </w:p>
    <w:p w:rsidR="00B37C2D" w:rsidRDefault="00B37C2D" w:rsidP="00B37C2D">
      <w:pPr>
        <w:jc w:val="both"/>
      </w:pPr>
    </w:p>
    <w:p w:rsidR="00B37C2D" w:rsidRPr="00B37C2D" w:rsidRDefault="00B37C2D" w:rsidP="00B37C2D">
      <w:pPr>
        <w:jc w:val="both"/>
      </w:pPr>
      <w:r w:rsidRPr="00B37C2D">
        <w:t>Ως συνισταμένη των παραπάνω, το πραγματικό ΑΕΠ διατηρήθηκε το 2016 στο ίδιο επίπεδο με το 2015, με σαφή αναπτυξιακή ώθηση στο τρίτο τρίμηνο του έτους (+2,0% σε ετήσια β</w:t>
      </w:r>
      <w:r w:rsidRPr="00B37C2D">
        <w:t>ά</w:t>
      </w:r>
      <w:r w:rsidRPr="00B37C2D">
        <w:t xml:space="preserve">ση) </w:t>
      </w:r>
      <w:r w:rsidR="00304BB3">
        <w:t xml:space="preserve">και </w:t>
      </w:r>
      <w:r w:rsidRPr="00B37C2D">
        <w:t>σε συνέχεια της ολοκλήρωσης της πρώτης αξιολόγησης. Η προσωρινή υποχώρηση σε αρνητικό ετήσιο ρυθμό ανάπτυξης στο τέταρτο τρίμηνο του 2016 προήλθε από τις μειώσεις της δημόσιας κατανάλωσης και του ακαθάριστου σχηματισμού παγίου κεφαλαίου, με την τ</w:t>
      </w:r>
      <w:r w:rsidRPr="00B37C2D">
        <w:t>ε</w:t>
      </w:r>
      <w:r w:rsidRPr="00B37C2D">
        <w:t xml:space="preserve">λευταία όμως να οφείλεται στην επίδραση έτους βάσης, εν μέσω στασιμότητας των νέων </w:t>
      </w:r>
      <w:r w:rsidRPr="00B37C2D">
        <w:t>ε</w:t>
      </w:r>
      <w:r w:rsidRPr="00B37C2D">
        <w:t>πενδύσεων έναντι του προηγούμενου τριμήνου και θετικών ετήσιων μεταβολών στην κατ</w:t>
      </w:r>
      <w:r w:rsidRPr="00B37C2D">
        <w:t>α</w:t>
      </w:r>
      <w:r w:rsidRPr="00B37C2D">
        <w:t>νάλωση και στις καθαρές εξαγωγές αγαθών και υπηρεσιών.</w:t>
      </w:r>
      <w:r w:rsidR="005C2D49">
        <w:t xml:space="preserve"> </w:t>
      </w:r>
    </w:p>
    <w:p w:rsidR="00C56FF3" w:rsidRPr="00C56FF3" w:rsidRDefault="00C56FF3" w:rsidP="00A26D86">
      <w:pPr>
        <w:jc w:val="both"/>
      </w:pPr>
    </w:p>
    <w:p w:rsidR="00C56FF3" w:rsidRPr="00A544A7" w:rsidRDefault="00C56FF3" w:rsidP="00C56FF3">
      <w:pPr>
        <w:ind w:left="567" w:hanging="567"/>
        <w:jc w:val="both"/>
        <w:rPr>
          <w:rFonts w:ascii="Arial Narrow" w:hAnsi="Arial Narrow"/>
          <w:b/>
          <w:color w:val="000080"/>
          <w:szCs w:val="22"/>
        </w:rPr>
      </w:pPr>
      <w:r>
        <w:rPr>
          <w:rFonts w:ascii="Arial Narrow" w:hAnsi="Arial Narrow"/>
          <w:b/>
          <w:color w:val="000080"/>
          <w:szCs w:val="22"/>
        </w:rPr>
        <w:t>2.</w:t>
      </w:r>
      <w:r w:rsidRPr="005C3B7B">
        <w:rPr>
          <w:rFonts w:ascii="Arial Narrow" w:hAnsi="Arial Narrow"/>
          <w:b/>
          <w:color w:val="000080"/>
          <w:szCs w:val="22"/>
        </w:rPr>
        <w:t>3</w:t>
      </w:r>
      <w:r>
        <w:rPr>
          <w:rFonts w:ascii="Arial Narrow" w:hAnsi="Arial Narrow"/>
          <w:b/>
          <w:color w:val="000080"/>
          <w:szCs w:val="22"/>
        </w:rPr>
        <w:tab/>
        <w:t>Οι εξελίξεις το 201</w:t>
      </w:r>
      <w:r w:rsidR="00A544A7" w:rsidRPr="00A544A7">
        <w:rPr>
          <w:rFonts w:ascii="Arial Narrow" w:hAnsi="Arial Narrow"/>
          <w:b/>
          <w:color w:val="000080"/>
          <w:szCs w:val="22"/>
        </w:rPr>
        <w:t>7</w:t>
      </w:r>
    </w:p>
    <w:p w:rsidR="00FD1707" w:rsidRPr="005C3B7B" w:rsidRDefault="00FD1707" w:rsidP="00FD1707">
      <w:pPr>
        <w:jc w:val="both"/>
      </w:pPr>
    </w:p>
    <w:p w:rsidR="00D0190E" w:rsidRPr="00FD1707" w:rsidRDefault="00D0190E" w:rsidP="00D0190E">
      <w:pPr>
        <w:jc w:val="both"/>
        <w:rPr>
          <w:b/>
          <w:szCs w:val="22"/>
        </w:rPr>
      </w:pPr>
      <w:r>
        <w:rPr>
          <w:rFonts w:ascii="Arial Narrow" w:hAnsi="Arial Narrow"/>
          <w:b/>
          <w:bCs/>
          <w:i/>
          <w:sz w:val="22"/>
          <w:szCs w:val="22"/>
        </w:rPr>
        <w:t>Το ΑΕΠ και οι συνιστώσες του</w:t>
      </w:r>
    </w:p>
    <w:p w:rsidR="00C56FF3" w:rsidRDefault="00C56FF3" w:rsidP="00FD1707">
      <w:pPr>
        <w:jc w:val="both"/>
      </w:pPr>
    </w:p>
    <w:p w:rsidR="001555CA" w:rsidRPr="001555CA" w:rsidRDefault="001555CA" w:rsidP="001555CA">
      <w:pPr>
        <w:jc w:val="both"/>
      </w:pPr>
      <w:r w:rsidRPr="001555CA">
        <w:t>Παρά τη μεταφερόμενη επίδραση της μείωσης του ΑΕΠ από το τελευταίο τρίμηνο του 2016 στο 2017, ήδη από το πρώτο τρίμηνο του τρέχοντος έτους η ελληνική οικονομία επανέκαμψε, με τον ρυθμό αύξησης του πραγματικού ΑΕΠ από τρίμηνο σε τρίμηνο να διαμορφώνεται σταθερά στο 0,5% για όλο το πρώτο εξάμηνο.</w:t>
      </w:r>
    </w:p>
    <w:p w:rsidR="001555CA" w:rsidRDefault="001555CA" w:rsidP="001555CA">
      <w:pPr>
        <w:jc w:val="both"/>
      </w:pPr>
    </w:p>
    <w:p w:rsidR="001555CA" w:rsidRPr="001555CA" w:rsidRDefault="001555CA" w:rsidP="001555CA">
      <w:pPr>
        <w:jc w:val="both"/>
      </w:pPr>
      <w:r w:rsidRPr="001555CA">
        <w:t>Στην αύξηση του ΑΕΠ του πρώτου τριμήνου (κατά 0,4%</w:t>
      </w:r>
      <w:r w:rsidRPr="001555CA">
        <w:rPr>
          <w:vertAlign w:val="superscript"/>
        </w:rPr>
        <w:footnoteReference w:id="17"/>
      </w:r>
      <w:r w:rsidRPr="001555CA">
        <w:t xml:space="preserve"> έναντι του πρώτου τριμήνου 2016) συνέβαλαν η συνεχιζόμενη αύξηση της πραγματικής ιδιωτικής κατανάλωσης (+1,2% σε ετήσια βάση), η αύξηση του όγκου του ακαθάριστου σχηματισμού παγίου κεφαλαίου σε ετήσια βάση (+10,8%) και η αντίστοιχη βελτίωση των καθαρών εξαγωγών υπηρεσιών (+5,2%). Οι επιδράσεις αυτές αντιστάθμισαν την αρνητική συμ</w:t>
      </w:r>
      <w:r w:rsidR="00304BB3">
        <w:t>βολή στο πραγματικό ΑΕΠ από την</w:t>
      </w:r>
      <w:r w:rsidRPr="001555CA">
        <w:t xml:space="preserve"> </w:t>
      </w:r>
      <w:r w:rsidR="00304BB3">
        <w:t>-</w:t>
      </w:r>
      <w:r w:rsidRPr="001555CA">
        <w:t>για πέμπτο συνεχόμενο τρίμηνο</w:t>
      </w:r>
      <w:r w:rsidR="00304BB3">
        <w:t>-</w:t>
      </w:r>
      <w:r w:rsidRPr="001555CA">
        <w:t xml:space="preserve"> συρρίκνωση της πραγματικής δημόσιας καταν</w:t>
      </w:r>
      <w:r w:rsidRPr="001555CA">
        <w:t>ά</w:t>
      </w:r>
      <w:r w:rsidRPr="001555CA">
        <w:t>λωσης (κατά 1,9% σε ετήσια βάση) και από τη επιδείνωση των καθαρών εξαγωγών αγαθών (κατά 24,8% αντιστοίχως)</w:t>
      </w:r>
      <w:r w:rsidRPr="001555CA">
        <w:rPr>
          <w:vertAlign w:val="superscript"/>
        </w:rPr>
        <w:footnoteReference w:id="18"/>
      </w:r>
      <w:r w:rsidRPr="001555CA">
        <w:t>.</w:t>
      </w:r>
    </w:p>
    <w:p w:rsidR="001555CA" w:rsidRDefault="001555CA" w:rsidP="001555CA">
      <w:pPr>
        <w:jc w:val="both"/>
      </w:pPr>
    </w:p>
    <w:p w:rsidR="001555CA" w:rsidRPr="001555CA" w:rsidRDefault="001555CA" w:rsidP="001555CA">
      <w:pPr>
        <w:jc w:val="both"/>
      </w:pPr>
      <w:r w:rsidRPr="001555CA">
        <w:t>Στο δεύτερο τρίμηνο του 2017, η ιδιωτική κατανάλωση συνέχισε να αυξάνεται σε ετήσια β</w:t>
      </w:r>
      <w:r w:rsidRPr="001555CA">
        <w:t>ά</w:t>
      </w:r>
      <w:r w:rsidRPr="001555CA">
        <w:t>ση για τέταρτο διαδοχικό τρίμηνο, κατά 0,7%, όσο και η συμβολή της στο πραγματικό ΑΕΠ του πρώτου εξαμήνου 2017</w:t>
      </w:r>
      <w:r w:rsidRPr="001555CA">
        <w:rPr>
          <w:vertAlign w:val="superscript"/>
        </w:rPr>
        <w:footnoteReference w:id="19"/>
      </w:r>
      <w:r w:rsidRPr="001555CA">
        <w:t xml:space="preserve">. Η αύξηση της ιδιωτικής κατανάλωσης συνέβαλε σημαντικά στην αύξηση του ΑΕΠ του δεύτερου τριμήνου κατά 0,8% σε ετήσια βάση. Από την άλλη </w:t>
      </w:r>
      <w:r w:rsidRPr="001555CA">
        <w:lastRenderedPageBreak/>
        <w:t>πλευρά, σε σχέση με το προηγούμενο τρίμηνο υπήρξε μετατόπιση της θετικής συνεισφοράς στην αύξηση του πραγματικού ΑΕΠ, από τον ακαθάριστο σχηματισμό παγίου κεφαλαίου, που μειώθηκε κατά 4,6% σε ετήσια βάση</w:t>
      </w:r>
      <w:r w:rsidR="00304BB3" w:rsidRPr="001555CA">
        <w:t>,</w:t>
      </w:r>
      <w:r w:rsidRPr="001555CA">
        <w:rPr>
          <w:vertAlign w:val="superscript"/>
        </w:rPr>
        <w:footnoteReference w:id="20"/>
      </w:r>
      <w:r w:rsidRPr="001555CA">
        <w:t xml:space="preserve"> προς τη δημόσια κατανάλωση, που αυξήθηκε κ</w:t>
      </w:r>
      <w:r w:rsidRPr="001555CA">
        <w:t>α</w:t>
      </w:r>
      <w:r w:rsidR="00304BB3">
        <w:t>τά 3,3% σε ετήσια βάση</w:t>
      </w:r>
      <w:r w:rsidRPr="001555CA">
        <w:t xml:space="preserve"> και προς τις καθαρές εξαγωγές αγαθών και υπηρεσιών, που βελτι</w:t>
      </w:r>
      <w:r w:rsidRPr="001555CA">
        <w:t>ώ</w:t>
      </w:r>
      <w:r w:rsidRPr="001555CA">
        <w:t>θηκαν κατά 43,8% σε ετήσια βάση. Ως εκ τούτου, η συμβολή των συνολικών καθαρών εξ</w:t>
      </w:r>
      <w:r w:rsidRPr="001555CA">
        <w:t>α</w:t>
      </w:r>
      <w:r w:rsidRPr="001555CA">
        <w:t xml:space="preserve">γωγών στην ανάπτυξη του δεύτερου τριμήνου μεταστράφηκε σε θετική (+1,8% του ΑΕΠ του δεύτερου τριμήνου του 2016), στηριζόμενη </w:t>
      </w:r>
      <w:r w:rsidR="00625C00">
        <w:t>πλέον των δύο τρίτων</w:t>
      </w:r>
      <w:r w:rsidRPr="001555CA">
        <w:t xml:space="preserve"> στην ανάκαμψη των καθ</w:t>
      </w:r>
      <w:r w:rsidRPr="001555CA">
        <w:t>α</w:t>
      </w:r>
      <w:r w:rsidRPr="001555CA">
        <w:t>ρών εξαγωγών αγαθών</w:t>
      </w:r>
      <w:r w:rsidRPr="001555CA">
        <w:rPr>
          <w:vertAlign w:val="superscript"/>
        </w:rPr>
        <w:footnoteReference w:id="21"/>
      </w:r>
      <w:r w:rsidRPr="001555CA">
        <w:t>, και κατά το υπόλοιπο στην περαιτέρω βελτίωση των καθαρών εξ</w:t>
      </w:r>
      <w:r w:rsidRPr="001555CA">
        <w:t>α</w:t>
      </w:r>
      <w:r w:rsidRPr="001555CA">
        <w:t>γωγών υπηρεσιών</w:t>
      </w:r>
      <w:r w:rsidRPr="001555CA">
        <w:rPr>
          <w:vertAlign w:val="superscript"/>
        </w:rPr>
        <w:footnoteReference w:id="22"/>
      </w:r>
      <w:r w:rsidRPr="001555CA">
        <w:t xml:space="preserve">. </w:t>
      </w:r>
    </w:p>
    <w:p w:rsidR="001555CA" w:rsidRDefault="001555CA" w:rsidP="001555CA">
      <w:pPr>
        <w:jc w:val="both"/>
      </w:pPr>
    </w:p>
    <w:p w:rsidR="001555CA" w:rsidRPr="001555CA" w:rsidRDefault="001555CA" w:rsidP="001555CA">
      <w:pPr>
        <w:jc w:val="both"/>
      </w:pPr>
      <w:r w:rsidRPr="001555CA">
        <w:t>Στο σύνολο του πρώτου εξαμήνου, όλες οι συνιστώσες του πραγματικού ΑΕΠ</w:t>
      </w:r>
      <w:r w:rsidR="00E070F2">
        <w:t>,</w:t>
      </w:r>
      <w:r w:rsidRPr="001555CA">
        <w:t xml:space="preserve"> πλην του εξ</w:t>
      </w:r>
      <w:r w:rsidRPr="001555CA">
        <w:t>ω</w:t>
      </w:r>
      <w:r w:rsidRPr="001555CA">
        <w:t>τερικού τομέα</w:t>
      </w:r>
      <w:r w:rsidR="00E070F2">
        <w:t>,</w:t>
      </w:r>
      <w:r w:rsidRPr="001555CA">
        <w:t xml:space="preserve"> συνεισέφεραν θετικά στην ανάπτυξη, γεγονός που υποδηλώνει την προοπτική διατήρησής της όλο το 2017 και πέραν αυτού. Η ιδιωτική κατανάλωση αυξήθηκε κατά 1,0% έναντι του πρώτου εξαμήνου του 2016, ενισχυμένη από τη συνεχιζόμενη βελτίωση στους δ</w:t>
      </w:r>
      <w:r w:rsidRPr="001555CA">
        <w:t>ε</w:t>
      </w:r>
      <w:r w:rsidRPr="001555CA">
        <w:t>ίκτες απασχόλησης και ανεργίας, ενώ η δημόσια κατανάλωση αυξήθηκε κατά 0,7% έναντι του ίδιου διαστήματος του 2016. Ο ακαθάριστος σχηματισμός παγίου κεφαλαίου είχε σωρε</w:t>
      </w:r>
      <w:r w:rsidRPr="001555CA">
        <w:t>υ</w:t>
      </w:r>
      <w:r w:rsidRPr="001555CA">
        <w:t xml:space="preserve">τικά θετική μεταβολή κατά 2,7% έναντι του πρώτου εξαμήνου του 2016, λόγω της μεγάλης αύξησης που είχε σημειωθεί στο πρώτο τρίμηνο του </w:t>
      </w:r>
      <w:r w:rsidR="00585274">
        <w:t>2017. Εξάλλου, βάσει στοιχείων ισοζ</w:t>
      </w:r>
      <w:r w:rsidR="00585274">
        <w:t>υ</w:t>
      </w:r>
      <w:r w:rsidR="00585274">
        <w:t>γίου π</w:t>
      </w:r>
      <w:r w:rsidRPr="001555CA">
        <w:t>ληρωμών της Τράπεζας της Ελλάδος, την περίοδο Ιανουαρίου - Ιουλίου 2017 οι άμεσες ξένες επενδύσεις ήταν τριπλάσιες σε σχέση με την αντίστοιχη περίοδο του 2016 (2,3 δισ. ε</w:t>
      </w:r>
      <w:r w:rsidRPr="001555CA">
        <w:t>υ</w:t>
      </w:r>
      <w:r w:rsidRPr="001555CA">
        <w:t>ρώ έναντι 0,8 δισ. ευρώ), σηματοδοτώντας τη βελτίωση της δυναμικής τους μέσα στο 2017.</w:t>
      </w:r>
    </w:p>
    <w:p w:rsidR="001555CA" w:rsidRDefault="001555CA" w:rsidP="001555CA">
      <w:pPr>
        <w:jc w:val="both"/>
      </w:pPr>
    </w:p>
    <w:p w:rsidR="001555CA" w:rsidRPr="001555CA" w:rsidRDefault="00C024E4" w:rsidP="001555CA">
      <w:pPr>
        <w:jc w:val="both"/>
      </w:pPr>
      <w:r>
        <w:t>Παρά την</w:t>
      </w:r>
      <w:r w:rsidR="001555CA" w:rsidRPr="001555CA">
        <w:t xml:space="preserve"> αρνητική συμβολή του εξωτερικού τομέα στην ανάπτυξη</w:t>
      </w:r>
      <w:r w:rsidR="001555CA" w:rsidRPr="001555CA">
        <w:rPr>
          <w:vertAlign w:val="superscript"/>
        </w:rPr>
        <w:footnoteReference w:id="23"/>
      </w:r>
      <w:r w:rsidR="001555CA" w:rsidRPr="001555CA">
        <w:t xml:space="preserve"> που σημειώθηκε κατά το πρώτο εξάμηνο του 2017</w:t>
      </w:r>
      <w:r>
        <w:t>, αυτή</w:t>
      </w:r>
      <w:r w:rsidR="001555CA" w:rsidRPr="001555CA">
        <w:t xml:space="preserve"> αναμένεται να αναστραφεί μέσα στο επόμενο εξάμηνο, δ</w:t>
      </w:r>
      <w:r w:rsidR="001555CA" w:rsidRPr="001555CA">
        <w:t>ε</w:t>
      </w:r>
      <w:r w:rsidR="001555CA" w:rsidRPr="001555CA">
        <w:t>δομένων των ήδη ευνοϊκών εξελίξεων του δεύτερου τριμήνου του έτους. Η μεγαλύτερη α</w:t>
      </w:r>
      <w:r w:rsidR="001555CA" w:rsidRPr="001555CA">
        <w:t>ύ</w:t>
      </w:r>
      <w:r w:rsidR="001555CA" w:rsidRPr="001555CA">
        <w:t>ξηση των συνολικών εισαγωγών έναντι των εξαγωγών στο πρώτο εξάμηνο οφείλεται στη συγκριτικά μεγαλύτερη αύξηση των εισαγωγών αγαθών έναντι των εξαγωγών αγαθών κατά το πρώτο τρίμηνο του έτους. Δεδομένου ότι στην αύξηση αυτή των εισαγωγών συντέλεσε, μεταξύ άλλων, η σταδιακή χαλάρωση των περιορισμών στην κίνηση κεφαλαίων, σήμερα η διαδικασία περαιτέρω χαλάρωσης και τελικά άρσης των εν λόγω περιορισμών αποτελεί ένα εγχείρημα σταδιακής προσαρμογής ώστε, όπως αποτυπώνεται στον οδικό χάρτη της 15</w:t>
      </w:r>
      <w:r w:rsidR="001555CA" w:rsidRPr="001555CA">
        <w:rPr>
          <w:vertAlign w:val="superscript"/>
        </w:rPr>
        <w:t>ης</w:t>
      </w:r>
      <w:r w:rsidR="001555CA" w:rsidRPr="001555CA">
        <w:t xml:space="preserve"> Μαΐου 2017, κατά την υλοποίησή του να διασφαλίζεται τόσο η χρηματοπιστωτική όσο και η μακροοικονομική σταθερότητα.</w:t>
      </w:r>
    </w:p>
    <w:p w:rsidR="001555CA" w:rsidRDefault="001555CA" w:rsidP="001555CA">
      <w:pPr>
        <w:jc w:val="both"/>
      </w:pPr>
    </w:p>
    <w:p w:rsidR="001555CA" w:rsidRPr="001555CA" w:rsidRDefault="001555CA" w:rsidP="001555CA">
      <w:pPr>
        <w:jc w:val="both"/>
      </w:pPr>
      <w:r w:rsidRPr="001555CA">
        <w:t>Μετά το πέρας του πρώτου εξαμήνου, που συμπίπτει με το ορόσημο της ολοκλήρωσης της δεύτερης αξιολόγησης, οι τιμές των διαθέσιμων δεικτών υψηλής συχνότητας φαίνεται να στηρίζουν την εκτίμηση για ανάπτυξη 1,8% στο σύνολο του τρέχοντος έτους. Την περίοδο Ιουλίου</w:t>
      </w:r>
      <w:r w:rsidR="00585274">
        <w:t>-</w:t>
      </w:r>
      <w:r w:rsidRPr="001555CA">
        <w:t>Αυγούστου, σημαντική βελτίωση επέδειξε ο δείκτης οικονομικού κλίματος (98,6 μ</w:t>
      </w:r>
      <w:r w:rsidRPr="001555CA">
        <w:t>ο</w:t>
      </w:r>
      <w:r w:rsidRPr="001555CA">
        <w:t>νάδες βάσης κατά μέσο όρο έναντι 93,6 μονάδων το αμέσως προηγούμενο δίμηνο και 92,2 μονάδων το αντίστοιχο δίμηνο του 2016), καθώς και ο δείκτης εμπιστοσύνης καταναλωτών</w:t>
      </w:r>
      <w:r w:rsidR="00585274">
        <w:t xml:space="preserve"> </w:t>
      </w:r>
      <w:r w:rsidRPr="001555CA">
        <w:t xml:space="preserve"> </w:t>
      </w:r>
      <w:r w:rsidRPr="001555CA">
        <w:lastRenderedPageBreak/>
        <w:t>(-59,3 μονάδες έναντι -69,3 μονάδων το αμέσως προηγούμενο δίμηνο και -69,7 μονάδων το αντίστοιχο δίμηνο του 2016</w:t>
      </w:r>
      <w:r w:rsidRPr="001555CA">
        <w:rPr>
          <w:vertAlign w:val="superscript"/>
        </w:rPr>
        <w:footnoteReference w:id="24"/>
      </w:r>
      <w:r w:rsidRPr="001555CA">
        <w:t>).</w:t>
      </w:r>
      <w:r w:rsidR="005C2D49">
        <w:t xml:space="preserve"> </w:t>
      </w:r>
      <w:r w:rsidRPr="001555CA">
        <w:t>Αντίστοιχα, ο δείκτης υπεύθυνων προμηθειών έφτασε τον Αύγουστο του 2017 στις 52,2 μονάδες βάσης, σημειώνοντας τη μεγαλύτερη επίδοσή του από την έναρξη της οικονομικής προσαρμογής και υποδηλώνοντας επέκταση του κλάδου της μ</w:t>
      </w:r>
      <w:r w:rsidRPr="001555CA">
        <w:t>ε</w:t>
      </w:r>
      <w:r w:rsidRPr="001555CA">
        <w:t xml:space="preserve">ταποίησης για τρίτο συνεχόμενο μήνα. </w:t>
      </w:r>
      <w:r w:rsidR="00C024E4">
        <w:t xml:space="preserve">Με την παρέλευση του </w:t>
      </w:r>
      <w:r w:rsidRPr="001555CA">
        <w:t>δε</w:t>
      </w:r>
      <w:r w:rsidR="00C024E4">
        <w:t>υτέρου</w:t>
      </w:r>
      <w:r w:rsidRPr="001555CA">
        <w:t xml:space="preserve"> εξ</w:t>
      </w:r>
      <w:r w:rsidR="00C024E4">
        <w:t>αμήνου του 2017</w:t>
      </w:r>
      <w:r w:rsidRPr="001555CA">
        <w:t xml:space="preserve">, η ανάκτηση της εμπιστοσύνης στην οικονομία αναμένεται ταχύτερη, </w:t>
      </w:r>
      <w:r w:rsidR="00C024E4">
        <w:t xml:space="preserve">λόγω </w:t>
      </w:r>
      <w:r w:rsidRPr="001555CA">
        <w:t>των θετικών σ</w:t>
      </w:r>
      <w:r w:rsidRPr="001555CA">
        <w:t>η</w:t>
      </w:r>
      <w:r w:rsidRPr="001555CA">
        <w:t>μάτων από την επιτυχή άντληση των 3 δισ. ευρώ από τις διεθνείς αγορές, τον Ιούλιο του 2017, από την αναβάθμιση των προοπτικών της οικονομίας από τους οίκους αξιολόγησης Μ</w:t>
      </w:r>
      <w:proofErr w:type="spellStart"/>
      <w:r w:rsidRPr="001555CA">
        <w:rPr>
          <w:lang w:val="en-US"/>
        </w:rPr>
        <w:t>oody</w:t>
      </w:r>
      <w:proofErr w:type="spellEnd"/>
      <w:r w:rsidRPr="001555CA">
        <w:t>’</w:t>
      </w:r>
      <w:r w:rsidRPr="001555CA">
        <w:rPr>
          <w:lang w:val="en-US"/>
        </w:rPr>
        <w:t>s</w:t>
      </w:r>
      <w:r w:rsidRPr="001555CA">
        <w:t xml:space="preserve">, </w:t>
      </w:r>
      <w:r w:rsidRPr="001555CA">
        <w:rPr>
          <w:lang w:val="en-US"/>
        </w:rPr>
        <w:t>Standard</w:t>
      </w:r>
      <w:r w:rsidRPr="001555CA">
        <w:t xml:space="preserve"> </w:t>
      </w:r>
      <w:r w:rsidRPr="001555CA">
        <w:rPr>
          <w:lang w:val="en-US"/>
        </w:rPr>
        <w:t>and</w:t>
      </w:r>
      <w:r w:rsidRPr="001555CA">
        <w:t xml:space="preserve"> </w:t>
      </w:r>
      <w:r w:rsidRPr="001555CA">
        <w:rPr>
          <w:lang w:val="en-US"/>
        </w:rPr>
        <w:t>Poor</w:t>
      </w:r>
      <w:r w:rsidRPr="001555CA">
        <w:t>’</w:t>
      </w:r>
      <w:r w:rsidRPr="001555CA">
        <w:rPr>
          <w:lang w:val="en-US"/>
        </w:rPr>
        <w:t>s</w:t>
      </w:r>
      <w:r w:rsidRPr="001555CA">
        <w:t xml:space="preserve"> και </w:t>
      </w:r>
      <w:r w:rsidRPr="001555CA">
        <w:rPr>
          <w:lang w:val="en-US"/>
        </w:rPr>
        <w:t>Fitch</w:t>
      </w:r>
      <w:r w:rsidRPr="001555CA">
        <w:t>, και από την εκτιμώμενη πρόοδο της τρίτης αξιολ</w:t>
      </w:r>
      <w:r w:rsidRPr="001555CA">
        <w:t>ό</w:t>
      </w:r>
      <w:r w:rsidRPr="001555CA">
        <w:t>γησης του προγράμματος.</w:t>
      </w:r>
    </w:p>
    <w:p w:rsidR="00A919EE" w:rsidRDefault="00A919EE" w:rsidP="001555CA">
      <w:pPr>
        <w:jc w:val="both"/>
      </w:pPr>
    </w:p>
    <w:p w:rsidR="001555CA" w:rsidRDefault="001555CA" w:rsidP="001555CA">
      <w:pPr>
        <w:jc w:val="both"/>
      </w:pPr>
      <w:r w:rsidRPr="001555CA">
        <w:t>Στο σύνολο του 2017, οι κύριοι παράγοντες που αναμένεται να ωθήσουν το πραγματικό ΑΕΠ</w:t>
      </w:r>
      <w:r w:rsidR="005C2D49">
        <w:t xml:space="preserve"> </w:t>
      </w:r>
      <w:r w:rsidRPr="001555CA">
        <w:t>κατά 1,8% υψηλότερα από ότι το 2016 είναι η αύξηση της απασχόλησης (κατά 1,6%) που στηρίζει την αύξηση της ιδιωτικής κατανάλωσης κατά 1,1%, αλλά και:</w:t>
      </w:r>
    </w:p>
    <w:p w:rsidR="001555CA" w:rsidRPr="001555CA" w:rsidRDefault="001555CA" w:rsidP="001555CA">
      <w:pPr>
        <w:jc w:val="both"/>
      </w:pPr>
    </w:p>
    <w:p w:rsidR="001555CA" w:rsidRDefault="001555CA" w:rsidP="00C42D86">
      <w:pPr>
        <w:numPr>
          <w:ilvl w:val="0"/>
          <w:numId w:val="2"/>
        </w:numPr>
        <w:ind w:left="284" w:hanging="284"/>
        <w:jc w:val="both"/>
      </w:pPr>
      <w:r w:rsidRPr="001555CA">
        <w:t>η πρόοδος υλοποίησης του προγράμματος αποκρατικοποιήσεων</w:t>
      </w:r>
      <w:r w:rsidRPr="001555CA">
        <w:rPr>
          <w:vertAlign w:val="superscript"/>
        </w:rPr>
        <w:footnoteReference w:id="25"/>
      </w:r>
      <w:r w:rsidRPr="001555CA">
        <w:t>,</w:t>
      </w:r>
    </w:p>
    <w:p w:rsidR="00BE0153" w:rsidRPr="001555CA" w:rsidRDefault="00BE0153" w:rsidP="00BE0153">
      <w:pPr>
        <w:ind w:left="284"/>
        <w:jc w:val="both"/>
      </w:pPr>
    </w:p>
    <w:p w:rsidR="001555CA" w:rsidRDefault="001555CA" w:rsidP="00C42D86">
      <w:pPr>
        <w:numPr>
          <w:ilvl w:val="0"/>
          <w:numId w:val="2"/>
        </w:numPr>
        <w:ind w:left="284" w:hanging="284"/>
        <w:jc w:val="both"/>
      </w:pPr>
      <w:r w:rsidRPr="001555CA">
        <w:t>η συμμετοχή της Ελλάδας στο επενδυτικό σχέδιο για την Ευρώπη</w:t>
      </w:r>
      <w:r w:rsidRPr="001555CA">
        <w:rPr>
          <w:vertAlign w:val="superscript"/>
        </w:rPr>
        <w:footnoteReference w:id="26"/>
      </w:r>
      <w:r w:rsidR="00BE0153">
        <w:t>,</w:t>
      </w:r>
    </w:p>
    <w:p w:rsidR="00BE0153" w:rsidRPr="001555CA" w:rsidRDefault="00BE0153" w:rsidP="00BE0153">
      <w:pPr>
        <w:ind w:left="284"/>
        <w:jc w:val="both"/>
      </w:pPr>
    </w:p>
    <w:p w:rsidR="001555CA" w:rsidRPr="001555CA" w:rsidRDefault="001555CA" w:rsidP="00C42D86">
      <w:pPr>
        <w:numPr>
          <w:ilvl w:val="0"/>
          <w:numId w:val="2"/>
        </w:numPr>
        <w:ind w:left="284" w:hanging="284"/>
        <w:jc w:val="both"/>
      </w:pPr>
      <w:r w:rsidRPr="001555CA">
        <w:t xml:space="preserve">η </w:t>
      </w:r>
      <w:proofErr w:type="spellStart"/>
      <w:r w:rsidRPr="001555CA">
        <w:t>εμπροσθοβαρής</w:t>
      </w:r>
      <w:proofErr w:type="spellEnd"/>
      <w:r w:rsidRPr="001555CA">
        <w:t xml:space="preserve"> αξιοποίηση των πόρων του ΕΣΠΑ 2014-2020,</w:t>
      </w:r>
    </w:p>
    <w:p w:rsidR="00BE0153" w:rsidRDefault="00BE0153" w:rsidP="00BE0153">
      <w:pPr>
        <w:ind w:left="284"/>
        <w:jc w:val="both"/>
      </w:pPr>
    </w:p>
    <w:p w:rsidR="001555CA" w:rsidRPr="001555CA" w:rsidRDefault="001555CA" w:rsidP="00C42D86">
      <w:pPr>
        <w:numPr>
          <w:ilvl w:val="0"/>
          <w:numId w:val="2"/>
        </w:numPr>
        <w:ind w:left="284" w:hanging="284"/>
        <w:jc w:val="both"/>
      </w:pPr>
      <w:r w:rsidRPr="001555CA">
        <w:t xml:space="preserve">η δημοσιονομική </w:t>
      </w:r>
      <w:proofErr w:type="spellStart"/>
      <w:r w:rsidRPr="001555CA">
        <w:t>υπερ</w:t>
      </w:r>
      <w:proofErr w:type="spellEnd"/>
      <w:r w:rsidRPr="001555CA">
        <w:t>-απόδοση, που συνέβαλε στην αναβάθμιση των προοπτικών της ο</w:t>
      </w:r>
      <w:r w:rsidRPr="001555CA">
        <w:t>ι</w:t>
      </w:r>
      <w:r w:rsidRPr="001555CA">
        <w:t xml:space="preserve">κονομίας από τους διεθνείς οίκους αξιολόγησης τον Ιούλιο του 2017, και έκανε εφικτή την κατάργηση της απόφασης 2009/415/ΕΚ σχετικά με την ύπαρξη υπερβολικού ελλείμματος στην Ελλάδα, </w:t>
      </w:r>
    </w:p>
    <w:p w:rsidR="00BE0153" w:rsidRDefault="00BE0153" w:rsidP="00BE0153">
      <w:pPr>
        <w:ind w:left="284"/>
        <w:jc w:val="both"/>
      </w:pPr>
    </w:p>
    <w:p w:rsidR="001555CA" w:rsidRPr="001555CA" w:rsidRDefault="001555CA" w:rsidP="00C42D86">
      <w:pPr>
        <w:numPr>
          <w:ilvl w:val="0"/>
          <w:numId w:val="2"/>
        </w:numPr>
        <w:ind w:left="284" w:hanging="284"/>
        <w:jc w:val="both"/>
      </w:pPr>
      <w:r w:rsidRPr="001555CA">
        <w:t xml:space="preserve">η δέσμευση των </w:t>
      </w:r>
      <w:r w:rsidR="003E64E6">
        <w:t>θ</w:t>
      </w:r>
      <w:r w:rsidRPr="001555CA">
        <w:t>εσμών ότι θα υποστηρίξουν την Ελλάδα στην ομαλή επιστροφή της στις διεθνείς χρηματοπιστωτικές αγορές, μέσω της δημιουργίας ταμειακών αποθεμάτων κατά τις επόμενες εκταμιεύσεις του προγράμματος στήριξης.</w:t>
      </w:r>
    </w:p>
    <w:p w:rsidR="001555CA" w:rsidRDefault="001555CA" w:rsidP="001555CA">
      <w:pPr>
        <w:jc w:val="both"/>
      </w:pPr>
    </w:p>
    <w:p w:rsidR="001555CA" w:rsidRPr="001555CA" w:rsidRDefault="001555CA" w:rsidP="001555CA">
      <w:pPr>
        <w:jc w:val="both"/>
      </w:pPr>
      <w:r w:rsidRPr="001555CA">
        <w:t>Αυτές οι παράμετροι συντελούν στην ενδυνάμωση της επενδυτικής πίστης, μετατρέποντας τον ακαθάριστο σχηματισμό παγίου κεφαλαίου στο δεύτερο βασικότερο μοχλό ανάπτυξης του τρέχοντος έτους. Συγκεκριμένα, για το 2017 εκτιμάται αύξηση του ακαθάριστου σχημ</w:t>
      </w:r>
      <w:r w:rsidRPr="001555CA">
        <w:t>α</w:t>
      </w:r>
      <w:r w:rsidRPr="001555CA">
        <w:t>τισμού παγίου κεφαλαίου</w:t>
      </w:r>
      <w:r w:rsidR="005C2D49">
        <w:t xml:space="preserve"> </w:t>
      </w:r>
      <w:r w:rsidRPr="001555CA">
        <w:t>κατά 4,3% σε ετήσια βάση, με τη συμμετοχή του στο ΑΕΠ να α</w:t>
      </w:r>
      <w:r w:rsidRPr="001555CA">
        <w:t>υ</w:t>
      </w:r>
      <w:r w:rsidRPr="001555CA">
        <w:t xml:space="preserve">ξάνεται από το 11,4% το 2016 στο 11,7%, έναντι αντίστοιχης μείωσης της συμμετοχής της ιδιωτικής κατανάλωσης στο 69,4%, από 69,9% το 2016. </w:t>
      </w:r>
    </w:p>
    <w:p w:rsidR="001555CA" w:rsidRDefault="001555CA" w:rsidP="001555CA">
      <w:pPr>
        <w:jc w:val="both"/>
      </w:pPr>
    </w:p>
    <w:p w:rsidR="001555CA" w:rsidRPr="001555CA" w:rsidRDefault="001555CA" w:rsidP="001555CA">
      <w:pPr>
        <w:jc w:val="both"/>
      </w:pPr>
      <w:r w:rsidRPr="001555CA">
        <w:t xml:space="preserve">Τέλος, θετική παρότι μικρότερη συμβολή στην ανάπτυξη της οικονομίας (κατά 0,2% του πραγματικού ΑΕΠ) αναμένεται τόσο από το εξωτερικό ισοζύγιο αγαθών και υπηρεσιών, στη </w:t>
      </w:r>
      <w:r w:rsidRPr="001555CA">
        <w:lastRenderedPageBreak/>
        <w:t>βάση της σωρευτικής ανάκαμψης των καθαρών εξαγωγών υπηρεσιών, όσο και από τη δημ</w:t>
      </w:r>
      <w:r w:rsidRPr="001555CA">
        <w:t>ό</w:t>
      </w:r>
      <w:r w:rsidRPr="001555CA">
        <w:t>σια κατανάλωση, μετά από επτά έτη δημοσιονομικής προσαρμογής.</w:t>
      </w:r>
    </w:p>
    <w:p w:rsidR="00D0190E" w:rsidRPr="005C3B7B" w:rsidRDefault="00D0190E" w:rsidP="00FD1707">
      <w:pPr>
        <w:jc w:val="both"/>
      </w:pPr>
    </w:p>
    <w:p w:rsidR="00FD1707" w:rsidRPr="00FD1707" w:rsidRDefault="00FD1707" w:rsidP="00FD1707">
      <w:pPr>
        <w:jc w:val="both"/>
        <w:rPr>
          <w:b/>
          <w:szCs w:val="22"/>
        </w:rPr>
      </w:pPr>
      <w:r w:rsidRPr="003B56EB">
        <w:rPr>
          <w:rFonts w:ascii="Arial Narrow" w:hAnsi="Arial Narrow"/>
          <w:b/>
          <w:bCs/>
          <w:i/>
          <w:sz w:val="22"/>
          <w:szCs w:val="22"/>
        </w:rPr>
        <w:t>Πληθωρισμός</w:t>
      </w:r>
      <w:r w:rsidRPr="00FD1707">
        <w:rPr>
          <w:b/>
          <w:szCs w:val="22"/>
        </w:rPr>
        <w:t xml:space="preserve"> - </w:t>
      </w:r>
      <w:r w:rsidRPr="003B56EB">
        <w:rPr>
          <w:rFonts w:ascii="Arial Narrow" w:hAnsi="Arial Narrow"/>
          <w:b/>
          <w:bCs/>
          <w:i/>
          <w:sz w:val="22"/>
          <w:szCs w:val="22"/>
        </w:rPr>
        <w:t>Τιμές</w:t>
      </w:r>
    </w:p>
    <w:p w:rsidR="00FD1707" w:rsidRDefault="00FD1707" w:rsidP="00FD1707">
      <w:pPr>
        <w:jc w:val="both"/>
        <w:rPr>
          <w:szCs w:val="22"/>
        </w:rPr>
      </w:pPr>
    </w:p>
    <w:p w:rsidR="003D2E4C" w:rsidRPr="003D2E4C" w:rsidRDefault="003D2E4C" w:rsidP="003D2E4C">
      <w:pPr>
        <w:jc w:val="both"/>
        <w:rPr>
          <w:szCs w:val="22"/>
        </w:rPr>
      </w:pPr>
      <w:r w:rsidRPr="003D2E4C">
        <w:rPr>
          <w:szCs w:val="22"/>
        </w:rPr>
        <w:t xml:space="preserve">Έπειτα από την εξασθένιση των αποπληθωριστικών πιέσεων των ετών 2013-2015 </w:t>
      </w:r>
      <w:r w:rsidR="008578AA">
        <w:rPr>
          <w:szCs w:val="22"/>
        </w:rPr>
        <w:t xml:space="preserve">εντός του </w:t>
      </w:r>
      <w:r w:rsidRPr="003D2E4C">
        <w:rPr>
          <w:szCs w:val="22"/>
        </w:rPr>
        <w:t xml:space="preserve"> 2016</w:t>
      </w:r>
      <w:r w:rsidRPr="003D2E4C">
        <w:rPr>
          <w:szCs w:val="22"/>
          <w:vertAlign w:val="superscript"/>
        </w:rPr>
        <w:footnoteReference w:id="27"/>
      </w:r>
      <w:r w:rsidRPr="003D2E4C">
        <w:rPr>
          <w:szCs w:val="22"/>
        </w:rPr>
        <w:t>, από τον Ιανουάριο του 2017 ο ετήσιος ρυθμός πληθωρισμού κατέγραψε απότομη α</w:t>
      </w:r>
      <w:r w:rsidRPr="003D2E4C">
        <w:rPr>
          <w:szCs w:val="22"/>
        </w:rPr>
        <w:t>ύ</w:t>
      </w:r>
      <w:r w:rsidRPr="003D2E4C">
        <w:rPr>
          <w:szCs w:val="22"/>
        </w:rPr>
        <w:t>ξηση, που για την περίοδο Ιανουαρίου</w:t>
      </w:r>
      <w:r w:rsidR="00BE0153">
        <w:rPr>
          <w:szCs w:val="22"/>
        </w:rPr>
        <w:t>-</w:t>
      </w:r>
      <w:r w:rsidRPr="003D2E4C">
        <w:rPr>
          <w:szCs w:val="22"/>
        </w:rPr>
        <w:t>Μαΐου ανήλθε στο +1,6% κατά μέσο όρο βάσει του Εναρμονισμένου Δείκτη Τιμών Καταναλωτή (ΔΤΚ). Έκτοτε, η εξομάλυνση της αύξησης των τιμών, στο 0,8% κατά μέσο όρο μεταξύ Ιουνίου και Αυγούστου, διαμόρφωσε το μέσο ετήσιο ρυθμό πληθωρισμού του πρώτου οκταμήνου 2017 ελαφρώς χαμηλότερα, στο 1,3%.</w:t>
      </w:r>
    </w:p>
    <w:p w:rsidR="003D2E4C" w:rsidRDefault="003D2E4C" w:rsidP="003D2E4C">
      <w:pPr>
        <w:jc w:val="both"/>
        <w:rPr>
          <w:szCs w:val="22"/>
        </w:rPr>
      </w:pPr>
    </w:p>
    <w:p w:rsidR="003D2E4C" w:rsidRPr="003D2E4C" w:rsidRDefault="003D2E4C" w:rsidP="003D2E4C">
      <w:pPr>
        <w:jc w:val="both"/>
        <w:rPr>
          <w:szCs w:val="22"/>
        </w:rPr>
      </w:pPr>
      <w:r w:rsidRPr="003D2E4C">
        <w:rPr>
          <w:szCs w:val="22"/>
        </w:rPr>
        <w:t>Οι κύριοι λόγοι της απότομης αύξησης του επιπέδου τιμών αφορούν, αφενός, στην άνοδο της διεθνούς τιμής του πετρελαίου, που ξεκίνησε τον Οκτώβριο του 2016 και εντάθηκε τον Δ</w:t>
      </w:r>
      <w:r w:rsidRPr="003D2E4C">
        <w:rPr>
          <w:szCs w:val="22"/>
        </w:rPr>
        <w:t>ε</w:t>
      </w:r>
      <w:r w:rsidRPr="003D2E4C">
        <w:rPr>
          <w:szCs w:val="22"/>
        </w:rPr>
        <w:t>κέμβριο του ίδιου έτους σε συνέχεια της απόφασης του ΟΠΕΚ για μείωση της προσφερόμ</w:t>
      </w:r>
      <w:r w:rsidRPr="003D2E4C">
        <w:rPr>
          <w:szCs w:val="22"/>
        </w:rPr>
        <w:t>ε</w:t>
      </w:r>
      <w:r w:rsidRPr="003D2E4C">
        <w:rPr>
          <w:szCs w:val="22"/>
        </w:rPr>
        <w:t xml:space="preserve">νης </w:t>
      </w:r>
      <w:r w:rsidR="008578AA">
        <w:rPr>
          <w:szCs w:val="22"/>
        </w:rPr>
        <w:t>ποσότητας</w:t>
      </w:r>
      <w:r w:rsidRPr="003D2E4C">
        <w:rPr>
          <w:szCs w:val="22"/>
        </w:rPr>
        <w:t xml:space="preserve"> πετρελαίου, τον Νοέμβριο του 2016</w:t>
      </w:r>
      <w:r w:rsidRPr="003D2E4C">
        <w:rPr>
          <w:szCs w:val="22"/>
          <w:vertAlign w:val="superscript"/>
        </w:rPr>
        <w:footnoteReference w:id="28"/>
      </w:r>
      <w:r w:rsidRPr="003D2E4C">
        <w:rPr>
          <w:szCs w:val="22"/>
        </w:rPr>
        <w:t>. Αφετέρου, το επίπεδο των τιμών επ</w:t>
      </w:r>
      <w:r w:rsidRPr="003D2E4C">
        <w:rPr>
          <w:szCs w:val="22"/>
        </w:rPr>
        <w:t>η</w:t>
      </w:r>
      <w:r w:rsidRPr="003D2E4C">
        <w:rPr>
          <w:szCs w:val="22"/>
        </w:rPr>
        <w:t>ρεάστηκε από την αύξηση του βασικού συντελεστή ΦΠΑ</w:t>
      </w:r>
      <w:r w:rsidR="008578AA">
        <w:rPr>
          <w:szCs w:val="22"/>
        </w:rPr>
        <w:t xml:space="preserve"> στο 24%, τον Ιούνιο 2016, και από </w:t>
      </w:r>
      <w:r w:rsidRPr="003D2E4C">
        <w:rPr>
          <w:szCs w:val="22"/>
        </w:rPr>
        <w:t xml:space="preserve">τις αυξήσεις σε ορισμένους ειδικούς φόρους κατανάλωσης, όπως το πετρέλαιο θέρμανσης </w:t>
      </w:r>
      <w:r w:rsidR="008578AA">
        <w:rPr>
          <w:szCs w:val="22"/>
        </w:rPr>
        <w:t>(</w:t>
      </w:r>
      <w:r w:rsidRPr="003D2E4C">
        <w:rPr>
          <w:szCs w:val="22"/>
        </w:rPr>
        <w:t>Οκτώβριο</w:t>
      </w:r>
      <w:r w:rsidR="008578AA">
        <w:rPr>
          <w:szCs w:val="22"/>
        </w:rPr>
        <w:t>ς</w:t>
      </w:r>
      <w:r w:rsidRPr="003D2E4C">
        <w:rPr>
          <w:szCs w:val="22"/>
        </w:rPr>
        <w:t xml:space="preserve"> 2016</w:t>
      </w:r>
      <w:r w:rsidR="008578AA">
        <w:rPr>
          <w:szCs w:val="22"/>
        </w:rPr>
        <w:t>)</w:t>
      </w:r>
      <w:r w:rsidRPr="003D2E4C">
        <w:rPr>
          <w:szCs w:val="22"/>
        </w:rPr>
        <w:t>, ο καφές, ο</w:t>
      </w:r>
      <w:r w:rsidR="008578AA">
        <w:rPr>
          <w:szCs w:val="22"/>
        </w:rPr>
        <w:t xml:space="preserve"> καπνός και η σταθερή τηλεφωνία</w:t>
      </w:r>
      <w:r w:rsidRPr="003D2E4C">
        <w:rPr>
          <w:szCs w:val="22"/>
        </w:rPr>
        <w:t xml:space="preserve"> </w:t>
      </w:r>
      <w:r w:rsidR="008578AA">
        <w:rPr>
          <w:szCs w:val="22"/>
        </w:rPr>
        <w:t>(</w:t>
      </w:r>
      <w:r w:rsidRPr="003D2E4C">
        <w:rPr>
          <w:szCs w:val="22"/>
        </w:rPr>
        <w:t>Ιανουάριο</w:t>
      </w:r>
      <w:r w:rsidR="008578AA">
        <w:rPr>
          <w:szCs w:val="22"/>
        </w:rPr>
        <w:t>ς</w:t>
      </w:r>
      <w:r w:rsidRPr="003D2E4C">
        <w:rPr>
          <w:szCs w:val="22"/>
        </w:rPr>
        <w:t xml:space="preserve"> 2017</w:t>
      </w:r>
      <w:r w:rsidR="008578AA">
        <w:rPr>
          <w:szCs w:val="22"/>
        </w:rPr>
        <w:t>)</w:t>
      </w:r>
      <w:r w:rsidRPr="003D2E4C">
        <w:rPr>
          <w:szCs w:val="22"/>
        </w:rPr>
        <w:t>.</w:t>
      </w:r>
      <w:r w:rsidR="005C2D49">
        <w:rPr>
          <w:szCs w:val="22"/>
        </w:rPr>
        <w:t xml:space="preserve"> </w:t>
      </w:r>
    </w:p>
    <w:p w:rsidR="003D2E4C" w:rsidRDefault="003D2E4C" w:rsidP="003D2E4C">
      <w:pPr>
        <w:jc w:val="both"/>
        <w:rPr>
          <w:szCs w:val="22"/>
        </w:rPr>
      </w:pPr>
    </w:p>
    <w:p w:rsidR="003D2E4C" w:rsidRPr="003D2E4C" w:rsidRDefault="003D2E4C" w:rsidP="003D2E4C">
      <w:pPr>
        <w:jc w:val="both"/>
        <w:rPr>
          <w:szCs w:val="22"/>
        </w:rPr>
      </w:pPr>
      <w:r w:rsidRPr="003D2E4C">
        <w:rPr>
          <w:szCs w:val="22"/>
        </w:rPr>
        <w:t xml:space="preserve">Δεδομένων αυτών των επιδράσεων, στο σύνολο του 2017 ο ρυθμός πληθωρισμού </w:t>
      </w:r>
      <w:r w:rsidR="008578AA">
        <w:rPr>
          <w:szCs w:val="22"/>
        </w:rPr>
        <w:t xml:space="preserve">σε ετήσια βάση </w:t>
      </w:r>
      <w:r w:rsidRPr="003D2E4C">
        <w:rPr>
          <w:szCs w:val="22"/>
        </w:rPr>
        <w:t>αναμένεται να παραμείνει κοντά</w:t>
      </w:r>
      <w:r w:rsidR="00C024E4">
        <w:rPr>
          <w:szCs w:val="22"/>
        </w:rPr>
        <w:t xml:space="preserve"> στο επίπεδο που διαμορφώνεται έω</w:t>
      </w:r>
      <w:r w:rsidRPr="003D2E4C">
        <w:rPr>
          <w:szCs w:val="22"/>
        </w:rPr>
        <w:t>ς σήμερα, και συ</w:t>
      </w:r>
      <w:r w:rsidRPr="003D2E4C">
        <w:rPr>
          <w:szCs w:val="22"/>
        </w:rPr>
        <w:t>γ</w:t>
      </w:r>
      <w:r w:rsidRPr="003D2E4C">
        <w:rPr>
          <w:szCs w:val="22"/>
        </w:rPr>
        <w:t xml:space="preserve">κεκριμένα στο </w:t>
      </w:r>
      <w:r w:rsidR="008578AA">
        <w:rPr>
          <w:szCs w:val="22"/>
        </w:rPr>
        <w:t xml:space="preserve">ύψους του </w:t>
      </w:r>
      <w:r w:rsidRPr="003D2E4C">
        <w:rPr>
          <w:szCs w:val="22"/>
        </w:rPr>
        <w:t xml:space="preserve">1,2% βάσει </w:t>
      </w:r>
      <w:r w:rsidR="00C024E4">
        <w:rPr>
          <w:szCs w:val="22"/>
        </w:rPr>
        <w:t xml:space="preserve">του </w:t>
      </w:r>
      <w:r w:rsidRPr="003D2E4C">
        <w:rPr>
          <w:szCs w:val="22"/>
        </w:rPr>
        <w:t xml:space="preserve">εναρμονισμένου ΔΤΚ. </w:t>
      </w:r>
    </w:p>
    <w:p w:rsidR="003D2E4C" w:rsidRDefault="003D2E4C" w:rsidP="003D2E4C">
      <w:pPr>
        <w:jc w:val="both"/>
        <w:rPr>
          <w:szCs w:val="22"/>
        </w:rPr>
      </w:pPr>
    </w:p>
    <w:p w:rsidR="003D2E4C" w:rsidRPr="003D2E4C" w:rsidRDefault="003D2E4C" w:rsidP="003D2E4C">
      <w:pPr>
        <w:jc w:val="both"/>
        <w:rPr>
          <w:szCs w:val="22"/>
        </w:rPr>
      </w:pPr>
      <w:r w:rsidRPr="003D2E4C">
        <w:rPr>
          <w:szCs w:val="22"/>
        </w:rPr>
        <w:t xml:space="preserve">Από την ανάλυση του Εθνικού ΔΤΚ, οι μεγαλύτερες αυξήσεις που παρατηρούνται το πρώτο οκτάμηνο του 2017 είναι στον τομέα των οπωροκηπευτικών (6,1%) και στον τομέα </w:t>
      </w:r>
      <w:r w:rsidR="00C024E4">
        <w:rPr>
          <w:szCs w:val="22"/>
        </w:rPr>
        <w:t xml:space="preserve">των </w:t>
      </w:r>
      <w:r w:rsidRPr="003D2E4C">
        <w:rPr>
          <w:szCs w:val="22"/>
        </w:rPr>
        <w:t>κα</w:t>
      </w:r>
      <w:r w:rsidRPr="003D2E4C">
        <w:rPr>
          <w:szCs w:val="22"/>
        </w:rPr>
        <w:t>υ</w:t>
      </w:r>
      <w:r w:rsidRPr="003D2E4C">
        <w:rPr>
          <w:szCs w:val="22"/>
        </w:rPr>
        <w:t xml:space="preserve">σίμων (13,4%). </w:t>
      </w:r>
      <w:r w:rsidR="00C024E4">
        <w:rPr>
          <w:szCs w:val="22"/>
        </w:rPr>
        <w:t xml:space="preserve">Οι αυξήσεις αυτές αιτιολογούν </w:t>
      </w:r>
      <w:r w:rsidRPr="003D2E4C">
        <w:rPr>
          <w:szCs w:val="22"/>
        </w:rPr>
        <w:t>τη μεγάλη προς τα κάτω απόκλιση του δομ</w:t>
      </w:r>
      <w:r w:rsidRPr="003D2E4C">
        <w:rPr>
          <w:szCs w:val="22"/>
        </w:rPr>
        <w:t>ι</w:t>
      </w:r>
      <w:r w:rsidRPr="003D2E4C">
        <w:rPr>
          <w:szCs w:val="22"/>
        </w:rPr>
        <w:t>κού πληθωρισμού από τον Εθνικό ΔΤΚ (0,1% έναντι 1,2%, αντίστοιχα). Τέλος, οι τομείς των αγαθών και των υπηρεσιών κυμαίνονται κοντά στο</w:t>
      </w:r>
      <w:r w:rsidR="00C024E4">
        <w:rPr>
          <w:szCs w:val="22"/>
        </w:rPr>
        <w:t xml:space="preserve">ν </w:t>
      </w:r>
      <w:r w:rsidR="00872C81">
        <w:rPr>
          <w:szCs w:val="22"/>
        </w:rPr>
        <w:t xml:space="preserve">Εθνικό </w:t>
      </w:r>
      <w:r w:rsidR="00C024E4">
        <w:rPr>
          <w:szCs w:val="22"/>
        </w:rPr>
        <w:t>ΔΤΚ</w:t>
      </w:r>
      <w:r w:rsidRPr="003D2E4C">
        <w:rPr>
          <w:szCs w:val="22"/>
        </w:rPr>
        <w:t xml:space="preserve"> στο οκτάμηνο</w:t>
      </w:r>
      <w:r w:rsidR="00872C81">
        <w:rPr>
          <w:szCs w:val="22"/>
        </w:rPr>
        <w:t xml:space="preserve"> του 2017</w:t>
      </w:r>
      <w:r w:rsidRPr="003D2E4C">
        <w:rPr>
          <w:szCs w:val="22"/>
        </w:rPr>
        <w:t>.</w:t>
      </w:r>
    </w:p>
    <w:p w:rsidR="003D2E4C" w:rsidRDefault="003D2E4C" w:rsidP="003D2E4C">
      <w:pPr>
        <w:jc w:val="both"/>
        <w:rPr>
          <w:szCs w:val="22"/>
        </w:rPr>
      </w:pPr>
    </w:p>
    <w:p w:rsidR="003D2E4C" w:rsidRPr="003D2E4C" w:rsidRDefault="003D2E4C" w:rsidP="003D2E4C">
      <w:pPr>
        <w:jc w:val="both"/>
        <w:rPr>
          <w:szCs w:val="22"/>
        </w:rPr>
      </w:pPr>
      <w:r w:rsidRPr="003D2E4C">
        <w:rPr>
          <w:szCs w:val="22"/>
        </w:rPr>
        <w:t xml:space="preserve">Οι παραπάνω εξελίξεις αποτυπώνονται και στον </w:t>
      </w:r>
      <w:proofErr w:type="spellStart"/>
      <w:r w:rsidRPr="003D2E4C">
        <w:rPr>
          <w:szCs w:val="22"/>
        </w:rPr>
        <w:t>αποπληθωριστή</w:t>
      </w:r>
      <w:proofErr w:type="spellEnd"/>
      <w:r w:rsidRPr="003D2E4C">
        <w:rPr>
          <w:szCs w:val="22"/>
        </w:rPr>
        <w:t xml:space="preserve"> της ιδιωτικής κατανάλωσης (+1,2% στο πρώτο εξάμηνο 2017 σε εποχικά διορθωμένα στοιχεία), αλλά και στους πολύ υψηλούς ρυθμούς πληθωρισμού στις εξαγωγές και τις εισαγωγές αγαθών εντός του ίδιου δ</w:t>
      </w:r>
      <w:r w:rsidRPr="003D2E4C">
        <w:rPr>
          <w:szCs w:val="22"/>
        </w:rPr>
        <w:t>ι</w:t>
      </w:r>
      <w:r w:rsidRPr="003D2E4C">
        <w:rPr>
          <w:szCs w:val="22"/>
        </w:rPr>
        <w:t xml:space="preserve">αστήματος (7,1% και 7,8%, αντίστοιχα). </w:t>
      </w:r>
      <w:r w:rsidR="00872C81">
        <w:rPr>
          <w:szCs w:val="22"/>
        </w:rPr>
        <w:t>Εξαιτίας</w:t>
      </w:r>
      <w:r w:rsidRPr="003D2E4C">
        <w:rPr>
          <w:szCs w:val="22"/>
        </w:rPr>
        <w:t xml:space="preserve"> των καθοδικών πιέσεων στους </w:t>
      </w:r>
      <w:proofErr w:type="spellStart"/>
      <w:r w:rsidRPr="003D2E4C">
        <w:rPr>
          <w:szCs w:val="22"/>
        </w:rPr>
        <w:t>αποπληθ</w:t>
      </w:r>
      <w:r w:rsidRPr="003D2E4C">
        <w:rPr>
          <w:szCs w:val="22"/>
        </w:rPr>
        <w:t>ω</w:t>
      </w:r>
      <w:r w:rsidRPr="003D2E4C">
        <w:rPr>
          <w:szCs w:val="22"/>
        </w:rPr>
        <w:t>ριστές</w:t>
      </w:r>
      <w:proofErr w:type="spellEnd"/>
      <w:r w:rsidRPr="003D2E4C">
        <w:rPr>
          <w:szCs w:val="22"/>
        </w:rPr>
        <w:t xml:space="preserve"> δημόσιας κατανάλωσης, επενδύσεων και εξωτερικού τομέα στο δεύτερο τρίμηνο του 2017, ο </w:t>
      </w:r>
      <w:proofErr w:type="spellStart"/>
      <w:r w:rsidRPr="003D2E4C">
        <w:rPr>
          <w:szCs w:val="22"/>
        </w:rPr>
        <w:t>αποπληθωριστής</w:t>
      </w:r>
      <w:proofErr w:type="spellEnd"/>
      <w:r w:rsidRPr="003D2E4C">
        <w:rPr>
          <w:szCs w:val="22"/>
        </w:rPr>
        <w:t xml:space="preserve"> του ΑΕΠ στο σύνολο εξαμήνου αυξήθηκε οριακά μόνο, κατά 0,1% σε ετήσια βάση.</w:t>
      </w:r>
    </w:p>
    <w:p w:rsidR="004F2246" w:rsidRPr="00905F63" w:rsidRDefault="004F2246" w:rsidP="00FD1707">
      <w:pPr>
        <w:jc w:val="both"/>
        <w:rPr>
          <w:szCs w:val="22"/>
        </w:rPr>
      </w:pPr>
    </w:p>
    <w:p w:rsidR="00FD1707" w:rsidRPr="00A13945" w:rsidRDefault="00FD1707" w:rsidP="00FD1707">
      <w:pPr>
        <w:jc w:val="both"/>
        <w:rPr>
          <w:rFonts w:ascii="Arial Narrow" w:hAnsi="Arial Narrow"/>
          <w:b/>
          <w:i/>
          <w:szCs w:val="22"/>
        </w:rPr>
      </w:pPr>
      <w:r w:rsidRPr="00497E3F">
        <w:rPr>
          <w:rFonts w:ascii="Arial Narrow" w:hAnsi="Arial Narrow"/>
          <w:b/>
          <w:bCs/>
          <w:i/>
          <w:sz w:val="22"/>
          <w:szCs w:val="22"/>
        </w:rPr>
        <w:t>Απασχόληση</w:t>
      </w:r>
      <w:r w:rsidRPr="00497E3F">
        <w:rPr>
          <w:b/>
          <w:i/>
          <w:szCs w:val="22"/>
        </w:rPr>
        <w:t xml:space="preserve"> - </w:t>
      </w:r>
      <w:r w:rsidRPr="00A13945">
        <w:rPr>
          <w:rFonts w:ascii="Arial Narrow" w:hAnsi="Arial Narrow"/>
          <w:b/>
          <w:bCs/>
          <w:i/>
          <w:sz w:val="22"/>
          <w:szCs w:val="22"/>
        </w:rPr>
        <w:t>Α</w:t>
      </w:r>
      <w:r w:rsidRPr="00A13945">
        <w:rPr>
          <w:rFonts w:ascii="Arial Narrow" w:hAnsi="Arial Narrow"/>
          <w:b/>
          <w:i/>
          <w:szCs w:val="22"/>
        </w:rPr>
        <w:t>νεργία</w:t>
      </w:r>
    </w:p>
    <w:p w:rsidR="00FD1707" w:rsidRPr="005C3B7B" w:rsidRDefault="00FD1707" w:rsidP="005E56B1">
      <w:pPr>
        <w:jc w:val="both"/>
        <w:rPr>
          <w:szCs w:val="22"/>
        </w:rPr>
      </w:pPr>
    </w:p>
    <w:p w:rsidR="00102031" w:rsidRPr="00102031" w:rsidRDefault="00102031" w:rsidP="00102031">
      <w:pPr>
        <w:jc w:val="both"/>
        <w:rPr>
          <w:szCs w:val="22"/>
        </w:rPr>
      </w:pPr>
      <w:r w:rsidRPr="00102031">
        <w:rPr>
          <w:szCs w:val="22"/>
        </w:rPr>
        <w:t>Σε συνέχεια</w:t>
      </w:r>
      <w:r w:rsidR="008578AA">
        <w:rPr>
          <w:szCs w:val="22"/>
        </w:rPr>
        <w:t xml:space="preserve"> της</w:t>
      </w:r>
      <w:r w:rsidRPr="00102031">
        <w:rPr>
          <w:szCs w:val="22"/>
        </w:rPr>
        <w:t xml:space="preserve"> </w:t>
      </w:r>
      <w:r w:rsidR="008578AA" w:rsidRPr="00102031">
        <w:rPr>
          <w:szCs w:val="22"/>
        </w:rPr>
        <w:t>βελτίωσης της απασχόλησης</w:t>
      </w:r>
      <w:r w:rsidR="008578AA" w:rsidRPr="00102031">
        <w:rPr>
          <w:szCs w:val="22"/>
          <w:vertAlign w:val="superscript"/>
        </w:rPr>
        <w:footnoteReference w:id="29"/>
      </w:r>
      <w:r w:rsidR="008578AA">
        <w:rPr>
          <w:szCs w:val="22"/>
        </w:rPr>
        <w:t xml:space="preserve"> κατά τη διάρκεια </w:t>
      </w:r>
      <w:r w:rsidRPr="00102031">
        <w:rPr>
          <w:szCs w:val="22"/>
        </w:rPr>
        <w:t>των τριών προηγούμενων ετών</w:t>
      </w:r>
      <w:r w:rsidR="008578AA">
        <w:rPr>
          <w:szCs w:val="22"/>
        </w:rPr>
        <w:t>,</w:t>
      </w:r>
      <w:r w:rsidRPr="00102031">
        <w:rPr>
          <w:szCs w:val="22"/>
        </w:rPr>
        <w:t xml:space="preserve"> ο αριθμός των απασχολούμενων συνέχισε να αυξάνεται στο πρώτο εξάμηνο του 2017, αν και με επιβραδυμένο ρυθμό έναντι του πρώτου εξαμήνου του 2016 (1,9% έναντι 2,5%). </w:t>
      </w:r>
    </w:p>
    <w:p w:rsidR="00102031" w:rsidRDefault="00102031" w:rsidP="00102031">
      <w:pPr>
        <w:jc w:val="both"/>
        <w:rPr>
          <w:szCs w:val="22"/>
        </w:rPr>
      </w:pPr>
    </w:p>
    <w:p w:rsidR="00102031" w:rsidRPr="00102031" w:rsidRDefault="00102031" w:rsidP="00102031">
      <w:pPr>
        <w:jc w:val="both"/>
        <w:rPr>
          <w:szCs w:val="22"/>
        </w:rPr>
      </w:pPr>
      <w:r w:rsidRPr="00102031">
        <w:rPr>
          <w:szCs w:val="22"/>
        </w:rPr>
        <w:lastRenderedPageBreak/>
        <w:t>Ανάλογη πορεία βελτίωσης καταγράφεται στο ποσοστό της ανεργίας, που υποχώρησε κατά 1,8 εκατοστιαίες μονάδες το πρώτο εξάμηνο του 2017, στο 22,2% του εργατικού δυναμικού, έπειτα από αντίστοιχη σωρευτική μείωση κατά 3,0 μονάδες τη διετία 2015-2016. Επίσης θ</w:t>
      </w:r>
      <w:r w:rsidRPr="00102031">
        <w:rPr>
          <w:szCs w:val="22"/>
        </w:rPr>
        <w:t>ε</w:t>
      </w:r>
      <w:r w:rsidRPr="00102031">
        <w:rPr>
          <w:szCs w:val="22"/>
        </w:rPr>
        <w:t xml:space="preserve">τικό είναι το γεγονός ότι στο τρέχον έτος η ανεργία των νέων μειώνεται με ταχύτερο ρυθμό έναντι του πρώτου εξαμήνου του προηγούμενου </w:t>
      </w:r>
      <w:r w:rsidR="00872C81">
        <w:rPr>
          <w:szCs w:val="22"/>
        </w:rPr>
        <w:t>έτους και συγκεκριμένα</w:t>
      </w:r>
      <w:r w:rsidRPr="00102031">
        <w:rPr>
          <w:szCs w:val="22"/>
        </w:rPr>
        <w:t>, κατά 4,7</w:t>
      </w:r>
      <w:r w:rsidR="008578AA">
        <w:rPr>
          <w:szCs w:val="22"/>
        </w:rPr>
        <w:t>%</w:t>
      </w:r>
      <w:r w:rsidRPr="00102031">
        <w:rPr>
          <w:szCs w:val="22"/>
        </w:rPr>
        <w:t xml:space="preserve"> το 2017 έναντι 0,7</w:t>
      </w:r>
      <w:r w:rsidR="008578AA">
        <w:rPr>
          <w:szCs w:val="22"/>
        </w:rPr>
        <w:t>%</w:t>
      </w:r>
      <w:r w:rsidRPr="00102031">
        <w:rPr>
          <w:szCs w:val="22"/>
        </w:rPr>
        <w:t xml:space="preserve"> το 2016. </w:t>
      </w:r>
    </w:p>
    <w:p w:rsidR="00102031" w:rsidRDefault="00102031" w:rsidP="00102031">
      <w:pPr>
        <w:jc w:val="both"/>
        <w:rPr>
          <w:szCs w:val="22"/>
        </w:rPr>
      </w:pPr>
    </w:p>
    <w:p w:rsidR="00102031" w:rsidRPr="00102031" w:rsidRDefault="00102031" w:rsidP="00102031">
      <w:pPr>
        <w:jc w:val="both"/>
        <w:rPr>
          <w:szCs w:val="22"/>
        </w:rPr>
      </w:pPr>
      <w:r w:rsidRPr="00102031">
        <w:rPr>
          <w:szCs w:val="22"/>
        </w:rPr>
        <w:t>Στον αντίποδα των παραπάνω εξελίξεων, η αύξηση των θέσεων πλήρους απασχόλησης ως ποσοστό συμμετοχής στην αύξηση της συνολικής απασχόλησης που σημειώθηκε κατά το πρώτο εξάμηνο του 2017</w:t>
      </w:r>
      <w:r w:rsidRPr="00102031">
        <w:rPr>
          <w:szCs w:val="22"/>
          <w:vertAlign w:val="superscript"/>
        </w:rPr>
        <w:footnoteReference w:id="30"/>
      </w:r>
      <w:r w:rsidRPr="00102031">
        <w:rPr>
          <w:szCs w:val="22"/>
        </w:rPr>
        <w:t xml:space="preserve"> ήταν μικρότερη έναντι του πρώτου εξαμήνου του 2016 (69,3% έναντι 89,2%), με τη μερική απασχόληση να κερδίζει έδαφος μεταξύ τέταρτου τριμήνου 2016 και πρώτου τριμήνου 2017 για πρώτη φορά μετά το 2014</w:t>
      </w:r>
      <w:r w:rsidRPr="00102031">
        <w:rPr>
          <w:szCs w:val="22"/>
          <w:vertAlign w:val="superscript"/>
        </w:rPr>
        <w:footnoteReference w:id="31"/>
      </w:r>
      <w:r w:rsidR="00872C81">
        <w:rPr>
          <w:szCs w:val="22"/>
        </w:rPr>
        <w:t>.</w:t>
      </w:r>
      <w:r w:rsidRPr="00102031">
        <w:rPr>
          <w:szCs w:val="22"/>
        </w:rPr>
        <w:t xml:space="preserve"> </w:t>
      </w:r>
      <w:r w:rsidR="00872C81">
        <w:rPr>
          <w:szCs w:val="22"/>
        </w:rPr>
        <w:t>Επιπλέον</w:t>
      </w:r>
      <w:r w:rsidRPr="00102031">
        <w:rPr>
          <w:szCs w:val="22"/>
        </w:rPr>
        <w:t>, η μακροχρόνια ανε</w:t>
      </w:r>
      <w:r w:rsidRPr="00102031">
        <w:rPr>
          <w:szCs w:val="22"/>
        </w:rPr>
        <w:t>ρ</w:t>
      </w:r>
      <w:r w:rsidRPr="00102031">
        <w:rPr>
          <w:szCs w:val="22"/>
        </w:rPr>
        <w:t>γία, που αποτελεί ένδειξη της διαρθρωτικής φύσης της συνολικής ανεργίας, δίνει μεν σημάδια βαθμιαίας υποχώρησης σε απόλυτους αριθμούς (στις 766 χιλιάδες άτομα στο πρώτο εξάμηνο 2017 έναντι 821 χιλιάδων στο πρώτο εξάμηνο του 2016), με τον ρυθμό υποχώρησής της όμως να υπολείπεται του ρυθμού μείωσης της συνολικής ανεργίας στο δεύτερο τρίμηνο του 2017. Ως αποτέλεσμα, το ποσοστό των μακροχρόνιων ανέργων επί της συνολικής ανεργίας αυξ</w:t>
      </w:r>
      <w:r w:rsidRPr="00102031">
        <w:rPr>
          <w:szCs w:val="22"/>
        </w:rPr>
        <w:t>ή</w:t>
      </w:r>
      <w:r w:rsidRPr="00102031">
        <w:rPr>
          <w:szCs w:val="22"/>
        </w:rPr>
        <w:t xml:space="preserve">θηκε </w:t>
      </w:r>
      <w:r w:rsidR="00872C81">
        <w:rPr>
          <w:szCs w:val="22"/>
        </w:rPr>
        <w:t>οριακά</w:t>
      </w:r>
      <w:r w:rsidRPr="00102031">
        <w:rPr>
          <w:szCs w:val="22"/>
        </w:rPr>
        <w:t xml:space="preserve"> στο πρώτο εξάμηνο του 2017 (στο 71,8% του ανέργων έναντι 71,2% αντίστο</w:t>
      </w:r>
      <w:r w:rsidRPr="00102031">
        <w:rPr>
          <w:szCs w:val="22"/>
        </w:rPr>
        <w:t>ι</w:t>
      </w:r>
      <w:r w:rsidRPr="00102031">
        <w:rPr>
          <w:szCs w:val="22"/>
        </w:rPr>
        <w:t>χα).</w:t>
      </w:r>
    </w:p>
    <w:p w:rsidR="00102031" w:rsidRDefault="00102031" w:rsidP="00102031">
      <w:pPr>
        <w:jc w:val="both"/>
        <w:rPr>
          <w:szCs w:val="22"/>
        </w:rPr>
      </w:pPr>
    </w:p>
    <w:p w:rsidR="00102031" w:rsidRPr="00102031" w:rsidRDefault="00102031" w:rsidP="00102031">
      <w:pPr>
        <w:jc w:val="both"/>
        <w:rPr>
          <w:szCs w:val="22"/>
        </w:rPr>
      </w:pPr>
      <w:r w:rsidRPr="00102031">
        <w:rPr>
          <w:szCs w:val="22"/>
        </w:rPr>
        <w:t xml:space="preserve">Τέλος, όσον αφορά τη διάρθρωση της απασχόλησης στους τομείς παραγωγής, διατηρείται η </w:t>
      </w:r>
      <w:r w:rsidR="00041061">
        <w:rPr>
          <w:szCs w:val="22"/>
        </w:rPr>
        <w:t>επικράτηση</w:t>
      </w:r>
      <w:r w:rsidRPr="00102031">
        <w:rPr>
          <w:szCs w:val="22"/>
        </w:rPr>
        <w:t xml:space="preserve"> του τριτογενή τομέα, ο οποίος το 2016 απασχολούσε το 72,4% τ</w:t>
      </w:r>
      <w:r w:rsidR="00AA7394">
        <w:rPr>
          <w:szCs w:val="22"/>
        </w:rPr>
        <w:t>ου συνόλου των</w:t>
      </w:r>
      <w:r w:rsidRPr="00102031">
        <w:rPr>
          <w:szCs w:val="22"/>
        </w:rPr>
        <w:t xml:space="preserve"> απασχολούμενων. Στο πρώτο εξάμηνο του 2017, καταγράφονται αυξήσεις </w:t>
      </w:r>
      <w:r w:rsidR="00AA7394">
        <w:rPr>
          <w:szCs w:val="22"/>
        </w:rPr>
        <w:t>του αριθμού</w:t>
      </w:r>
      <w:r w:rsidRPr="00102031">
        <w:rPr>
          <w:szCs w:val="22"/>
        </w:rPr>
        <w:t xml:space="preserve"> των απασχολούμενων τόσο στο δευτερογενή τομέα (+2,4% έναντι του πρώτου εξαμήνου του 2016) όσο και στον τριτογενή τομέα (+2,3% αντίστοιχα), σε αντίθεση με τη μείωση στον πρωτογενή τομέα (-0,9% σε ετήσια βάση). </w:t>
      </w:r>
    </w:p>
    <w:p w:rsidR="00102031" w:rsidRDefault="00102031" w:rsidP="006F02A5">
      <w:pPr>
        <w:jc w:val="both"/>
        <w:rPr>
          <w:szCs w:val="22"/>
        </w:rPr>
      </w:pPr>
    </w:p>
    <w:p w:rsidR="00CF046D" w:rsidRPr="00BB7262" w:rsidRDefault="00CF046D" w:rsidP="00CF046D">
      <w:pPr>
        <w:jc w:val="both"/>
        <w:rPr>
          <w:rFonts w:ascii="Arial Narrow" w:hAnsi="Arial Narrow"/>
          <w:b/>
          <w:bCs/>
          <w:i/>
          <w:sz w:val="22"/>
          <w:szCs w:val="22"/>
        </w:rPr>
      </w:pPr>
      <w:r w:rsidRPr="00BB7262">
        <w:rPr>
          <w:rFonts w:ascii="Arial Narrow" w:hAnsi="Arial Narrow"/>
          <w:b/>
          <w:bCs/>
          <w:i/>
          <w:sz w:val="22"/>
          <w:szCs w:val="22"/>
        </w:rPr>
        <w:t>Νομισματικές και πιστωτικές εξελίξεις</w:t>
      </w:r>
      <w:r>
        <w:rPr>
          <w:rFonts w:ascii="Arial Narrow" w:hAnsi="Arial Narrow"/>
          <w:b/>
          <w:bCs/>
          <w:i/>
          <w:sz w:val="22"/>
          <w:szCs w:val="22"/>
        </w:rPr>
        <w:t xml:space="preserve"> στην Ελλάδα</w:t>
      </w:r>
    </w:p>
    <w:p w:rsidR="00CF046D" w:rsidRDefault="00CF046D" w:rsidP="006F02A5">
      <w:pPr>
        <w:jc w:val="both"/>
        <w:rPr>
          <w:szCs w:val="22"/>
        </w:rPr>
      </w:pPr>
    </w:p>
    <w:p w:rsidR="00A544A7" w:rsidRPr="00A544A7" w:rsidRDefault="00A544A7" w:rsidP="00A544A7">
      <w:pPr>
        <w:jc w:val="both"/>
        <w:rPr>
          <w:szCs w:val="22"/>
        </w:rPr>
      </w:pPr>
      <w:r w:rsidRPr="00A544A7">
        <w:rPr>
          <w:szCs w:val="22"/>
        </w:rPr>
        <w:t xml:space="preserve">Το σύνολο των εγχώριων καταθέσεων που κατ’ </w:t>
      </w:r>
      <w:proofErr w:type="spellStart"/>
      <w:r w:rsidRPr="00A544A7">
        <w:rPr>
          <w:szCs w:val="22"/>
        </w:rPr>
        <w:t>ουσίαν</w:t>
      </w:r>
      <w:proofErr w:type="spellEnd"/>
      <w:r w:rsidRPr="00A544A7">
        <w:rPr>
          <w:szCs w:val="22"/>
        </w:rPr>
        <w:t xml:space="preserve"> συνιστ</w:t>
      </w:r>
      <w:r w:rsidR="006664BE">
        <w:rPr>
          <w:szCs w:val="22"/>
        </w:rPr>
        <w:t>ά</w:t>
      </w:r>
      <w:r w:rsidRPr="00A544A7">
        <w:rPr>
          <w:szCs w:val="22"/>
        </w:rPr>
        <w:t xml:space="preserve"> την ελληνική συμβολή στο Μ3 της ζώνης του ευρώ αυξήθηκε προοδευτικά από τα μέσα του 2015 με αποτέλεσμα ο ετ</w:t>
      </w:r>
      <w:r w:rsidRPr="00A544A7">
        <w:rPr>
          <w:szCs w:val="22"/>
        </w:rPr>
        <w:t>ή</w:t>
      </w:r>
      <w:r w:rsidRPr="00A544A7">
        <w:rPr>
          <w:szCs w:val="22"/>
        </w:rPr>
        <w:t xml:space="preserve">σιος ρυθμός μεταβολής του να διαμορφωθεί τους πρώτους επτά μήνες του 2017, </w:t>
      </w:r>
      <w:r w:rsidR="00F71A3D">
        <w:rPr>
          <w:szCs w:val="22"/>
        </w:rPr>
        <w:t xml:space="preserve">με βάση τα </w:t>
      </w:r>
      <w:r w:rsidRPr="00A544A7">
        <w:rPr>
          <w:szCs w:val="22"/>
        </w:rPr>
        <w:t xml:space="preserve">διαθέσιμα στοιχεία, κατά μέσο όρο σε 4,0% (μέσος ετήσιος ρυθμός κατά το 2016: -2,2%). Αναλυτικότερα, το επτάμηνο Ιανουαρίου-Ιουλίου του 2017 ο μέσος ετήσιος ρυθμός αύξησης των καταθέσεων διάρκειας μίας ημέρας διαμορφώθηκε σε 4,0% (από 15,4% κατά μέσο όρο το 2016). </w:t>
      </w:r>
      <w:r w:rsidRPr="00A544A7">
        <w:rPr>
          <w:szCs w:val="22"/>
          <w:lang w:val="en-US"/>
        </w:rPr>
        <w:t>O</w:t>
      </w:r>
      <w:r w:rsidRPr="00A544A7">
        <w:rPr>
          <w:szCs w:val="22"/>
        </w:rPr>
        <w:t xml:space="preserve"> αντίστοιχος ρυθμός των καταθέσεων προθεσμίας έως 2 ετών διαμορφώθηκε επ</w:t>
      </w:r>
      <w:r w:rsidRPr="00A544A7">
        <w:rPr>
          <w:szCs w:val="22"/>
        </w:rPr>
        <w:t>ί</w:t>
      </w:r>
      <w:r w:rsidRPr="00A544A7">
        <w:rPr>
          <w:szCs w:val="22"/>
        </w:rPr>
        <w:t xml:space="preserve">σης σε 4% (από -19,2% κατά μέσο όρο το 2016). </w:t>
      </w:r>
    </w:p>
    <w:p w:rsidR="00A544A7" w:rsidRPr="001E7C48" w:rsidRDefault="00A544A7" w:rsidP="00A544A7">
      <w:pPr>
        <w:jc w:val="both"/>
        <w:rPr>
          <w:szCs w:val="22"/>
        </w:rPr>
      </w:pPr>
    </w:p>
    <w:p w:rsidR="00A544A7" w:rsidRPr="00A544A7" w:rsidRDefault="00A544A7" w:rsidP="00A544A7">
      <w:pPr>
        <w:jc w:val="both"/>
        <w:rPr>
          <w:szCs w:val="22"/>
        </w:rPr>
      </w:pPr>
      <w:r w:rsidRPr="00A544A7">
        <w:rPr>
          <w:szCs w:val="22"/>
        </w:rPr>
        <w:t>Οι τραπεζικές καταθέσεις των μη χρηματοπιστωτικών επιχειρήσεων αυξήθηκαν συνολικά τ</w:t>
      </w:r>
      <w:r w:rsidRPr="00A544A7">
        <w:rPr>
          <w:szCs w:val="22"/>
        </w:rPr>
        <w:t>ο</w:t>
      </w:r>
      <w:r w:rsidRPr="00A544A7">
        <w:rPr>
          <w:szCs w:val="22"/>
        </w:rPr>
        <w:t>υς πρώτους επτά μήνες του τρέχοντος έτους περίπου κατά 570 εκατ. ευρώ (έναντι μείωσης 620 εκατ. ευρώ την ίδια περίοδο του 2016) εν αντιθέσει με τις καταθέσεις των νοικοκυριών οι οποίες υποχώρησαν περίπου κατά 500 εκατ. ευρώ (έναντι μείωσης 48 εκατ. ευρώ την ίδια π</w:t>
      </w:r>
      <w:r w:rsidRPr="00A544A7">
        <w:rPr>
          <w:szCs w:val="22"/>
        </w:rPr>
        <w:t>ε</w:t>
      </w:r>
      <w:r w:rsidRPr="00A544A7">
        <w:rPr>
          <w:szCs w:val="22"/>
        </w:rPr>
        <w:t xml:space="preserve">ρίοδο του 2016). Η διαφορετική εξέλιξη στη ροή των καταθέσεων μεταξύ των τομέων </w:t>
      </w:r>
      <w:r w:rsidR="00F71A3D">
        <w:rPr>
          <w:szCs w:val="22"/>
        </w:rPr>
        <w:t>αιτι</w:t>
      </w:r>
      <w:r w:rsidR="00F71A3D">
        <w:rPr>
          <w:szCs w:val="22"/>
        </w:rPr>
        <w:t>ο</w:t>
      </w:r>
      <w:r w:rsidR="00F71A3D">
        <w:rPr>
          <w:szCs w:val="22"/>
        </w:rPr>
        <w:t xml:space="preserve">λογείται </w:t>
      </w:r>
      <w:r w:rsidRPr="00A544A7">
        <w:rPr>
          <w:szCs w:val="22"/>
        </w:rPr>
        <w:t xml:space="preserve">μεταξύ άλλων </w:t>
      </w:r>
      <w:r w:rsidR="00F71A3D">
        <w:rPr>
          <w:szCs w:val="22"/>
        </w:rPr>
        <w:t>λόγω του</w:t>
      </w:r>
      <w:r w:rsidRPr="00A544A7">
        <w:rPr>
          <w:szCs w:val="22"/>
        </w:rPr>
        <w:t xml:space="preserve"> εντονότερο</w:t>
      </w:r>
      <w:r w:rsidR="00F71A3D">
        <w:rPr>
          <w:szCs w:val="22"/>
        </w:rPr>
        <w:t>υ ρυθμού</w:t>
      </w:r>
      <w:r w:rsidRPr="00A544A7">
        <w:rPr>
          <w:szCs w:val="22"/>
        </w:rPr>
        <w:t xml:space="preserve"> πιστωτικής συστολής που παρατηρε</w:t>
      </w:r>
      <w:r w:rsidRPr="00A544A7">
        <w:rPr>
          <w:szCs w:val="22"/>
        </w:rPr>
        <w:t>ί</w:t>
      </w:r>
      <w:r w:rsidRPr="00A544A7">
        <w:rPr>
          <w:szCs w:val="22"/>
        </w:rPr>
        <w:t xml:space="preserve">ται στα νοικοκυριά, κυρίως ως προς τα στεγαστικά δάνεια. Συνολικά, από το τέλος του 2016 οι καταθέσεις του ιδιωτικού μη χρηματοπιστωτικού τομέα δεν μεταβλήθηκαν σημαντικά. </w:t>
      </w:r>
    </w:p>
    <w:p w:rsidR="00A544A7" w:rsidRPr="001E7C48" w:rsidRDefault="00A544A7" w:rsidP="00A544A7">
      <w:pPr>
        <w:jc w:val="both"/>
        <w:rPr>
          <w:szCs w:val="22"/>
        </w:rPr>
      </w:pPr>
    </w:p>
    <w:p w:rsidR="00A544A7" w:rsidRPr="00A544A7" w:rsidRDefault="00A544A7" w:rsidP="00A544A7">
      <w:pPr>
        <w:jc w:val="both"/>
        <w:rPr>
          <w:szCs w:val="22"/>
        </w:rPr>
      </w:pPr>
      <w:r w:rsidRPr="00A544A7">
        <w:rPr>
          <w:szCs w:val="22"/>
        </w:rPr>
        <w:t>Ο ετήσιος ρυθμός μεταβολής του υπολοίπου της χρηματοδότησης προς τον τομέα της γενικής κυβέρνησης από το εγχώριο τραπεζικό σύστημα (συμπεριλαμβανομένης της Τραπέζης της Ελλάδος) συνέχισε να καταγράφει αρνητικές τιμές</w:t>
      </w:r>
      <w:r w:rsidR="00F71A3D">
        <w:rPr>
          <w:szCs w:val="22"/>
        </w:rPr>
        <w:t xml:space="preserve"> το 2017 με εξαίρεση τον Ιανουάριο</w:t>
      </w:r>
      <w:r w:rsidRPr="00A544A7">
        <w:rPr>
          <w:szCs w:val="22"/>
        </w:rPr>
        <w:t>,</w:t>
      </w:r>
      <w:r w:rsidRPr="00A544A7" w:rsidDel="001A3360">
        <w:rPr>
          <w:szCs w:val="22"/>
        </w:rPr>
        <w:t xml:space="preserve"> </w:t>
      </w:r>
      <w:r w:rsidRPr="00A544A7">
        <w:rPr>
          <w:szCs w:val="22"/>
        </w:rPr>
        <w:t xml:space="preserve">όπως και κατά το μεγαλύτερο μέρος του 2016. Ειδικότερα, ο εν λόγω ρυθμός διαμορφώθηκε σε </w:t>
      </w:r>
      <w:r w:rsidR="00BA1396">
        <w:rPr>
          <w:szCs w:val="22"/>
        </w:rPr>
        <w:t xml:space="preserve">     </w:t>
      </w:r>
      <w:r w:rsidRPr="00A544A7">
        <w:rPr>
          <w:szCs w:val="22"/>
        </w:rPr>
        <w:t>-5,2% τον Ιούλιο του 2017 από 1,4% το</w:t>
      </w:r>
      <w:r w:rsidRPr="00A544A7" w:rsidDel="00C2235C">
        <w:rPr>
          <w:szCs w:val="22"/>
        </w:rPr>
        <w:t xml:space="preserve"> </w:t>
      </w:r>
      <w:r w:rsidRPr="00A544A7">
        <w:rPr>
          <w:szCs w:val="22"/>
        </w:rPr>
        <w:t>Δεκέμβριο του 2016. Η επιστροφή του ρυθμού μετ</w:t>
      </w:r>
      <w:r w:rsidRPr="00A544A7">
        <w:rPr>
          <w:szCs w:val="22"/>
        </w:rPr>
        <w:t>α</w:t>
      </w:r>
      <w:r w:rsidRPr="00A544A7">
        <w:rPr>
          <w:szCs w:val="22"/>
        </w:rPr>
        <w:t>βολής του υπολοίπου της χρηματοδότησης προς τον τομέα της γενικής κυβέρνησης σε αρν</w:t>
      </w:r>
      <w:r w:rsidRPr="00A544A7">
        <w:rPr>
          <w:szCs w:val="22"/>
        </w:rPr>
        <w:t>η</w:t>
      </w:r>
      <w:r w:rsidRPr="00A544A7">
        <w:rPr>
          <w:szCs w:val="22"/>
        </w:rPr>
        <w:t xml:space="preserve">τικές τιμές το 2017 αντανακλά την επίδραση των </w:t>
      </w:r>
      <w:r w:rsidR="0064247C">
        <w:rPr>
          <w:szCs w:val="22"/>
        </w:rPr>
        <w:t>υψηλών</w:t>
      </w:r>
      <w:r w:rsidRPr="00A544A7">
        <w:rPr>
          <w:szCs w:val="22"/>
        </w:rPr>
        <w:t xml:space="preserve"> </w:t>
      </w:r>
      <w:r w:rsidR="00B86AA8">
        <w:rPr>
          <w:szCs w:val="22"/>
        </w:rPr>
        <w:t xml:space="preserve">αρνητικών </w:t>
      </w:r>
      <w:r w:rsidRPr="00A544A7">
        <w:rPr>
          <w:szCs w:val="22"/>
        </w:rPr>
        <w:t>ετήσιων ρυθμών μετ</w:t>
      </w:r>
      <w:r w:rsidRPr="00A544A7">
        <w:rPr>
          <w:szCs w:val="22"/>
        </w:rPr>
        <w:t>α</w:t>
      </w:r>
      <w:r w:rsidRPr="00A544A7">
        <w:rPr>
          <w:szCs w:val="22"/>
        </w:rPr>
        <w:t>βολής των δανείων των τραπεζών προς τη γενική κυβέρνηση, ενώ και το υπόλοιπο των τί</w:t>
      </w:r>
      <w:r w:rsidRPr="00A544A7">
        <w:rPr>
          <w:szCs w:val="22"/>
        </w:rPr>
        <w:t>τ</w:t>
      </w:r>
      <w:r w:rsidRPr="00A544A7">
        <w:rPr>
          <w:szCs w:val="22"/>
        </w:rPr>
        <w:t>λων ελληνικού Δημοσίου στο χαρτοφυλάκιο των τραπεζών κατέγραψε μείωση.</w:t>
      </w:r>
      <w:r w:rsidRPr="00A544A7" w:rsidDel="00E560C7">
        <w:rPr>
          <w:szCs w:val="22"/>
        </w:rPr>
        <w:t xml:space="preserve"> </w:t>
      </w:r>
    </w:p>
    <w:p w:rsidR="00A544A7" w:rsidRPr="001E7C48" w:rsidRDefault="00A544A7" w:rsidP="00A544A7">
      <w:pPr>
        <w:jc w:val="both"/>
        <w:rPr>
          <w:szCs w:val="22"/>
        </w:rPr>
      </w:pPr>
    </w:p>
    <w:p w:rsidR="00A544A7" w:rsidRPr="00A544A7" w:rsidRDefault="00A544A7" w:rsidP="00A544A7">
      <w:pPr>
        <w:jc w:val="both"/>
        <w:rPr>
          <w:szCs w:val="22"/>
        </w:rPr>
      </w:pPr>
      <w:r w:rsidRPr="00A544A7">
        <w:rPr>
          <w:szCs w:val="22"/>
        </w:rPr>
        <w:t>Όσον αφορά την τραπεζική χρηματοδότηση του ιδιωτικού μη χρηματοπιστωτικού τομέα της οικονομίας, ο ετήσιος ρυθμός μείωσης των τραπεζικών πιστώσεων προς τα νοικοκυριά, αφού παρέμεινε σχεδόν αμετάβλητος το 2016, περιορίστηκε κατά τους πρώτους επτά μήνες του 2017 και διαμορφώθηκε σε -2,4% τον Ιούλιο (έναντι -2,8% το Δεκέμβριο του 2016). Ο ετ</w:t>
      </w:r>
      <w:r w:rsidRPr="00A544A7">
        <w:rPr>
          <w:szCs w:val="22"/>
        </w:rPr>
        <w:t>ή</w:t>
      </w:r>
      <w:r w:rsidRPr="00A544A7">
        <w:rPr>
          <w:szCs w:val="22"/>
        </w:rPr>
        <w:t>σιος ρυθμός μεταβολής των τραπεζικών πιστώσεων προς τις μη χρηματοπιστωτικές επιχειρ</w:t>
      </w:r>
      <w:r w:rsidRPr="00A544A7">
        <w:rPr>
          <w:szCs w:val="22"/>
        </w:rPr>
        <w:t>ή</w:t>
      </w:r>
      <w:r w:rsidRPr="00A544A7">
        <w:rPr>
          <w:szCs w:val="22"/>
        </w:rPr>
        <w:t>σεις εμφάνισε δ</w:t>
      </w:r>
      <w:r w:rsidR="00270845">
        <w:rPr>
          <w:szCs w:val="22"/>
        </w:rPr>
        <w:t xml:space="preserve">ιακυμάνσεις το </w:t>
      </w:r>
      <w:proofErr w:type="spellStart"/>
      <w:r w:rsidR="00270845">
        <w:rPr>
          <w:szCs w:val="22"/>
        </w:rPr>
        <w:t>α΄</w:t>
      </w:r>
      <w:proofErr w:type="spellEnd"/>
      <w:r w:rsidRPr="00A544A7">
        <w:rPr>
          <w:szCs w:val="22"/>
        </w:rPr>
        <w:t xml:space="preserve"> επτάμηνο του 2017 μεταξύ χαμηλών αρνητικών και θετ</w:t>
      </w:r>
      <w:r w:rsidRPr="00A544A7">
        <w:rPr>
          <w:szCs w:val="22"/>
        </w:rPr>
        <w:t>ι</w:t>
      </w:r>
      <w:r w:rsidRPr="00A544A7">
        <w:rPr>
          <w:szCs w:val="22"/>
        </w:rPr>
        <w:t xml:space="preserve">κών τιμών και τον Ιούλιο του 2017 ήταν -0,5% (Δεκέμβριος 2016:0%). Αξίζει να σημειωθεί ότι για πρώτη φορά μετά το </w:t>
      </w:r>
      <w:proofErr w:type="spellStart"/>
      <w:r w:rsidRPr="00A544A7">
        <w:rPr>
          <w:szCs w:val="22"/>
        </w:rPr>
        <w:t>α΄</w:t>
      </w:r>
      <w:proofErr w:type="spellEnd"/>
      <w:r w:rsidRPr="00A544A7">
        <w:rPr>
          <w:szCs w:val="22"/>
        </w:rPr>
        <w:t xml:space="preserve"> τρίμηνο του 2011 καταγράφονται θετικοί ετήσιοι ρυθμοί όσον αφορά την εξέλιξη του μεγέθους αυτού για δύο ή τρείς συνεχόμενους μήνες. </w:t>
      </w:r>
    </w:p>
    <w:p w:rsidR="00A544A7" w:rsidRPr="001E7C48" w:rsidRDefault="00A544A7" w:rsidP="00A544A7">
      <w:pPr>
        <w:jc w:val="both"/>
        <w:rPr>
          <w:szCs w:val="22"/>
        </w:rPr>
      </w:pPr>
    </w:p>
    <w:p w:rsidR="00A544A7" w:rsidRPr="00A544A7" w:rsidRDefault="00A544A7" w:rsidP="00A544A7">
      <w:pPr>
        <w:jc w:val="both"/>
        <w:rPr>
          <w:szCs w:val="22"/>
        </w:rPr>
      </w:pPr>
      <w:r w:rsidRPr="00A544A7">
        <w:rPr>
          <w:szCs w:val="22"/>
        </w:rPr>
        <w:t xml:space="preserve">Αναλυτικότερα, όσον αφορά τις συνθήκες προσφοράς και ζήτησης τραπεζικών πιστώσεων, η μεν άνοδος της οικονομικής δραστηριότητας το </w:t>
      </w:r>
      <w:proofErr w:type="spellStart"/>
      <w:r w:rsidRPr="00A544A7">
        <w:rPr>
          <w:szCs w:val="22"/>
        </w:rPr>
        <w:t>α΄</w:t>
      </w:r>
      <w:proofErr w:type="spellEnd"/>
      <w:r w:rsidRPr="00A544A7">
        <w:rPr>
          <w:szCs w:val="22"/>
        </w:rPr>
        <w:t xml:space="preserve"> εξάμηνο του 2017 είχε αυξητική επίδραση στη ζήτηση για τραπεζικά δάνεια, το δε κλίμα αβεβαιότητας λόγω της παράτασης των συν</w:t>
      </w:r>
      <w:r w:rsidRPr="00A544A7">
        <w:rPr>
          <w:szCs w:val="22"/>
        </w:rPr>
        <w:t>ο</w:t>
      </w:r>
      <w:r w:rsidRPr="00A544A7">
        <w:rPr>
          <w:szCs w:val="22"/>
        </w:rPr>
        <w:t xml:space="preserve">μιλιών με τους </w:t>
      </w:r>
      <w:r w:rsidR="00041061">
        <w:rPr>
          <w:szCs w:val="22"/>
        </w:rPr>
        <w:t>θ</w:t>
      </w:r>
      <w:r w:rsidR="00B86AA8">
        <w:rPr>
          <w:szCs w:val="22"/>
        </w:rPr>
        <w:t>εσμούς</w:t>
      </w:r>
      <w:r w:rsidRPr="00A544A7">
        <w:rPr>
          <w:szCs w:val="22"/>
        </w:rPr>
        <w:t>, κατά το διάστημα που μεσολάβησε μέχρι την ολοκλήρωση της δε</w:t>
      </w:r>
      <w:r w:rsidRPr="00A544A7">
        <w:rPr>
          <w:szCs w:val="22"/>
        </w:rPr>
        <w:t>ύ</w:t>
      </w:r>
      <w:r w:rsidRPr="00A544A7">
        <w:rPr>
          <w:szCs w:val="22"/>
        </w:rPr>
        <w:t>τερης αξιολόγησης του προγράμματος τον Ιούνιο, περιόρισε</w:t>
      </w:r>
      <w:r w:rsidR="0064247C">
        <w:rPr>
          <w:szCs w:val="22"/>
        </w:rPr>
        <w:t xml:space="preserve"> </w:t>
      </w:r>
      <w:r w:rsidR="00E070F2">
        <w:rPr>
          <w:szCs w:val="22"/>
        </w:rPr>
        <w:t>τουλάχιστον προσωρινά</w:t>
      </w:r>
      <w:r w:rsidR="0064247C" w:rsidRPr="00A544A7">
        <w:rPr>
          <w:szCs w:val="22"/>
        </w:rPr>
        <w:t xml:space="preserve"> </w:t>
      </w:r>
      <w:r w:rsidRPr="00A544A7">
        <w:rPr>
          <w:szCs w:val="22"/>
        </w:rPr>
        <w:t>τη</w:t>
      </w:r>
      <w:r w:rsidR="00A967FE">
        <w:rPr>
          <w:szCs w:val="22"/>
        </w:rPr>
        <w:t>ν</w:t>
      </w:r>
      <w:r w:rsidRPr="00A544A7">
        <w:rPr>
          <w:szCs w:val="22"/>
        </w:rPr>
        <w:t xml:space="preserve"> </w:t>
      </w:r>
      <w:r w:rsidR="00203196">
        <w:rPr>
          <w:szCs w:val="22"/>
        </w:rPr>
        <w:t>τ</w:t>
      </w:r>
      <w:r w:rsidR="00203196">
        <w:rPr>
          <w:szCs w:val="22"/>
        </w:rPr>
        <w:t>ά</w:t>
      </w:r>
      <w:r w:rsidR="00203196">
        <w:rPr>
          <w:szCs w:val="22"/>
        </w:rPr>
        <w:t>ση</w:t>
      </w:r>
      <w:r w:rsidRPr="00A544A7">
        <w:rPr>
          <w:szCs w:val="22"/>
        </w:rPr>
        <w:t xml:space="preserve"> του ιδιωτικού τομέα για τη λήψη νέων δανείων. Από την πλευρά της προσφοράς, η συν</w:t>
      </w:r>
      <w:r w:rsidRPr="00A544A7">
        <w:rPr>
          <w:szCs w:val="22"/>
        </w:rPr>
        <w:t>έ</w:t>
      </w:r>
      <w:r w:rsidRPr="00A544A7">
        <w:rPr>
          <w:szCs w:val="22"/>
        </w:rPr>
        <w:t>χιση της πιστωτικής συρρίκνωσης την επισκοπούμενη περίοδο συνδέεται με τη συνεχιζόμενη συμπίεση της ρευστότητας των τραπεζών, λόγω των υψηλών μη εξυπηρετούμενων ανοιγμ</w:t>
      </w:r>
      <w:r w:rsidRPr="00A544A7">
        <w:rPr>
          <w:szCs w:val="22"/>
        </w:rPr>
        <w:t>ά</w:t>
      </w:r>
      <w:r w:rsidRPr="00A544A7">
        <w:rPr>
          <w:szCs w:val="22"/>
        </w:rPr>
        <w:t xml:space="preserve">των τα οποία τις στερούν πόρους προς </w:t>
      </w:r>
      <w:proofErr w:type="spellStart"/>
      <w:r w:rsidRPr="00A544A7">
        <w:rPr>
          <w:szCs w:val="22"/>
        </w:rPr>
        <w:t>αναδανεισμό</w:t>
      </w:r>
      <w:proofErr w:type="spellEnd"/>
      <w:r w:rsidRPr="00A544A7">
        <w:rPr>
          <w:szCs w:val="22"/>
        </w:rPr>
        <w:t xml:space="preserve"> στον ιδιωτικό τομέα. Θετική επίδραση στη δυνατότητα παροχής τραπεζικών δανείων </w:t>
      </w:r>
      <w:r w:rsidR="0064247C">
        <w:rPr>
          <w:szCs w:val="22"/>
        </w:rPr>
        <w:t>εξακολούθησαν</w:t>
      </w:r>
      <w:r w:rsidRPr="00A544A7">
        <w:rPr>
          <w:szCs w:val="22"/>
        </w:rPr>
        <w:t xml:space="preserve"> να ασκούν η συμμετοχή των ελληνικών τραπεζών στη διασυνοριακή διατραπεζική</w:t>
      </w:r>
      <w:r w:rsidR="00E070F2">
        <w:rPr>
          <w:szCs w:val="22"/>
        </w:rPr>
        <w:t xml:space="preserve"> αγορά – η οποία ωστόσο επηρεάστ</w:t>
      </w:r>
      <w:r w:rsidRPr="00A544A7">
        <w:rPr>
          <w:szCs w:val="22"/>
        </w:rPr>
        <w:t xml:space="preserve">ηκε δυσμενώς από την όξυνση της αβεβαιότητας – οι </w:t>
      </w:r>
      <w:proofErr w:type="spellStart"/>
      <w:r w:rsidRPr="00A544A7">
        <w:rPr>
          <w:szCs w:val="22"/>
        </w:rPr>
        <w:t>στοχευμένες</w:t>
      </w:r>
      <w:proofErr w:type="spellEnd"/>
      <w:r w:rsidRPr="00A544A7">
        <w:rPr>
          <w:szCs w:val="22"/>
        </w:rPr>
        <w:t xml:space="preserve"> πράξεις πιο μακροπρόθεσμης αναχρηματοδότησης της ΕΚΤ, καθώς και η πρόσβασή τους σε έκτακτη χρηματοδότηση. Σε ότι αφορά το διάστημα 2017</w:t>
      </w:r>
      <w:r w:rsidR="00270845">
        <w:rPr>
          <w:szCs w:val="22"/>
        </w:rPr>
        <w:t>-</w:t>
      </w:r>
      <w:r w:rsidRPr="00A544A7">
        <w:rPr>
          <w:szCs w:val="22"/>
        </w:rPr>
        <w:t>2019, αναμένεται σημαντική θετική επίδραση στην πιστωτική επέκταση από την εφαρμογή της πολιτικής μείωσης των μη εξυπηρετούμενων ανοιγμάτων από τις τράπεζες, σύμφωνα με τους συμφωνηθέντες στόχους για το διάστημα αυτό.</w:t>
      </w:r>
    </w:p>
    <w:p w:rsidR="00A544A7" w:rsidRPr="00270845" w:rsidRDefault="00A544A7" w:rsidP="00A544A7">
      <w:pPr>
        <w:jc w:val="both"/>
        <w:rPr>
          <w:szCs w:val="22"/>
        </w:rPr>
      </w:pPr>
    </w:p>
    <w:p w:rsidR="00A544A7" w:rsidRPr="00A544A7" w:rsidRDefault="00A544A7" w:rsidP="00A544A7">
      <w:pPr>
        <w:jc w:val="both"/>
        <w:rPr>
          <w:szCs w:val="22"/>
        </w:rPr>
      </w:pPr>
      <w:r w:rsidRPr="00A544A7">
        <w:rPr>
          <w:szCs w:val="22"/>
        </w:rPr>
        <w:t>Τα επιτόκια των νέων τραπεζικών καταθέσεων στην Ελλάδα ακολούθησαν ήπια καθοδική πορεία μετά την απότομη αποκλιμάκωση στα μέσα του 2015. Κατά συνέπεια, το επιτόκιο στη σημαντικότερη κατηγορία καταθέσεων, δηλ. εκείνων με συμφωνημένη διάρκεια έως 1 έτος από τα νοικοκυριά, κατέγραψε συνολικά μείωση στη διάρκεια της εξεταζόμενης περιόδου και το επτάμηνο Ιανουαρίου</w:t>
      </w:r>
      <w:r w:rsidR="00270845">
        <w:rPr>
          <w:szCs w:val="22"/>
        </w:rPr>
        <w:t>-</w:t>
      </w:r>
      <w:r w:rsidRPr="00A544A7">
        <w:rPr>
          <w:szCs w:val="22"/>
        </w:rPr>
        <w:t>Ιουλίου του 2017 διαμορφώθηκε κατά μέσο όρο σε 0,66%, δηλ. κ</w:t>
      </w:r>
      <w:r w:rsidRPr="00A544A7">
        <w:rPr>
          <w:szCs w:val="22"/>
        </w:rPr>
        <w:t>α</w:t>
      </w:r>
      <w:r w:rsidRPr="00A544A7">
        <w:rPr>
          <w:szCs w:val="22"/>
        </w:rPr>
        <w:t>τά 18 μονάδες βάσης χαμηλότερα έναντι του μέσου επιτοκίου του 2016. Το επιτόκιο αυτό παρέμεινε υψηλότερο έναντι του αντίστοιχου επιτοκίου της ζώνης του ευρώ, ωστόσο η μετ</w:t>
      </w:r>
      <w:r w:rsidRPr="00A544A7">
        <w:rPr>
          <w:szCs w:val="22"/>
        </w:rPr>
        <w:t>α</w:t>
      </w:r>
      <w:r w:rsidRPr="00A544A7">
        <w:rPr>
          <w:szCs w:val="22"/>
        </w:rPr>
        <w:t>ξύ τους διαφορά έχει περιοριστεί σημαντικά, από 102 μονάδες βάσης τον Ιούνιο του 2015, οπότε και επιβλήθηκαν οι περιορισμοί στις αναλήψεις τραπεζικών καταθέσεων, σε 24 μον</w:t>
      </w:r>
      <w:r w:rsidRPr="00A544A7">
        <w:rPr>
          <w:szCs w:val="22"/>
        </w:rPr>
        <w:t>ά</w:t>
      </w:r>
      <w:r w:rsidRPr="00A544A7">
        <w:rPr>
          <w:szCs w:val="22"/>
        </w:rPr>
        <w:t xml:space="preserve">δες βάσης τον Ιούλιο του τρέχοντος έτους. </w:t>
      </w:r>
    </w:p>
    <w:p w:rsidR="00A544A7" w:rsidRPr="001E7C48" w:rsidRDefault="00A544A7" w:rsidP="00A544A7">
      <w:pPr>
        <w:jc w:val="both"/>
        <w:rPr>
          <w:szCs w:val="22"/>
        </w:rPr>
      </w:pPr>
    </w:p>
    <w:p w:rsidR="00A544A7" w:rsidRPr="00A544A7" w:rsidRDefault="00A544A7" w:rsidP="00A544A7">
      <w:pPr>
        <w:jc w:val="both"/>
        <w:rPr>
          <w:szCs w:val="22"/>
        </w:rPr>
      </w:pPr>
      <w:r w:rsidRPr="00A544A7">
        <w:rPr>
          <w:szCs w:val="22"/>
        </w:rPr>
        <w:lastRenderedPageBreak/>
        <w:t>Τα επιτόκια των νέων τραπεζικών δανείων προς τις μη χρηματοπιστωτικές επιχειρήσεις δι</w:t>
      </w:r>
      <w:r w:rsidRPr="00A544A7">
        <w:rPr>
          <w:szCs w:val="22"/>
        </w:rPr>
        <w:t>α</w:t>
      </w:r>
      <w:r w:rsidRPr="00A544A7">
        <w:rPr>
          <w:szCs w:val="22"/>
        </w:rPr>
        <w:t>τήρησαν το τρέχον έτος την πολυετή πτωτική τάση τους. Αντίθετα, τα επιτόκια τραπεζικού δανεισμού προς τα νοικοκυριά από τα μέσα του 2013 καταγράφουν αυξήσεις όσον αφορά τα δάνεια καταναλωτικού σκοπού και σταθεροποίηση όσον αφορά τα στεγαστικά δάνεια. Η δ</w:t>
      </w:r>
      <w:r w:rsidRPr="00A544A7">
        <w:rPr>
          <w:szCs w:val="22"/>
        </w:rPr>
        <w:t>ι</w:t>
      </w:r>
      <w:r w:rsidRPr="00A544A7">
        <w:rPr>
          <w:szCs w:val="22"/>
        </w:rPr>
        <w:t xml:space="preserve">αφορετική εξέλιξη στα επιτόκια τραπεζικού δανεισμού μεταξύ των τομέων κατέστησε από τις αρχές του τρέχοντος έτους φθηνότερο το </w:t>
      </w:r>
      <w:proofErr w:type="spellStart"/>
      <w:r w:rsidRPr="00A544A7">
        <w:rPr>
          <w:szCs w:val="22"/>
        </w:rPr>
        <w:t>μεσοσταθμικό</w:t>
      </w:r>
      <w:proofErr w:type="spellEnd"/>
      <w:r w:rsidRPr="00A544A7">
        <w:rPr>
          <w:szCs w:val="22"/>
        </w:rPr>
        <w:t xml:space="preserve"> κόστος δανεισμού των μη χρηματ</w:t>
      </w:r>
      <w:r w:rsidRPr="00A544A7">
        <w:rPr>
          <w:szCs w:val="22"/>
        </w:rPr>
        <w:t>ο</w:t>
      </w:r>
      <w:r w:rsidRPr="00A544A7">
        <w:rPr>
          <w:szCs w:val="22"/>
        </w:rPr>
        <w:t xml:space="preserve">πιστωτικών επιχειρήσεων έναντι του αντίστοιχου των νοικοκυριών και κατά συνέπεια </w:t>
      </w:r>
      <w:r w:rsidR="005A43D1">
        <w:rPr>
          <w:szCs w:val="22"/>
        </w:rPr>
        <w:t>συν</w:t>
      </w:r>
      <w:r w:rsidR="005A43D1">
        <w:rPr>
          <w:szCs w:val="22"/>
        </w:rPr>
        <w:t>έ</w:t>
      </w:r>
      <w:r w:rsidR="005A43D1">
        <w:rPr>
          <w:szCs w:val="22"/>
        </w:rPr>
        <w:t>βαλε σ</w:t>
      </w:r>
      <w:r w:rsidRPr="00A544A7">
        <w:rPr>
          <w:szCs w:val="22"/>
        </w:rPr>
        <w:t xml:space="preserve">την επιθυμητή παραγωγική αναδιάρθρωση της οικονομίας. Ειδικότερα, τον Ιούλιο του 2017 το </w:t>
      </w:r>
      <w:proofErr w:type="spellStart"/>
      <w:r w:rsidRPr="00A544A7">
        <w:rPr>
          <w:szCs w:val="22"/>
        </w:rPr>
        <w:t>μεσοσταθμικό</w:t>
      </w:r>
      <w:proofErr w:type="spellEnd"/>
      <w:r w:rsidRPr="00A544A7">
        <w:rPr>
          <w:szCs w:val="22"/>
        </w:rPr>
        <w:t xml:space="preserve"> επιτόκιο των δανείων προς τις μη χρηματοπιστωτικές επιχειρήσεις δ</w:t>
      </w:r>
      <w:r w:rsidRPr="00A544A7">
        <w:rPr>
          <w:szCs w:val="22"/>
        </w:rPr>
        <w:t>ι</w:t>
      </w:r>
      <w:r w:rsidRPr="00A544A7">
        <w:rPr>
          <w:szCs w:val="22"/>
        </w:rPr>
        <w:t xml:space="preserve">αμορφώθηκε σε 4,49%, κατά 41 μονάδες βάσης χαμηλότερα έναντι του μέσου επιτοκίου του 2016. Αντίθετα, το </w:t>
      </w:r>
      <w:proofErr w:type="spellStart"/>
      <w:r w:rsidRPr="00A544A7">
        <w:rPr>
          <w:szCs w:val="22"/>
        </w:rPr>
        <w:t>μεσοσταθμικό</w:t>
      </w:r>
      <w:proofErr w:type="spellEnd"/>
      <w:r w:rsidRPr="00A544A7">
        <w:rPr>
          <w:szCs w:val="22"/>
        </w:rPr>
        <w:t xml:space="preserve"> επιτόκιο των δανείων προς τα νοικοκυριά διαμορφώθηκε κατά μέσο όρο το επτάμηνο Ιανουαρίου</w:t>
      </w:r>
      <w:r w:rsidR="00270845">
        <w:rPr>
          <w:szCs w:val="22"/>
        </w:rPr>
        <w:t>-</w:t>
      </w:r>
      <w:r w:rsidRPr="00A544A7">
        <w:rPr>
          <w:szCs w:val="22"/>
        </w:rPr>
        <w:t>Ιουλίου του 2017 σε 4,77%,</w:t>
      </w:r>
      <w:r w:rsidR="00270845">
        <w:rPr>
          <w:szCs w:val="22"/>
        </w:rPr>
        <w:t xml:space="preserve"> δηλαδή</w:t>
      </w:r>
      <w:r w:rsidRPr="00A544A7">
        <w:rPr>
          <w:szCs w:val="22"/>
        </w:rPr>
        <w:t xml:space="preserve"> σχεδόν στο ίδιο επίπεδο (μόλις, κατά 3 μονάδες βάσης υψηλότερα) με το αντίστοιχο μέσο επιτόκιο του 2016. </w:t>
      </w:r>
    </w:p>
    <w:p w:rsidR="00A544A7" w:rsidRPr="00270845" w:rsidRDefault="00A544A7" w:rsidP="00A544A7">
      <w:pPr>
        <w:jc w:val="both"/>
        <w:rPr>
          <w:szCs w:val="22"/>
        </w:rPr>
      </w:pPr>
    </w:p>
    <w:p w:rsidR="00A544A7" w:rsidRPr="00A544A7" w:rsidRDefault="00A544A7" w:rsidP="00A544A7">
      <w:pPr>
        <w:jc w:val="both"/>
        <w:rPr>
          <w:szCs w:val="22"/>
        </w:rPr>
      </w:pPr>
      <w:r w:rsidRPr="00A544A7">
        <w:rPr>
          <w:szCs w:val="22"/>
        </w:rPr>
        <w:t xml:space="preserve">Την ίδια περίοδο, τα </w:t>
      </w:r>
      <w:r w:rsidRPr="00A544A7">
        <w:rPr>
          <w:szCs w:val="22"/>
          <w:lang w:val="en-US"/>
        </w:rPr>
        <w:t>ex</w:t>
      </w:r>
      <w:r w:rsidRPr="00A544A7">
        <w:rPr>
          <w:szCs w:val="22"/>
        </w:rPr>
        <w:t xml:space="preserve"> </w:t>
      </w:r>
      <w:r w:rsidRPr="00A544A7">
        <w:rPr>
          <w:szCs w:val="22"/>
          <w:lang w:val="en-US"/>
        </w:rPr>
        <w:t>post</w:t>
      </w:r>
      <w:r w:rsidRPr="00A544A7">
        <w:rPr>
          <w:szCs w:val="22"/>
        </w:rPr>
        <w:t xml:space="preserve"> πραγματικά επιτόκια των τραπεζικών δανείων κατά μέσο όρο εμφάνισαν αξιοσημείωτη μείωση, ιδίως στις μη χρηματοπιστωτικές επιχειρήσεις. Αναλυτικ</w:t>
      </w:r>
      <w:r w:rsidRPr="00A544A7">
        <w:rPr>
          <w:szCs w:val="22"/>
        </w:rPr>
        <w:t>ό</w:t>
      </w:r>
      <w:r w:rsidRPr="00A544A7">
        <w:rPr>
          <w:szCs w:val="22"/>
        </w:rPr>
        <w:t>τερα, το πραγματικό επιτόκιο των δανείων προς μη χρηματοπιστωτικές επιχειρήσεις διαμο</w:t>
      </w:r>
      <w:r w:rsidRPr="00A544A7">
        <w:rPr>
          <w:szCs w:val="22"/>
        </w:rPr>
        <w:t>ρ</w:t>
      </w:r>
      <w:r w:rsidRPr="00A544A7">
        <w:rPr>
          <w:szCs w:val="22"/>
        </w:rPr>
        <w:t>φώθηκε κατά μέσο όρο την περίοδο Ιανουαρίου</w:t>
      </w:r>
      <w:r w:rsidR="00270845">
        <w:rPr>
          <w:szCs w:val="22"/>
        </w:rPr>
        <w:t>-</w:t>
      </w:r>
      <w:r w:rsidRPr="00A544A7">
        <w:rPr>
          <w:szCs w:val="22"/>
        </w:rPr>
        <w:t xml:space="preserve">Ιουλίου του 2017 </w:t>
      </w:r>
      <w:r w:rsidR="00270845">
        <w:rPr>
          <w:szCs w:val="22"/>
        </w:rPr>
        <w:t>σε 3,09%, δηλαδή</w:t>
      </w:r>
      <w:r w:rsidRPr="00A544A7">
        <w:rPr>
          <w:szCs w:val="22"/>
        </w:rPr>
        <w:t xml:space="preserve"> κατά 180 μονάδες βάσης χαμηλότερα έναντι του μέσου όρου του 2016. Το αντίστοιχο επιτόκιο προς τα νοικοκυριά μειώθηκε κατά 132 μονάδες βάσης, σε 3,41%.</w:t>
      </w:r>
    </w:p>
    <w:p w:rsidR="00214D58" w:rsidRPr="006F02A5" w:rsidRDefault="00214D58" w:rsidP="006F02A5">
      <w:pPr>
        <w:jc w:val="both"/>
        <w:rPr>
          <w:szCs w:val="22"/>
        </w:rPr>
      </w:pPr>
    </w:p>
    <w:p w:rsidR="00E91754" w:rsidRPr="001E7C48" w:rsidRDefault="006F02A5" w:rsidP="00E91754">
      <w:pPr>
        <w:ind w:left="567" w:hanging="567"/>
        <w:jc w:val="both"/>
        <w:rPr>
          <w:rFonts w:ascii="Arial Narrow" w:hAnsi="Arial Narrow"/>
          <w:b/>
          <w:color w:val="000080"/>
          <w:szCs w:val="22"/>
        </w:rPr>
      </w:pPr>
      <w:r>
        <w:rPr>
          <w:rFonts w:ascii="Arial Narrow" w:hAnsi="Arial Narrow"/>
          <w:b/>
          <w:color w:val="000080"/>
        </w:rPr>
        <w:t>2.4</w:t>
      </w:r>
      <w:r>
        <w:rPr>
          <w:rFonts w:ascii="Arial Narrow" w:hAnsi="Arial Narrow"/>
          <w:b/>
          <w:color w:val="000080"/>
        </w:rPr>
        <w:tab/>
        <w:t>Οι προοπτικές το 201</w:t>
      </w:r>
      <w:r w:rsidR="00A544A7" w:rsidRPr="001E7C48">
        <w:rPr>
          <w:rFonts w:ascii="Arial Narrow" w:hAnsi="Arial Narrow"/>
          <w:b/>
          <w:color w:val="000080"/>
        </w:rPr>
        <w:t>8</w:t>
      </w:r>
    </w:p>
    <w:p w:rsidR="00706C65" w:rsidRDefault="00706C65" w:rsidP="00706C65">
      <w:pPr>
        <w:tabs>
          <w:tab w:val="left" w:pos="540"/>
        </w:tabs>
        <w:jc w:val="both"/>
        <w:rPr>
          <w:szCs w:val="22"/>
        </w:rPr>
      </w:pPr>
    </w:p>
    <w:p w:rsidR="00843E22" w:rsidRPr="00843E22" w:rsidRDefault="00AA7394" w:rsidP="00843E22">
      <w:pPr>
        <w:tabs>
          <w:tab w:val="left" w:pos="540"/>
        </w:tabs>
        <w:jc w:val="both"/>
        <w:rPr>
          <w:szCs w:val="22"/>
        </w:rPr>
      </w:pPr>
      <w:r>
        <w:rPr>
          <w:szCs w:val="22"/>
        </w:rPr>
        <w:t xml:space="preserve">Η </w:t>
      </w:r>
      <w:r w:rsidR="00843E22" w:rsidRPr="00843E22">
        <w:rPr>
          <w:szCs w:val="22"/>
        </w:rPr>
        <w:t>θετικ</w:t>
      </w:r>
      <w:r>
        <w:rPr>
          <w:szCs w:val="22"/>
        </w:rPr>
        <w:t>ή επίπτωση</w:t>
      </w:r>
      <w:r w:rsidR="00843E22" w:rsidRPr="00843E22">
        <w:rPr>
          <w:szCs w:val="22"/>
        </w:rPr>
        <w:t xml:space="preserve"> από την ομαλή υλοποίηση του προγράμματος, που εκτιμάται ότι θα μ</w:t>
      </w:r>
      <w:r w:rsidR="00843E22" w:rsidRPr="00843E22">
        <w:rPr>
          <w:szCs w:val="22"/>
        </w:rPr>
        <w:t>ε</w:t>
      </w:r>
      <w:r w:rsidR="00410BB0">
        <w:rPr>
          <w:szCs w:val="22"/>
        </w:rPr>
        <w:t>ταφραστεί σε ταχύτερη</w:t>
      </w:r>
      <w:r w:rsidR="00843E22" w:rsidRPr="00843E22">
        <w:rPr>
          <w:szCs w:val="22"/>
        </w:rPr>
        <w:t xml:space="preserve"> ανάκαμψη από το δεύτερο εξάμηνο του 2017, αναμένεται να μεταφ</w:t>
      </w:r>
      <w:r w:rsidR="00843E22" w:rsidRPr="00843E22">
        <w:rPr>
          <w:szCs w:val="22"/>
        </w:rPr>
        <w:t>έ</w:t>
      </w:r>
      <w:r w:rsidR="00843E22" w:rsidRPr="00843E22">
        <w:rPr>
          <w:szCs w:val="22"/>
        </w:rPr>
        <w:t>ρει την επίδρα</w:t>
      </w:r>
      <w:r>
        <w:rPr>
          <w:szCs w:val="22"/>
        </w:rPr>
        <w:t>σή της</w:t>
      </w:r>
      <w:r w:rsidR="00843E22" w:rsidRPr="00843E22">
        <w:rPr>
          <w:szCs w:val="22"/>
        </w:rPr>
        <w:t xml:space="preserve"> στο 2018. </w:t>
      </w:r>
    </w:p>
    <w:p w:rsidR="00843E22" w:rsidRDefault="00843E22" w:rsidP="00843E22">
      <w:pPr>
        <w:tabs>
          <w:tab w:val="left" w:pos="540"/>
        </w:tabs>
        <w:jc w:val="both"/>
        <w:rPr>
          <w:szCs w:val="22"/>
        </w:rPr>
      </w:pPr>
    </w:p>
    <w:p w:rsidR="00843E22" w:rsidRDefault="005C2D49" w:rsidP="00843E22">
      <w:pPr>
        <w:tabs>
          <w:tab w:val="left" w:pos="540"/>
        </w:tabs>
        <w:jc w:val="both"/>
        <w:rPr>
          <w:szCs w:val="22"/>
        </w:rPr>
      </w:pPr>
      <w:r>
        <w:rPr>
          <w:szCs w:val="22"/>
        </w:rPr>
        <w:t>Στον π</w:t>
      </w:r>
      <w:r w:rsidR="00843E22" w:rsidRPr="00843E22">
        <w:rPr>
          <w:szCs w:val="22"/>
        </w:rPr>
        <w:t>ίνακα 1.2 παρουσιάζονται οι προβλέψεις για τα μακροοικονομικά μεγέθη του ερχόμ</w:t>
      </w:r>
      <w:r w:rsidR="00843E22" w:rsidRPr="00843E22">
        <w:rPr>
          <w:szCs w:val="22"/>
        </w:rPr>
        <w:t>ε</w:t>
      </w:r>
      <w:r w:rsidR="00843E22">
        <w:rPr>
          <w:szCs w:val="22"/>
        </w:rPr>
        <w:t>νου έτους:</w:t>
      </w:r>
    </w:p>
    <w:p w:rsidR="00843E22" w:rsidRPr="00843E22" w:rsidRDefault="00843E22" w:rsidP="00843E22">
      <w:pPr>
        <w:tabs>
          <w:tab w:val="left" w:pos="540"/>
        </w:tabs>
        <w:jc w:val="both"/>
        <w:rPr>
          <w:szCs w:val="22"/>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899"/>
        <w:gridCol w:w="1018"/>
        <w:gridCol w:w="1080"/>
        <w:gridCol w:w="1026"/>
      </w:tblGrid>
      <w:tr w:rsidR="00843E22" w:rsidRPr="00DB5E6C" w:rsidTr="00751596">
        <w:trPr>
          <w:jc w:val="center"/>
        </w:trPr>
        <w:tc>
          <w:tcPr>
            <w:tcW w:w="7023" w:type="dxa"/>
            <w:gridSpan w:val="4"/>
            <w:tcBorders>
              <w:top w:val="single" w:sz="4" w:space="0" w:color="auto"/>
              <w:bottom w:val="single" w:sz="4" w:space="0" w:color="auto"/>
            </w:tcBorders>
            <w:vAlign w:val="center"/>
          </w:tcPr>
          <w:p w:rsidR="00843E22" w:rsidRPr="00DB5E6C" w:rsidRDefault="00843E22" w:rsidP="00751596">
            <w:pPr>
              <w:tabs>
                <w:tab w:val="left" w:pos="540"/>
              </w:tabs>
              <w:spacing w:before="120"/>
              <w:jc w:val="center"/>
              <w:rPr>
                <w:rFonts w:ascii="Arial Narrow" w:hAnsi="Arial Narrow"/>
                <w:b/>
                <w:szCs w:val="22"/>
              </w:rPr>
            </w:pPr>
            <w:r w:rsidRPr="00DB5E6C">
              <w:rPr>
                <w:rFonts w:ascii="Arial Narrow" w:hAnsi="Arial Narrow"/>
                <w:b/>
                <w:szCs w:val="22"/>
              </w:rPr>
              <w:t>Πίνακας 1.2 Βασικά μεγέθη της Ελληνικής Οικονομίας</w:t>
            </w:r>
          </w:p>
          <w:p w:rsidR="00843E22" w:rsidRPr="00DB5E6C" w:rsidRDefault="00843E22" w:rsidP="00751596">
            <w:pPr>
              <w:tabs>
                <w:tab w:val="left" w:pos="540"/>
              </w:tabs>
              <w:spacing w:after="120"/>
              <w:jc w:val="center"/>
              <w:rPr>
                <w:b/>
                <w:szCs w:val="22"/>
              </w:rPr>
            </w:pPr>
            <w:r w:rsidRPr="00DB5E6C">
              <w:rPr>
                <w:rFonts w:ascii="Arial Narrow" w:hAnsi="Arial Narrow"/>
                <w:b/>
                <w:szCs w:val="22"/>
              </w:rPr>
              <w:t>(% ετήσιες μεταβολές, σταθερές τιμές)</w:t>
            </w:r>
          </w:p>
        </w:tc>
      </w:tr>
      <w:tr w:rsidR="00843E22" w:rsidRPr="00DB5E6C" w:rsidTr="00751596">
        <w:trPr>
          <w:jc w:val="center"/>
        </w:trPr>
        <w:tc>
          <w:tcPr>
            <w:tcW w:w="3899" w:type="dxa"/>
            <w:tcBorders>
              <w:top w:val="nil"/>
              <w:bottom w:val="single" w:sz="4" w:space="0" w:color="auto"/>
              <w:right w:val="single" w:sz="4" w:space="0" w:color="auto"/>
            </w:tcBorders>
            <w:vAlign w:val="center"/>
          </w:tcPr>
          <w:p w:rsidR="00843E22" w:rsidRPr="00DB5E6C" w:rsidRDefault="00843E22" w:rsidP="00751596">
            <w:pPr>
              <w:tabs>
                <w:tab w:val="left" w:pos="540"/>
              </w:tabs>
              <w:spacing w:before="60" w:after="60"/>
              <w:jc w:val="both"/>
              <w:rPr>
                <w:rFonts w:ascii="Arial Narrow" w:hAnsi="Arial Narrow"/>
                <w:b/>
                <w:sz w:val="16"/>
                <w:szCs w:val="16"/>
              </w:rPr>
            </w:pPr>
          </w:p>
        </w:tc>
        <w:tc>
          <w:tcPr>
            <w:tcW w:w="1018" w:type="dxa"/>
            <w:tcBorders>
              <w:top w:val="single" w:sz="4" w:space="0" w:color="auto"/>
              <w:left w:val="single" w:sz="4" w:space="0" w:color="auto"/>
              <w:bottom w:val="single" w:sz="4" w:space="0" w:color="auto"/>
              <w:right w:val="single" w:sz="4" w:space="0" w:color="auto"/>
            </w:tcBorders>
            <w:vAlign w:val="center"/>
          </w:tcPr>
          <w:p w:rsidR="00843E22" w:rsidRPr="00DB5E6C" w:rsidRDefault="00843E22" w:rsidP="00751596">
            <w:pPr>
              <w:tabs>
                <w:tab w:val="left" w:pos="540"/>
              </w:tabs>
              <w:spacing w:before="60" w:after="60"/>
              <w:jc w:val="center"/>
              <w:rPr>
                <w:rFonts w:ascii="Arial Narrow" w:hAnsi="Arial Narrow"/>
                <w:b/>
                <w:sz w:val="16"/>
                <w:szCs w:val="16"/>
              </w:rPr>
            </w:pPr>
            <w:r w:rsidRPr="00DB5E6C">
              <w:rPr>
                <w:rFonts w:ascii="Arial Narrow" w:hAnsi="Arial Narrow"/>
                <w:b/>
                <w:sz w:val="16"/>
                <w:szCs w:val="16"/>
              </w:rPr>
              <w:t>2016</w:t>
            </w:r>
          </w:p>
        </w:tc>
        <w:tc>
          <w:tcPr>
            <w:tcW w:w="1080" w:type="dxa"/>
            <w:tcBorders>
              <w:top w:val="nil"/>
              <w:left w:val="single" w:sz="4" w:space="0" w:color="auto"/>
              <w:bottom w:val="single" w:sz="4" w:space="0" w:color="auto"/>
              <w:right w:val="single" w:sz="4" w:space="0" w:color="auto"/>
            </w:tcBorders>
            <w:vAlign w:val="center"/>
          </w:tcPr>
          <w:p w:rsidR="00843E22" w:rsidRPr="00DB5E6C" w:rsidRDefault="00843E22" w:rsidP="00751596">
            <w:pPr>
              <w:tabs>
                <w:tab w:val="left" w:pos="540"/>
              </w:tabs>
              <w:spacing w:before="60" w:after="60"/>
              <w:jc w:val="center"/>
              <w:rPr>
                <w:rFonts w:ascii="Arial Narrow" w:hAnsi="Arial Narrow"/>
                <w:b/>
                <w:sz w:val="16"/>
                <w:szCs w:val="16"/>
              </w:rPr>
            </w:pPr>
            <w:r w:rsidRPr="00DB5E6C">
              <w:rPr>
                <w:rFonts w:ascii="Arial Narrow" w:hAnsi="Arial Narrow"/>
                <w:b/>
                <w:sz w:val="16"/>
                <w:szCs w:val="16"/>
              </w:rPr>
              <w:t>2017**</w:t>
            </w:r>
          </w:p>
        </w:tc>
        <w:tc>
          <w:tcPr>
            <w:tcW w:w="1026" w:type="dxa"/>
            <w:tcBorders>
              <w:left w:val="single" w:sz="4" w:space="0" w:color="auto"/>
              <w:bottom w:val="single" w:sz="4" w:space="0" w:color="auto"/>
            </w:tcBorders>
          </w:tcPr>
          <w:p w:rsidR="00843E22" w:rsidRPr="00DB5E6C" w:rsidRDefault="00843E22" w:rsidP="00751596">
            <w:pPr>
              <w:tabs>
                <w:tab w:val="left" w:pos="540"/>
              </w:tabs>
              <w:spacing w:before="60" w:after="60"/>
              <w:jc w:val="center"/>
              <w:rPr>
                <w:rFonts w:ascii="Arial Narrow" w:hAnsi="Arial Narrow"/>
                <w:b/>
                <w:sz w:val="16"/>
                <w:szCs w:val="16"/>
              </w:rPr>
            </w:pPr>
            <w:r w:rsidRPr="00DB5E6C">
              <w:rPr>
                <w:rFonts w:ascii="Arial Narrow" w:hAnsi="Arial Narrow"/>
                <w:b/>
                <w:sz w:val="16"/>
                <w:szCs w:val="16"/>
              </w:rPr>
              <w:t>2018**</w:t>
            </w:r>
          </w:p>
        </w:tc>
      </w:tr>
      <w:tr w:rsidR="00843E22" w:rsidRPr="00DB5E6C" w:rsidTr="00751596">
        <w:trPr>
          <w:jc w:val="center"/>
        </w:trPr>
        <w:tc>
          <w:tcPr>
            <w:tcW w:w="3899" w:type="dxa"/>
            <w:tcBorders>
              <w:top w:val="single" w:sz="4" w:space="0" w:color="auto"/>
              <w:bottom w:val="nil"/>
              <w:right w:val="nil"/>
            </w:tcBorders>
          </w:tcPr>
          <w:p w:rsidR="00843E22" w:rsidRPr="00DB5E6C" w:rsidRDefault="00843E22" w:rsidP="00751596">
            <w:pPr>
              <w:tabs>
                <w:tab w:val="left" w:pos="540"/>
              </w:tabs>
              <w:jc w:val="both"/>
              <w:rPr>
                <w:rFonts w:ascii="Arial Narrow" w:hAnsi="Arial Narrow"/>
                <w:sz w:val="16"/>
                <w:szCs w:val="16"/>
              </w:rPr>
            </w:pPr>
            <w:r w:rsidRPr="00DB5E6C">
              <w:rPr>
                <w:rFonts w:ascii="Arial Narrow" w:hAnsi="Arial Narrow"/>
                <w:sz w:val="16"/>
                <w:szCs w:val="16"/>
              </w:rPr>
              <w:t>Πραγματικό ΑΕΠ</w:t>
            </w:r>
          </w:p>
        </w:tc>
        <w:tc>
          <w:tcPr>
            <w:tcW w:w="1018" w:type="dxa"/>
            <w:tcBorders>
              <w:top w:val="single" w:sz="4" w:space="0" w:color="auto"/>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0,0</w:t>
            </w:r>
          </w:p>
        </w:tc>
        <w:tc>
          <w:tcPr>
            <w:tcW w:w="1080" w:type="dxa"/>
            <w:tcBorders>
              <w:top w:val="single" w:sz="4" w:space="0" w:color="auto"/>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1,8</w:t>
            </w:r>
          </w:p>
        </w:tc>
        <w:tc>
          <w:tcPr>
            <w:tcW w:w="1026" w:type="dxa"/>
            <w:tcBorders>
              <w:top w:val="single" w:sz="4" w:space="0" w:color="auto"/>
              <w:left w:val="nil"/>
              <w:bottom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2,4</w:t>
            </w:r>
          </w:p>
        </w:tc>
      </w:tr>
      <w:tr w:rsidR="00843E22" w:rsidRPr="00DB5E6C" w:rsidTr="00751596">
        <w:trPr>
          <w:jc w:val="center"/>
        </w:trPr>
        <w:tc>
          <w:tcPr>
            <w:tcW w:w="3899" w:type="dxa"/>
            <w:tcBorders>
              <w:top w:val="nil"/>
              <w:bottom w:val="nil"/>
              <w:right w:val="nil"/>
            </w:tcBorders>
          </w:tcPr>
          <w:p w:rsidR="00843E22" w:rsidRPr="00DB5E6C" w:rsidRDefault="00843E22" w:rsidP="00751596">
            <w:pPr>
              <w:tabs>
                <w:tab w:val="left" w:pos="540"/>
              </w:tabs>
              <w:jc w:val="both"/>
              <w:rPr>
                <w:rFonts w:ascii="Arial Narrow" w:hAnsi="Arial Narrow"/>
                <w:sz w:val="16"/>
                <w:szCs w:val="16"/>
              </w:rPr>
            </w:pPr>
            <w:r w:rsidRPr="00DB5E6C">
              <w:rPr>
                <w:rFonts w:ascii="Arial Narrow" w:hAnsi="Arial Narrow"/>
                <w:sz w:val="16"/>
                <w:szCs w:val="16"/>
              </w:rPr>
              <w:t>Ιδιωτική κατανάλωση</w:t>
            </w:r>
          </w:p>
        </w:tc>
        <w:tc>
          <w:tcPr>
            <w:tcW w:w="1018"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1,4</w:t>
            </w:r>
          </w:p>
        </w:tc>
        <w:tc>
          <w:tcPr>
            <w:tcW w:w="1080"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1,1</w:t>
            </w:r>
          </w:p>
        </w:tc>
        <w:tc>
          <w:tcPr>
            <w:tcW w:w="1026" w:type="dxa"/>
            <w:tcBorders>
              <w:top w:val="nil"/>
              <w:left w:val="nil"/>
              <w:bottom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1,4</w:t>
            </w:r>
          </w:p>
        </w:tc>
      </w:tr>
      <w:tr w:rsidR="00843E22" w:rsidRPr="00DB5E6C" w:rsidTr="00751596">
        <w:trPr>
          <w:jc w:val="center"/>
        </w:trPr>
        <w:tc>
          <w:tcPr>
            <w:tcW w:w="3899" w:type="dxa"/>
            <w:tcBorders>
              <w:top w:val="nil"/>
              <w:bottom w:val="nil"/>
              <w:right w:val="nil"/>
            </w:tcBorders>
          </w:tcPr>
          <w:p w:rsidR="00843E22" w:rsidRPr="00DB5E6C" w:rsidRDefault="00843E22" w:rsidP="00751596">
            <w:pPr>
              <w:tabs>
                <w:tab w:val="left" w:pos="540"/>
              </w:tabs>
              <w:jc w:val="both"/>
              <w:rPr>
                <w:rFonts w:ascii="Arial Narrow" w:hAnsi="Arial Narrow"/>
                <w:sz w:val="16"/>
                <w:szCs w:val="16"/>
              </w:rPr>
            </w:pPr>
            <w:r w:rsidRPr="00DB5E6C">
              <w:rPr>
                <w:rFonts w:ascii="Arial Narrow" w:hAnsi="Arial Narrow"/>
                <w:sz w:val="16"/>
                <w:szCs w:val="16"/>
              </w:rPr>
              <w:t>Δημόσια κατανάλωση</w:t>
            </w:r>
          </w:p>
        </w:tc>
        <w:tc>
          <w:tcPr>
            <w:tcW w:w="1018"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-2,1</w:t>
            </w:r>
          </w:p>
        </w:tc>
        <w:tc>
          <w:tcPr>
            <w:tcW w:w="1080"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1,0</w:t>
            </w:r>
          </w:p>
        </w:tc>
        <w:tc>
          <w:tcPr>
            <w:tcW w:w="1026" w:type="dxa"/>
            <w:tcBorders>
              <w:top w:val="nil"/>
              <w:left w:val="nil"/>
              <w:bottom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-0,2</w:t>
            </w:r>
          </w:p>
        </w:tc>
      </w:tr>
      <w:tr w:rsidR="00843E22" w:rsidRPr="00DB5E6C" w:rsidTr="00751596">
        <w:trPr>
          <w:jc w:val="center"/>
        </w:trPr>
        <w:tc>
          <w:tcPr>
            <w:tcW w:w="3899" w:type="dxa"/>
            <w:tcBorders>
              <w:top w:val="nil"/>
              <w:bottom w:val="nil"/>
              <w:right w:val="nil"/>
            </w:tcBorders>
          </w:tcPr>
          <w:p w:rsidR="00843E22" w:rsidRPr="00DB5E6C" w:rsidRDefault="00843E22" w:rsidP="00751596">
            <w:pPr>
              <w:tabs>
                <w:tab w:val="left" w:pos="540"/>
              </w:tabs>
              <w:jc w:val="both"/>
              <w:rPr>
                <w:rFonts w:ascii="Arial Narrow" w:hAnsi="Arial Narrow"/>
                <w:sz w:val="16"/>
                <w:szCs w:val="16"/>
              </w:rPr>
            </w:pPr>
            <w:r w:rsidRPr="00DB5E6C">
              <w:rPr>
                <w:rFonts w:ascii="Arial Narrow" w:hAnsi="Arial Narrow"/>
                <w:sz w:val="16"/>
                <w:szCs w:val="16"/>
              </w:rPr>
              <w:t>Ακαθάριστος σχηματισμός παγίου κεφαλαίου</w:t>
            </w:r>
          </w:p>
        </w:tc>
        <w:tc>
          <w:tcPr>
            <w:tcW w:w="1018"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0,1</w:t>
            </w:r>
          </w:p>
        </w:tc>
        <w:tc>
          <w:tcPr>
            <w:tcW w:w="1080"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4,3</w:t>
            </w:r>
          </w:p>
        </w:tc>
        <w:tc>
          <w:tcPr>
            <w:tcW w:w="1026" w:type="dxa"/>
            <w:tcBorders>
              <w:top w:val="nil"/>
              <w:left w:val="nil"/>
              <w:bottom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12,6</w:t>
            </w:r>
          </w:p>
        </w:tc>
      </w:tr>
      <w:tr w:rsidR="00843E22" w:rsidRPr="00DB5E6C" w:rsidTr="00751596">
        <w:trPr>
          <w:jc w:val="center"/>
        </w:trPr>
        <w:tc>
          <w:tcPr>
            <w:tcW w:w="3899" w:type="dxa"/>
            <w:tcBorders>
              <w:top w:val="nil"/>
              <w:bottom w:val="nil"/>
              <w:right w:val="nil"/>
            </w:tcBorders>
          </w:tcPr>
          <w:p w:rsidR="00843E22" w:rsidRPr="00DB5E6C" w:rsidRDefault="00843E22" w:rsidP="00751596">
            <w:pPr>
              <w:tabs>
                <w:tab w:val="left" w:pos="540"/>
              </w:tabs>
              <w:jc w:val="both"/>
              <w:rPr>
                <w:rFonts w:ascii="Arial Narrow" w:hAnsi="Arial Narrow"/>
                <w:sz w:val="16"/>
                <w:szCs w:val="16"/>
              </w:rPr>
            </w:pPr>
            <w:r w:rsidRPr="00DB5E6C">
              <w:rPr>
                <w:rFonts w:ascii="Arial Narrow" w:hAnsi="Arial Narrow"/>
                <w:sz w:val="16"/>
                <w:szCs w:val="16"/>
              </w:rPr>
              <w:t>Εξαγωγές αγαθών και υπηρεσιών</w:t>
            </w:r>
          </w:p>
        </w:tc>
        <w:tc>
          <w:tcPr>
            <w:tcW w:w="1018"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-2,0</w:t>
            </w:r>
          </w:p>
        </w:tc>
        <w:tc>
          <w:tcPr>
            <w:tcW w:w="1080"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6,7</w:t>
            </w:r>
          </w:p>
        </w:tc>
        <w:tc>
          <w:tcPr>
            <w:tcW w:w="1026" w:type="dxa"/>
            <w:tcBorders>
              <w:top w:val="nil"/>
              <w:left w:val="nil"/>
              <w:bottom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4,7</w:t>
            </w:r>
          </w:p>
        </w:tc>
      </w:tr>
      <w:tr w:rsidR="00843E22" w:rsidRPr="00DB5E6C" w:rsidTr="00751596">
        <w:trPr>
          <w:jc w:val="center"/>
        </w:trPr>
        <w:tc>
          <w:tcPr>
            <w:tcW w:w="3899" w:type="dxa"/>
            <w:tcBorders>
              <w:top w:val="nil"/>
              <w:bottom w:val="nil"/>
              <w:right w:val="nil"/>
            </w:tcBorders>
          </w:tcPr>
          <w:p w:rsidR="00843E22" w:rsidRPr="00DB5E6C" w:rsidRDefault="00843E22" w:rsidP="00751596">
            <w:pPr>
              <w:tabs>
                <w:tab w:val="left" w:pos="540"/>
              </w:tabs>
              <w:jc w:val="both"/>
              <w:rPr>
                <w:rFonts w:ascii="Arial Narrow" w:hAnsi="Arial Narrow"/>
                <w:sz w:val="16"/>
                <w:szCs w:val="16"/>
              </w:rPr>
            </w:pPr>
            <w:r w:rsidRPr="00DB5E6C">
              <w:rPr>
                <w:rFonts w:ascii="Arial Narrow" w:hAnsi="Arial Narrow"/>
                <w:sz w:val="16"/>
                <w:szCs w:val="16"/>
              </w:rPr>
              <w:t>Εισαγωγές αγαθών και υπηρεσιών</w:t>
            </w:r>
          </w:p>
        </w:tc>
        <w:tc>
          <w:tcPr>
            <w:tcW w:w="1018"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-0,4</w:t>
            </w:r>
          </w:p>
        </w:tc>
        <w:tc>
          <w:tcPr>
            <w:tcW w:w="1080"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5,6</w:t>
            </w:r>
          </w:p>
        </w:tc>
        <w:tc>
          <w:tcPr>
            <w:tcW w:w="1026" w:type="dxa"/>
            <w:tcBorders>
              <w:top w:val="nil"/>
              <w:left w:val="nil"/>
              <w:bottom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4,4</w:t>
            </w:r>
          </w:p>
        </w:tc>
      </w:tr>
      <w:tr w:rsidR="00843E22" w:rsidRPr="00DB5E6C" w:rsidTr="00751596">
        <w:trPr>
          <w:jc w:val="center"/>
        </w:trPr>
        <w:tc>
          <w:tcPr>
            <w:tcW w:w="3899" w:type="dxa"/>
            <w:tcBorders>
              <w:top w:val="nil"/>
              <w:bottom w:val="nil"/>
              <w:right w:val="nil"/>
            </w:tcBorders>
          </w:tcPr>
          <w:p w:rsidR="00843E22" w:rsidRPr="00DB5E6C" w:rsidRDefault="00843E22" w:rsidP="00751596">
            <w:pPr>
              <w:tabs>
                <w:tab w:val="left" w:pos="540"/>
              </w:tabs>
              <w:jc w:val="both"/>
              <w:rPr>
                <w:rFonts w:ascii="Arial Narrow" w:hAnsi="Arial Narrow"/>
                <w:sz w:val="16"/>
                <w:szCs w:val="16"/>
              </w:rPr>
            </w:pPr>
            <w:proofErr w:type="spellStart"/>
            <w:r w:rsidRPr="00DB5E6C">
              <w:rPr>
                <w:rFonts w:ascii="Arial Narrow" w:hAnsi="Arial Narrow"/>
                <w:sz w:val="16"/>
                <w:szCs w:val="16"/>
              </w:rPr>
              <w:t>Αποπληθωριστής</w:t>
            </w:r>
            <w:proofErr w:type="spellEnd"/>
            <w:r w:rsidRPr="00DB5E6C">
              <w:rPr>
                <w:rFonts w:ascii="Arial Narrow" w:hAnsi="Arial Narrow"/>
                <w:sz w:val="16"/>
                <w:szCs w:val="16"/>
              </w:rPr>
              <w:t xml:space="preserve"> ΑΕΠ</w:t>
            </w:r>
          </w:p>
        </w:tc>
        <w:tc>
          <w:tcPr>
            <w:tcW w:w="1018"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0,1</w:t>
            </w:r>
          </w:p>
        </w:tc>
        <w:tc>
          <w:tcPr>
            <w:tcW w:w="1080"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0,7</w:t>
            </w:r>
          </w:p>
        </w:tc>
        <w:tc>
          <w:tcPr>
            <w:tcW w:w="1026" w:type="dxa"/>
            <w:tcBorders>
              <w:top w:val="nil"/>
              <w:left w:val="nil"/>
              <w:bottom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1,2</w:t>
            </w:r>
          </w:p>
        </w:tc>
      </w:tr>
      <w:tr w:rsidR="00843E22" w:rsidRPr="00DB5E6C" w:rsidTr="00751596">
        <w:trPr>
          <w:jc w:val="center"/>
        </w:trPr>
        <w:tc>
          <w:tcPr>
            <w:tcW w:w="3899" w:type="dxa"/>
            <w:tcBorders>
              <w:top w:val="nil"/>
              <w:bottom w:val="nil"/>
              <w:right w:val="nil"/>
            </w:tcBorders>
          </w:tcPr>
          <w:p w:rsidR="00843E22" w:rsidRPr="00DB5E6C" w:rsidRDefault="00843E22" w:rsidP="00751596">
            <w:pPr>
              <w:tabs>
                <w:tab w:val="left" w:pos="540"/>
              </w:tabs>
              <w:jc w:val="both"/>
              <w:rPr>
                <w:rFonts w:ascii="Arial Narrow" w:hAnsi="Arial Narrow"/>
                <w:sz w:val="16"/>
                <w:szCs w:val="16"/>
              </w:rPr>
            </w:pPr>
            <w:r w:rsidRPr="00DB5E6C">
              <w:rPr>
                <w:rFonts w:ascii="Arial Narrow" w:hAnsi="Arial Narrow"/>
                <w:sz w:val="16"/>
                <w:szCs w:val="16"/>
              </w:rPr>
              <w:t>Εναρμονισμένος Δείκτης Τιμών Καταναλωτή</w:t>
            </w:r>
          </w:p>
        </w:tc>
        <w:tc>
          <w:tcPr>
            <w:tcW w:w="1018"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0,0</w:t>
            </w:r>
          </w:p>
        </w:tc>
        <w:tc>
          <w:tcPr>
            <w:tcW w:w="1080"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1,2</w:t>
            </w:r>
          </w:p>
        </w:tc>
        <w:tc>
          <w:tcPr>
            <w:tcW w:w="1026" w:type="dxa"/>
            <w:tcBorders>
              <w:top w:val="nil"/>
              <w:left w:val="nil"/>
              <w:bottom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1,1</w:t>
            </w:r>
          </w:p>
        </w:tc>
      </w:tr>
      <w:tr w:rsidR="00843E22" w:rsidRPr="00DB5E6C" w:rsidTr="00751596">
        <w:trPr>
          <w:jc w:val="center"/>
        </w:trPr>
        <w:tc>
          <w:tcPr>
            <w:tcW w:w="3899" w:type="dxa"/>
            <w:tcBorders>
              <w:top w:val="nil"/>
              <w:bottom w:val="nil"/>
              <w:right w:val="nil"/>
            </w:tcBorders>
          </w:tcPr>
          <w:p w:rsidR="00843E22" w:rsidRPr="00DB5E6C" w:rsidRDefault="00843E22" w:rsidP="00751596">
            <w:pPr>
              <w:tabs>
                <w:tab w:val="left" w:pos="540"/>
              </w:tabs>
              <w:jc w:val="both"/>
              <w:rPr>
                <w:rFonts w:ascii="Arial Narrow" w:hAnsi="Arial Narrow"/>
                <w:sz w:val="16"/>
                <w:szCs w:val="16"/>
              </w:rPr>
            </w:pPr>
            <w:r w:rsidRPr="00DB5E6C">
              <w:rPr>
                <w:rFonts w:ascii="Arial Narrow" w:hAnsi="Arial Narrow"/>
                <w:sz w:val="16"/>
                <w:szCs w:val="16"/>
              </w:rPr>
              <w:t>Απασχόληση*</w:t>
            </w:r>
          </w:p>
        </w:tc>
        <w:tc>
          <w:tcPr>
            <w:tcW w:w="1018"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1,3</w:t>
            </w:r>
          </w:p>
        </w:tc>
        <w:tc>
          <w:tcPr>
            <w:tcW w:w="1080"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1,6</w:t>
            </w:r>
          </w:p>
        </w:tc>
        <w:tc>
          <w:tcPr>
            <w:tcW w:w="1026" w:type="dxa"/>
            <w:tcBorders>
              <w:top w:val="nil"/>
              <w:left w:val="nil"/>
              <w:bottom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1,7</w:t>
            </w:r>
          </w:p>
        </w:tc>
      </w:tr>
      <w:tr w:rsidR="00843E22" w:rsidRPr="00DB5E6C" w:rsidTr="00751596">
        <w:trPr>
          <w:jc w:val="center"/>
        </w:trPr>
        <w:tc>
          <w:tcPr>
            <w:tcW w:w="3899" w:type="dxa"/>
            <w:tcBorders>
              <w:top w:val="nil"/>
              <w:bottom w:val="nil"/>
              <w:right w:val="nil"/>
            </w:tcBorders>
          </w:tcPr>
          <w:p w:rsidR="00843E22" w:rsidRPr="00DB5E6C" w:rsidRDefault="00843E22" w:rsidP="00751596">
            <w:pPr>
              <w:tabs>
                <w:tab w:val="left" w:pos="540"/>
              </w:tabs>
              <w:jc w:val="both"/>
              <w:rPr>
                <w:rFonts w:ascii="Arial Narrow" w:hAnsi="Arial Narrow"/>
                <w:sz w:val="16"/>
                <w:szCs w:val="16"/>
              </w:rPr>
            </w:pPr>
            <w:r w:rsidRPr="00DB5E6C">
              <w:rPr>
                <w:rFonts w:ascii="Arial Narrow" w:hAnsi="Arial Narrow"/>
                <w:sz w:val="16"/>
                <w:szCs w:val="16"/>
              </w:rPr>
              <w:t>Ποσοστό ανεργίας*</w:t>
            </w:r>
          </w:p>
        </w:tc>
        <w:tc>
          <w:tcPr>
            <w:tcW w:w="1018"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21,7</w:t>
            </w:r>
          </w:p>
        </w:tc>
        <w:tc>
          <w:tcPr>
            <w:tcW w:w="1080" w:type="dxa"/>
            <w:tcBorders>
              <w:top w:val="nil"/>
              <w:left w:val="nil"/>
              <w:bottom w:val="nil"/>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20,2</w:t>
            </w:r>
          </w:p>
        </w:tc>
        <w:tc>
          <w:tcPr>
            <w:tcW w:w="1026" w:type="dxa"/>
            <w:tcBorders>
              <w:top w:val="nil"/>
              <w:left w:val="nil"/>
              <w:bottom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19,0</w:t>
            </w:r>
          </w:p>
        </w:tc>
      </w:tr>
      <w:tr w:rsidR="00843E22" w:rsidRPr="00DB5E6C" w:rsidTr="00751596">
        <w:trPr>
          <w:jc w:val="center"/>
        </w:trPr>
        <w:tc>
          <w:tcPr>
            <w:tcW w:w="3899" w:type="dxa"/>
            <w:tcBorders>
              <w:top w:val="nil"/>
              <w:bottom w:val="single" w:sz="4" w:space="0" w:color="auto"/>
              <w:right w:val="nil"/>
            </w:tcBorders>
          </w:tcPr>
          <w:p w:rsidR="00843E22" w:rsidRPr="00DB5E6C" w:rsidRDefault="00843E22" w:rsidP="00751596">
            <w:pPr>
              <w:tabs>
                <w:tab w:val="left" w:pos="540"/>
              </w:tabs>
              <w:jc w:val="both"/>
              <w:rPr>
                <w:rFonts w:ascii="Arial Narrow" w:hAnsi="Arial Narrow"/>
                <w:sz w:val="16"/>
                <w:szCs w:val="16"/>
              </w:rPr>
            </w:pPr>
            <w:r w:rsidRPr="00DB5E6C">
              <w:rPr>
                <w:rFonts w:ascii="Arial Narrow" w:hAnsi="Arial Narrow"/>
                <w:sz w:val="16"/>
                <w:szCs w:val="16"/>
              </w:rPr>
              <w:t>Ποσοστό ανεργίας (Έρευνα Εργατικού Δυναμικού)</w:t>
            </w:r>
          </w:p>
        </w:tc>
        <w:tc>
          <w:tcPr>
            <w:tcW w:w="1018" w:type="dxa"/>
            <w:tcBorders>
              <w:top w:val="nil"/>
              <w:left w:val="nil"/>
              <w:bottom w:val="single" w:sz="4" w:space="0" w:color="auto"/>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23,5</w:t>
            </w:r>
          </w:p>
        </w:tc>
        <w:tc>
          <w:tcPr>
            <w:tcW w:w="1080" w:type="dxa"/>
            <w:tcBorders>
              <w:top w:val="nil"/>
              <w:left w:val="nil"/>
              <w:bottom w:val="single" w:sz="4" w:space="0" w:color="auto"/>
              <w:right w:val="nil"/>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22,0</w:t>
            </w:r>
          </w:p>
        </w:tc>
        <w:tc>
          <w:tcPr>
            <w:tcW w:w="1026" w:type="dxa"/>
            <w:tcBorders>
              <w:top w:val="nil"/>
              <w:left w:val="nil"/>
              <w:bottom w:val="single" w:sz="4" w:space="0" w:color="auto"/>
            </w:tcBorders>
            <w:vAlign w:val="center"/>
          </w:tcPr>
          <w:p w:rsidR="00843E22" w:rsidRPr="00DB5E6C" w:rsidRDefault="00843E22" w:rsidP="00751596">
            <w:pPr>
              <w:tabs>
                <w:tab w:val="decimal" w:pos="357"/>
              </w:tabs>
              <w:jc w:val="both"/>
              <w:rPr>
                <w:rFonts w:ascii="Arial Narrow" w:hAnsi="Arial Narrow"/>
                <w:sz w:val="16"/>
                <w:szCs w:val="16"/>
              </w:rPr>
            </w:pPr>
            <w:r w:rsidRPr="00DB5E6C">
              <w:rPr>
                <w:rFonts w:ascii="Arial Narrow" w:hAnsi="Arial Narrow"/>
                <w:sz w:val="16"/>
                <w:szCs w:val="16"/>
              </w:rPr>
              <w:t>20,8</w:t>
            </w:r>
          </w:p>
        </w:tc>
      </w:tr>
    </w:tbl>
    <w:p w:rsidR="00843E22" w:rsidRPr="00DB5E6C" w:rsidRDefault="00843E22" w:rsidP="00843E22">
      <w:pPr>
        <w:tabs>
          <w:tab w:val="left" w:pos="1134"/>
          <w:tab w:val="left" w:pos="1276"/>
        </w:tabs>
        <w:ind w:left="360"/>
        <w:jc w:val="both"/>
        <w:rPr>
          <w:rFonts w:ascii="Arial Narrow" w:hAnsi="Arial Narrow"/>
          <w:sz w:val="18"/>
          <w:szCs w:val="18"/>
        </w:rPr>
      </w:pPr>
      <w:r w:rsidRPr="00DB5E6C">
        <w:rPr>
          <w:rFonts w:ascii="Arial Narrow" w:hAnsi="Arial Narrow"/>
          <w:sz w:val="18"/>
        </w:rPr>
        <w:tab/>
        <w:t>*</w:t>
      </w:r>
      <w:r w:rsidRPr="00DB5E6C">
        <w:rPr>
          <w:rFonts w:ascii="Arial Narrow" w:hAnsi="Arial Narrow"/>
          <w:sz w:val="18"/>
        </w:rPr>
        <w:tab/>
        <w:t xml:space="preserve">Σε </w:t>
      </w:r>
      <w:proofErr w:type="spellStart"/>
      <w:r w:rsidRPr="00DB5E6C">
        <w:rPr>
          <w:rFonts w:ascii="Arial Narrow" w:hAnsi="Arial Narrow"/>
          <w:sz w:val="18"/>
        </w:rPr>
        <w:t>εθνικολογιστική</w:t>
      </w:r>
      <w:proofErr w:type="spellEnd"/>
      <w:r w:rsidRPr="00DB5E6C">
        <w:rPr>
          <w:rFonts w:ascii="Arial Narrow" w:hAnsi="Arial Narrow"/>
          <w:sz w:val="18"/>
        </w:rPr>
        <w:t xml:space="preserve"> βάση</w:t>
      </w:r>
    </w:p>
    <w:p w:rsidR="00843E22" w:rsidRPr="00DB5E6C" w:rsidRDefault="00843E22" w:rsidP="00843E22">
      <w:pPr>
        <w:tabs>
          <w:tab w:val="left" w:pos="1134"/>
          <w:tab w:val="left" w:pos="1276"/>
        </w:tabs>
        <w:jc w:val="both"/>
        <w:rPr>
          <w:rFonts w:ascii="Arial Narrow" w:hAnsi="Arial Narrow"/>
          <w:sz w:val="18"/>
          <w:szCs w:val="18"/>
        </w:rPr>
      </w:pPr>
      <w:r w:rsidRPr="00DB5E6C">
        <w:rPr>
          <w:rFonts w:ascii="Arial Narrow" w:hAnsi="Arial Narrow"/>
          <w:sz w:val="18"/>
          <w:szCs w:val="18"/>
        </w:rPr>
        <w:tab/>
        <w:t>** Προβλέψεις</w:t>
      </w:r>
    </w:p>
    <w:p w:rsidR="00843E22" w:rsidRDefault="00843E22" w:rsidP="00843E22">
      <w:pPr>
        <w:tabs>
          <w:tab w:val="left" w:pos="540"/>
        </w:tabs>
        <w:jc w:val="both"/>
        <w:rPr>
          <w:szCs w:val="22"/>
        </w:rPr>
      </w:pPr>
    </w:p>
    <w:p w:rsidR="00A455C0" w:rsidRDefault="00A455C0" w:rsidP="00843E22">
      <w:pPr>
        <w:tabs>
          <w:tab w:val="left" w:pos="540"/>
        </w:tabs>
        <w:jc w:val="both"/>
        <w:rPr>
          <w:szCs w:val="22"/>
        </w:rPr>
      </w:pPr>
    </w:p>
    <w:p w:rsidR="00843E22" w:rsidRPr="00843E22" w:rsidRDefault="00843E22" w:rsidP="00843E22">
      <w:pPr>
        <w:tabs>
          <w:tab w:val="left" w:pos="540"/>
        </w:tabs>
        <w:jc w:val="both"/>
        <w:rPr>
          <w:szCs w:val="22"/>
        </w:rPr>
      </w:pPr>
      <w:r w:rsidRPr="00843E22">
        <w:rPr>
          <w:szCs w:val="22"/>
        </w:rPr>
        <w:t xml:space="preserve">Σε ετήσια βάση, το ΑΕΠ αναμένεται να αυξηθεί το 2018 κατά 3,6% σε τρέχουσες τιμές και κατά 2,4% σε σταθερές τιμές, γεγονός που υποδηλώνει την ομαλή αύξηση του </w:t>
      </w:r>
      <w:proofErr w:type="spellStart"/>
      <w:r w:rsidRPr="00843E22">
        <w:rPr>
          <w:szCs w:val="22"/>
        </w:rPr>
        <w:t>αποπληθωρι</w:t>
      </w:r>
      <w:r w:rsidRPr="00843E22">
        <w:rPr>
          <w:szCs w:val="22"/>
        </w:rPr>
        <w:t>σ</w:t>
      </w:r>
      <w:r w:rsidRPr="00843E22">
        <w:rPr>
          <w:szCs w:val="22"/>
        </w:rPr>
        <w:t>τή</w:t>
      </w:r>
      <w:proofErr w:type="spellEnd"/>
      <w:r w:rsidRPr="00843E22">
        <w:rPr>
          <w:szCs w:val="22"/>
        </w:rPr>
        <w:t xml:space="preserve"> του ΑΕΠ (1,2%).</w:t>
      </w:r>
    </w:p>
    <w:p w:rsidR="00843E22" w:rsidRDefault="00843E22" w:rsidP="00843E22">
      <w:pPr>
        <w:tabs>
          <w:tab w:val="left" w:pos="540"/>
        </w:tabs>
        <w:jc w:val="both"/>
        <w:rPr>
          <w:szCs w:val="22"/>
        </w:rPr>
      </w:pPr>
    </w:p>
    <w:p w:rsidR="00A455C0" w:rsidRDefault="00A455C0" w:rsidP="00843E22">
      <w:pPr>
        <w:tabs>
          <w:tab w:val="left" w:pos="540"/>
        </w:tabs>
        <w:jc w:val="both"/>
        <w:rPr>
          <w:szCs w:val="22"/>
        </w:rPr>
      </w:pPr>
    </w:p>
    <w:p w:rsidR="00843E22" w:rsidRDefault="00843E22" w:rsidP="00843E22">
      <w:pPr>
        <w:tabs>
          <w:tab w:val="left" w:pos="540"/>
        </w:tabs>
        <w:jc w:val="both"/>
        <w:rPr>
          <w:szCs w:val="22"/>
        </w:rPr>
      </w:pPr>
      <w:r w:rsidRPr="00843E22">
        <w:rPr>
          <w:szCs w:val="22"/>
        </w:rPr>
        <w:lastRenderedPageBreak/>
        <w:t>Η πρόβλεψη για μεγαλύτερη ανάπτυξη στηρίζεται στις προβλέψεις για:</w:t>
      </w:r>
    </w:p>
    <w:p w:rsidR="00843E22" w:rsidRPr="00843E22" w:rsidRDefault="00843E22" w:rsidP="00843E22">
      <w:pPr>
        <w:tabs>
          <w:tab w:val="left" w:pos="540"/>
        </w:tabs>
        <w:jc w:val="both"/>
        <w:rPr>
          <w:szCs w:val="22"/>
        </w:rPr>
      </w:pPr>
    </w:p>
    <w:p w:rsidR="00843E22" w:rsidRPr="00843E22" w:rsidRDefault="00843E22" w:rsidP="00C42D86">
      <w:pPr>
        <w:numPr>
          <w:ilvl w:val="0"/>
          <w:numId w:val="3"/>
        </w:numPr>
        <w:ind w:left="284" w:hanging="284"/>
        <w:jc w:val="both"/>
        <w:rPr>
          <w:szCs w:val="22"/>
        </w:rPr>
      </w:pPr>
      <w:r w:rsidRPr="00843E22">
        <w:rPr>
          <w:szCs w:val="22"/>
        </w:rPr>
        <w:t>θετική συνεισφορά από την ιδιωτική κατανάλωση (κατά 1% του πραγματικού ΑΕΠ), που ενισχύεται από την ταχύτερη αύξηση της απασχόλησης και τη συνεχιζόμενη μείωση της ανεργίας,</w:t>
      </w:r>
    </w:p>
    <w:p w:rsidR="00843E22" w:rsidRPr="00843E22" w:rsidRDefault="00843E22" w:rsidP="00C42D86">
      <w:pPr>
        <w:numPr>
          <w:ilvl w:val="0"/>
          <w:numId w:val="3"/>
        </w:numPr>
        <w:ind w:left="284" w:hanging="284"/>
        <w:jc w:val="both"/>
        <w:rPr>
          <w:szCs w:val="22"/>
        </w:rPr>
      </w:pPr>
      <w:r w:rsidRPr="00843E22">
        <w:rPr>
          <w:szCs w:val="22"/>
        </w:rPr>
        <w:t>θετική συνεισφορά από τον ακαθάριστο σχηματισμό παγίου κεφαλαίου (κατά 1,5% του πραγματικού ΑΕΠ), που αναμένεται να αυξηθεί με διψήφιο ρυθμό λόγω του ευνοϊκότερου επενδυτικού περιβάλλοντος στη βάση των υλοποιούμενων μεταρρυθμίσεων του προγρά</w:t>
      </w:r>
      <w:r w:rsidRPr="00843E22">
        <w:rPr>
          <w:szCs w:val="22"/>
        </w:rPr>
        <w:t>μ</w:t>
      </w:r>
      <w:r w:rsidRPr="00843E22">
        <w:rPr>
          <w:szCs w:val="22"/>
        </w:rPr>
        <w:t xml:space="preserve">ματος αλλά και της αυξημένης ζήτησης, </w:t>
      </w:r>
    </w:p>
    <w:p w:rsidR="00843E22" w:rsidRPr="00843E22" w:rsidRDefault="00843E22" w:rsidP="00C42D86">
      <w:pPr>
        <w:numPr>
          <w:ilvl w:val="0"/>
          <w:numId w:val="3"/>
        </w:numPr>
        <w:ind w:left="284" w:hanging="284"/>
        <w:jc w:val="both"/>
        <w:rPr>
          <w:szCs w:val="22"/>
        </w:rPr>
      </w:pPr>
      <w:r w:rsidRPr="00843E22">
        <w:rPr>
          <w:szCs w:val="22"/>
        </w:rPr>
        <w:t>μικρή περαιτέρω βελτίωση το</w:t>
      </w:r>
      <w:r w:rsidR="00AA7394">
        <w:rPr>
          <w:szCs w:val="22"/>
        </w:rPr>
        <w:t>υ</w:t>
      </w:r>
      <w:r w:rsidRPr="00843E22">
        <w:rPr>
          <w:szCs w:val="22"/>
        </w:rPr>
        <w:t xml:space="preserve"> πραγματικ</w:t>
      </w:r>
      <w:r w:rsidR="00AA7394">
        <w:rPr>
          <w:szCs w:val="22"/>
        </w:rPr>
        <w:t xml:space="preserve">ού </w:t>
      </w:r>
      <w:proofErr w:type="spellStart"/>
      <w:r w:rsidR="00AA7394">
        <w:rPr>
          <w:szCs w:val="22"/>
        </w:rPr>
        <w:t>ε</w:t>
      </w:r>
      <w:r w:rsidRPr="00843E22">
        <w:rPr>
          <w:szCs w:val="22"/>
        </w:rPr>
        <w:t>λλε</w:t>
      </w:r>
      <w:r w:rsidR="00AA7394">
        <w:rPr>
          <w:szCs w:val="22"/>
        </w:rPr>
        <w:t>ίματος</w:t>
      </w:r>
      <w:proofErr w:type="spellEnd"/>
      <w:r w:rsidR="00AA7394">
        <w:rPr>
          <w:szCs w:val="22"/>
        </w:rPr>
        <w:t xml:space="preserve"> </w:t>
      </w:r>
      <w:r w:rsidRPr="00843E22">
        <w:rPr>
          <w:szCs w:val="22"/>
        </w:rPr>
        <w:t>στο ισοζύγιο αγαθών και υπηρ</w:t>
      </w:r>
      <w:r w:rsidRPr="00843E22">
        <w:rPr>
          <w:szCs w:val="22"/>
        </w:rPr>
        <w:t>ε</w:t>
      </w:r>
      <w:r w:rsidRPr="00843E22">
        <w:rPr>
          <w:szCs w:val="22"/>
        </w:rPr>
        <w:t>σιών, εν μέσω αυξήσεων στην εξαγωγική και εισαγωγική δραστηριότητα.</w:t>
      </w:r>
    </w:p>
    <w:p w:rsidR="00843E22" w:rsidRDefault="00843E22" w:rsidP="00843E22">
      <w:pPr>
        <w:tabs>
          <w:tab w:val="left" w:pos="540"/>
        </w:tabs>
        <w:jc w:val="both"/>
        <w:rPr>
          <w:szCs w:val="22"/>
        </w:rPr>
      </w:pPr>
    </w:p>
    <w:p w:rsidR="00843E22" w:rsidRPr="00843E22" w:rsidRDefault="00843E22" w:rsidP="00843E22">
      <w:pPr>
        <w:tabs>
          <w:tab w:val="left" w:pos="540"/>
        </w:tabs>
        <w:jc w:val="both"/>
        <w:rPr>
          <w:szCs w:val="22"/>
        </w:rPr>
      </w:pPr>
      <w:r w:rsidRPr="00843E22">
        <w:rPr>
          <w:szCs w:val="22"/>
        </w:rPr>
        <w:t>Ο ετήσιος ρυθμός πληθωρισμού αναμένεται να κυμανθεί στο 1,1%, βάσει του Εναρμονισμ</w:t>
      </w:r>
      <w:r w:rsidRPr="00843E22">
        <w:rPr>
          <w:szCs w:val="22"/>
        </w:rPr>
        <w:t>έ</w:t>
      </w:r>
      <w:r w:rsidRPr="00843E22">
        <w:rPr>
          <w:szCs w:val="22"/>
        </w:rPr>
        <w:t>νου ΔΤΚ, ελάχιστα χαμηλότερα από το ρυθμό του 2017. Η μετριοπαθής</w:t>
      </w:r>
      <w:r w:rsidR="005C2D49">
        <w:rPr>
          <w:szCs w:val="22"/>
        </w:rPr>
        <w:t xml:space="preserve"> </w:t>
      </w:r>
      <w:r w:rsidRPr="00843E22">
        <w:rPr>
          <w:szCs w:val="22"/>
        </w:rPr>
        <w:t>πορεία ανόδου του εξηγείται από την υπερβάλλουσα παραγωγική δυναμικότητα της οικονομίας και την εξά</w:t>
      </w:r>
      <w:r w:rsidRPr="00843E22">
        <w:rPr>
          <w:szCs w:val="22"/>
        </w:rPr>
        <w:t>ν</w:t>
      </w:r>
      <w:r w:rsidRPr="00843E22">
        <w:rPr>
          <w:szCs w:val="22"/>
        </w:rPr>
        <w:t>τληση, μέσα στο 2017, της επίδρασης των αυξήσεων στην έμμεση φορολογία.</w:t>
      </w:r>
    </w:p>
    <w:p w:rsidR="00843E22" w:rsidRDefault="00843E22" w:rsidP="00843E22">
      <w:pPr>
        <w:tabs>
          <w:tab w:val="left" w:pos="540"/>
        </w:tabs>
        <w:jc w:val="both"/>
        <w:rPr>
          <w:szCs w:val="22"/>
        </w:rPr>
      </w:pPr>
    </w:p>
    <w:p w:rsidR="00843E22" w:rsidRDefault="00843E22" w:rsidP="00843E22">
      <w:pPr>
        <w:tabs>
          <w:tab w:val="left" w:pos="540"/>
        </w:tabs>
        <w:jc w:val="both"/>
        <w:rPr>
          <w:szCs w:val="22"/>
        </w:rPr>
      </w:pPr>
      <w:r w:rsidRPr="00843E22">
        <w:rPr>
          <w:szCs w:val="22"/>
        </w:rPr>
        <w:t>Η επαλήθευση των τρεχουσών εκτιμήσεων για το 2018 εξαρτάται από την πραγματοποίηση των παρακάτω οροσήμων που ενσωματώνονται στις υποθέσεις του βασικού μακροοικονομ</w:t>
      </w:r>
      <w:r w:rsidRPr="00843E22">
        <w:rPr>
          <w:szCs w:val="22"/>
        </w:rPr>
        <w:t>ι</w:t>
      </w:r>
      <w:r w:rsidRPr="00843E22">
        <w:rPr>
          <w:szCs w:val="22"/>
        </w:rPr>
        <w:t>κού σεναρίου:</w:t>
      </w:r>
    </w:p>
    <w:p w:rsidR="00BE0153" w:rsidRPr="00843E22" w:rsidRDefault="00BE0153" w:rsidP="00843E22">
      <w:pPr>
        <w:tabs>
          <w:tab w:val="left" w:pos="540"/>
        </w:tabs>
        <w:jc w:val="both"/>
        <w:rPr>
          <w:szCs w:val="22"/>
        </w:rPr>
      </w:pPr>
    </w:p>
    <w:p w:rsidR="00843E22" w:rsidRDefault="00843E22" w:rsidP="00C42D86">
      <w:pPr>
        <w:numPr>
          <w:ilvl w:val="0"/>
          <w:numId w:val="3"/>
        </w:numPr>
        <w:ind w:left="284" w:hanging="284"/>
        <w:jc w:val="both"/>
        <w:rPr>
          <w:szCs w:val="22"/>
        </w:rPr>
      </w:pPr>
      <w:r w:rsidRPr="00843E22">
        <w:rPr>
          <w:szCs w:val="22"/>
        </w:rPr>
        <w:t>της ομαλής προόδου του προγράμματος στήριξης μέσω του ΕΜΣ, έως την ολοκλήρωση του τον Αύγουστο του 2018,</w:t>
      </w:r>
    </w:p>
    <w:p w:rsidR="00BE0153" w:rsidRPr="00843E22" w:rsidRDefault="00BE0153" w:rsidP="00BE0153">
      <w:pPr>
        <w:ind w:left="284"/>
        <w:jc w:val="both"/>
        <w:rPr>
          <w:szCs w:val="22"/>
        </w:rPr>
      </w:pPr>
    </w:p>
    <w:p w:rsidR="00843E22" w:rsidRDefault="00843E22" w:rsidP="00C42D86">
      <w:pPr>
        <w:numPr>
          <w:ilvl w:val="0"/>
          <w:numId w:val="3"/>
        </w:numPr>
        <w:ind w:left="284" w:hanging="284"/>
        <w:jc w:val="both"/>
        <w:rPr>
          <w:szCs w:val="22"/>
        </w:rPr>
      </w:pPr>
      <w:r w:rsidRPr="00843E22">
        <w:rPr>
          <w:szCs w:val="22"/>
        </w:rPr>
        <w:t xml:space="preserve">της ομαλής επιστροφής της χώρας στη χρηματοδότηση από τις διεθνείς αγορές, με την </w:t>
      </w:r>
      <w:r w:rsidRPr="00843E22">
        <w:rPr>
          <w:szCs w:val="22"/>
        </w:rPr>
        <w:t>υ</w:t>
      </w:r>
      <w:r w:rsidRPr="00843E22">
        <w:rPr>
          <w:szCs w:val="22"/>
        </w:rPr>
        <w:t>ποστήριξη των</w:t>
      </w:r>
      <w:r w:rsidR="00203196">
        <w:rPr>
          <w:szCs w:val="22"/>
        </w:rPr>
        <w:t xml:space="preserve"> θ</w:t>
      </w:r>
      <w:r w:rsidRPr="00843E22">
        <w:rPr>
          <w:szCs w:val="22"/>
        </w:rPr>
        <w:t>εσμών στο πλαίσιο του τρέχοντος προγράμματος στήριξης,</w:t>
      </w:r>
    </w:p>
    <w:p w:rsidR="00BE0153" w:rsidRPr="00843E22" w:rsidRDefault="00BE0153" w:rsidP="00BE0153">
      <w:pPr>
        <w:ind w:left="284"/>
        <w:jc w:val="both"/>
        <w:rPr>
          <w:szCs w:val="22"/>
        </w:rPr>
      </w:pPr>
    </w:p>
    <w:p w:rsidR="00843E22" w:rsidRDefault="00843E22" w:rsidP="00C42D86">
      <w:pPr>
        <w:numPr>
          <w:ilvl w:val="0"/>
          <w:numId w:val="3"/>
        </w:numPr>
        <w:ind w:left="284" w:hanging="284"/>
        <w:jc w:val="both"/>
        <w:rPr>
          <w:szCs w:val="22"/>
        </w:rPr>
      </w:pPr>
      <w:r w:rsidRPr="00843E22">
        <w:rPr>
          <w:szCs w:val="22"/>
        </w:rPr>
        <w:t>της εφαρμογής των μεσοπρόθεσμων μέτρων για τη διασφάλιση της βιωσιμότητας του δ</w:t>
      </w:r>
      <w:r w:rsidRPr="00843E22">
        <w:rPr>
          <w:szCs w:val="22"/>
        </w:rPr>
        <w:t>η</w:t>
      </w:r>
      <w:r w:rsidRPr="00843E22">
        <w:rPr>
          <w:szCs w:val="22"/>
        </w:rPr>
        <w:t>μόσιου χρέους (συμπεριλαμβανομένης της πλήρους εξειδίκευσης του μηχανισμού πρ</w:t>
      </w:r>
      <w:r w:rsidRPr="00843E22">
        <w:rPr>
          <w:szCs w:val="22"/>
        </w:rPr>
        <w:t>ο</w:t>
      </w:r>
      <w:r w:rsidRPr="00843E22">
        <w:rPr>
          <w:szCs w:val="22"/>
        </w:rPr>
        <w:t>σαρμογής των μέτρων ελάφρυνσης στην πραγματική εξέλιξη του ΑΕΠ), και</w:t>
      </w:r>
    </w:p>
    <w:p w:rsidR="00BE0153" w:rsidRPr="00843E22" w:rsidRDefault="00BE0153" w:rsidP="00BE0153">
      <w:pPr>
        <w:ind w:left="284"/>
        <w:jc w:val="both"/>
        <w:rPr>
          <w:szCs w:val="22"/>
        </w:rPr>
      </w:pPr>
    </w:p>
    <w:p w:rsidR="00843E22" w:rsidRDefault="00843E22" w:rsidP="00C42D86">
      <w:pPr>
        <w:numPr>
          <w:ilvl w:val="0"/>
          <w:numId w:val="3"/>
        </w:numPr>
        <w:ind w:left="284" w:hanging="284"/>
        <w:jc w:val="both"/>
        <w:rPr>
          <w:szCs w:val="22"/>
        </w:rPr>
      </w:pPr>
      <w:r w:rsidRPr="00843E22">
        <w:rPr>
          <w:szCs w:val="22"/>
        </w:rPr>
        <w:t xml:space="preserve">της επικράτησης ομαλών συνθηκών στο διεθνές γεωπολιτικό και οικονομικό περιβάλλον, έναντι των διεθνών αναταράξεων που επενέργησαν από το 2015 (προσφυγική κρίση, </w:t>
      </w:r>
      <w:r w:rsidRPr="00843E22">
        <w:rPr>
          <w:szCs w:val="22"/>
        </w:rPr>
        <w:t>ε</w:t>
      </w:r>
      <w:r w:rsidRPr="00843E22">
        <w:rPr>
          <w:szCs w:val="22"/>
        </w:rPr>
        <w:t>σωστρέφεια σε επίπεδο κρατών-μελών τη</w:t>
      </w:r>
      <w:r w:rsidR="00340BC0">
        <w:rPr>
          <w:szCs w:val="22"/>
        </w:rPr>
        <w:t>ς ΕΕ, πολιτική αποκλίσεων από το γενικότερο πνεύμα της</w:t>
      </w:r>
      <w:r w:rsidRPr="00843E22">
        <w:rPr>
          <w:szCs w:val="22"/>
        </w:rPr>
        <w:t xml:space="preserve"> παγκόσμια</w:t>
      </w:r>
      <w:r w:rsidR="00340BC0">
        <w:rPr>
          <w:szCs w:val="22"/>
        </w:rPr>
        <w:t>ς</w:t>
      </w:r>
      <w:r w:rsidRPr="00843E22">
        <w:rPr>
          <w:szCs w:val="22"/>
        </w:rPr>
        <w:t xml:space="preserve"> συνεργασία</w:t>
      </w:r>
      <w:r w:rsidR="00340BC0">
        <w:rPr>
          <w:szCs w:val="22"/>
        </w:rPr>
        <w:t>ς</w:t>
      </w:r>
      <w:r w:rsidRPr="00843E22">
        <w:rPr>
          <w:szCs w:val="22"/>
        </w:rPr>
        <w:t>).</w:t>
      </w:r>
    </w:p>
    <w:p w:rsidR="004213BC" w:rsidRDefault="004213BC" w:rsidP="004213BC">
      <w:pPr>
        <w:jc w:val="both"/>
        <w:rPr>
          <w:szCs w:val="22"/>
        </w:rPr>
      </w:pPr>
    </w:p>
    <w:p w:rsidR="004213BC" w:rsidRPr="00843E22" w:rsidRDefault="004213BC" w:rsidP="004213BC">
      <w:pPr>
        <w:jc w:val="both"/>
        <w:rPr>
          <w:szCs w:val="22"/>
        </w:rPr>
      </w:pPr>
    </w:p>
    <w:p w:rsidR="004213BC" w:rsidRDefault="004213BC">
      <w:pPr>
        <w:rPr>
          <w:szCs w:val="22"/>
        </w:rPr>
        <w:sectPr w:rsidR="004213BC" w:rsidSect="004213BC">
          <w:headerReference w:type="even" r:id="rId10"/>
          <w:headerReference w:type="default" r:id="rId11"/>
          <w:footerReference w:type="even" r:id="rId12"/>
          <w:footerReference w:type="default" r:id="rId13"/>
          <w:pgSz w:w="11906" w:h="16838" w:code="9"/>
          <w:pgMar w:top="1418" w:right="1418" w:bottom="1418" w:left="1418" w:header="709" w:footer="709" w:gutter="0"/>
          <w:pgNumType w:start="7"/>
          <w:cols w:space="708"/>
          <w:docGrid w:linePitch="360"/>
        </w:sectPr>
      </w:pPr>
    </w:p>
    <w:p w:rsidR="004F40E8" w:rsidRDefault="004F40E8">
      <w:pPr>
        <w:rPr>
          <w:szCs w:val="22"/>
        </w:rPr>
      </w:pPr>
    </w:p>
    <w:p w:rsidR="004F40E8" w:rsidRPr="004F40E8" w:rsidRDefault="004F40E8" w:rsidP="004F40E8">
      <w:pPr>
        <w:spacing w:line="228" w:lineRule="auto"/>
        <w:contextualSpacing/>
        <w:jc w:val="both"/>
        <w:rPr>
          <w:rFonts w:ascii="Arial Narrow" w:hAnsi="Arial Narrow"/>
          <w:b/>
          <w:color w:val="000080"/>
          <w:sz w:val="40"/>
          <w:szCs w:val="22"/>
        </w:rPr>
      </w:pPr>
      <w:r w:rsidRPr="004F40E8">
        <w:rPr>
          <w:rFonts w:ascii="Arial Narrow" w:hAnsi="Arial Narrow"/>
          <w:b/>
          <w:color w:val="000080"/>
          <w:sz w:val="40"/>
          <w:szCs w:val="22"/>
        </w:rPr>
        <w:t>ΠΡΟΫΠΟΛΟΓΙΣΜΟΣ ΓΕΝΙΚΗΣ ΚΥΒΕΡΝΗΣΗΣ</w:t>
      </w:r>
    </w:p>
    <w:p w:rsidR="004F40E8" w:rsidRPr="004F40E8" w:rsidRDefault="004F40E8" w:rsidP="004F40E8">
      <w:pPr>
        <w:spacing w:line="228" w:lineRule="auto"/>
        <w:contextualSpacing/>
        <w:jc w:val="both"/>
      </w:pPr>
    </w:p>
    <w:p w:rsidR="004F40E8" w:rsidRPr="004F40E8" w:rsidRDefault="004F40E8" w:rsidP="004F40E8">
      <w:pPr>
        <w:spacing w:line="228" w:lineRule="auto"/>
        <w:contextualSpacing/>
        <w:jc w:val="both"/>
      </w:pPr>
    </w:p>
    <w:p w:rsidR="004F40E8" w:rsidRPr="004F40E8" w:rsidRDefault="004F40E8" w:rsidP="004F40E8">
      <w:pPr>
        <w:spacing w:line="228" w:lineRule="auto"/>
        <w:contextualSpacing/>
        <w:jc w:val="both"/>
      </w:pPr>
    </w:p>
    <w:p w:rsidR="004F40E8" w:rsidRPr="004F40E8" w:rsidRDefault="004F40E8" w:rsidP="004F40E8">
      <w:pPr>
        <w:shd w:val="clear" w:color="auto" w:fill="BFBFBF" w:themeFill="background1" w:themeFillShade="BF"/>
        <w:spacing w:line="228" w:lineRule="auto"/>
        <w:contextualSpacing/>
        <w:jc w:val="both"/>
        <w:rPr>
          <w:rFonts w:ascii="Arial Narrow" w:hAnsi="Arial Narrow"/>
          <w:b/>
          <w:sz w:val="26"/>
        </w:rPr>
      </w:pPr>
      <w:r w:rsidRPr="004F40E8">
        <w:rPr>
          <w:rFonts w:ascii="Arial Narrow" w:hAnsi="Arial Narrow"/>
          <w:b/>
          <w:sz w:val="26"/>
        </w:rPr>
        <w:t>1.</w:t>
      </w:r>
      <w:r w:rsidRPr="004F40E8">
        <w:rPr>
          <w:rFonts w:ascii="Arial Narrow" w:hAnsi="Arial Narrow"/>
          <w:b/>
          <w:sz w:val="26"/>
        </w:rPr>
        <w:tab/>
        <w:t>Εκτιμήσεις 2017</w:t>
      </w:r>
    </w:p>
    <w:p w:rsidR="004F40E8" w:rsidRPr="004F40E8" w:rsidRDefault="004F40E8" w:rsidP="004F40E8">
      <w:pPr>
        <w:spacing w:line="228" w:lineRule="auto"/>
        <w:contextualSpacing/>
        <w:jc w:val="both"/>
      </w:pPr>
    </w:p>
    <w:p w:rsidR="004F40E8" w:rsidRPr="004F40E8" w:rsidRDefault="004F40E8" w:rsidP="004F40E8">
      <w:pPr>
        <w:contextualSpacing/>
        <w:jc w:val="both"/>
      </w:pPr>
      <w:r w:rsidRPr="004F40E8">
        <w:t>Το έτος 2016, το πρωτογενές αποτέλεσμα (προ τόκων) της Γενικής Κυβέρνησης σύμφωνα με τη μεθοδολογία του Ευρωπαϊκού Συστήματος Λογαριασμών (</w:t>
      </w:r>
      <w:r w:rsidRPr="004F40E8">
        <w:rPr>
          <w:lang w:val="en-US"/>
        </w:rPr>
        <w:t>ESA</w:t>
      </w:r>
      <w:r w:rsidRPr="004F40E8">
        <w:t>) διαμορφώθηκε σε πλε</w:t>
      </w:r>
      <w:r w:rsidRPr="004F40E8">
        <w:t>ό</w:t>
      </w:r>
      <w:r w:rsidRPr="004F40E8">
        <w:t>νασμα ύψους 6.937 εκατ. ευρώ (3,9% του ΑΕΠ), ενώ το πρωτογενές αποτέλεσμα της Γενικής Κυβέρνησης σε όρους Σύμβασης Χρηματοδοτικής Διευκόλυνσης (ΣΧΔ), διαμορφώθηκε σε πλεόνασμα ύψους 7.357 εκατ. ευρώ ή 4,2 % του ΑΕΠ.</w:t>
      </w:r>
    </w:p>
    <w:p w:rsidR="004F40E8" w:rsidRPr="004F40E8" w:rsidRDefault="004F40E8" w:rsidP="004F40E8">
      <w:pPr>
        <w:contextualSpacing/>
        <w:jc w:val="both"/>
      </w:pPr>
    </w:p>
    <w:p w:rsidR="004F40E8" w:rsidRPr="004F40E8" w:rsidRDefault="004F40E8" w:rsidP="004F40E8">
      <w:pPr>
        <w:contextualSpacing/>
        <w:jc w:val="both"/>
      </w:pPr>
      <w:r w:rsidRPr="004F40E8">
        <w:t>Στο Μεσοπρόθεσμο Πλαίσιο Δημοσιονομικής Στρατηγικής (2018-2021) για το έτος 2017, το πρωτογενές αποτέλεσμα της Γενικής Κυβέρνησης σε όρους ΣΧΔ, είχε προβλεφθεί ότι θα δ</w:t>
      </w:r>
      <w:r w:rsidRPr="004F40E8">
        <w:t>ι</w:t>
      </w:r>
      <w:r w:rsidRPr="004F40E8">
        <w:t>αμορφωθεί σε πλεόνασμα ύψους 3.445 εκατ. ευρώ ή 1,9% του ΑΕΠ, ενώ με βάση τη μεθ</w:t>
      </w:r>
      <w:r w:rsidRPr="004F40E8">
        <w:t>ο</w:t>
      </w:r>
      <w:r w:rsidRPr="004F40E8">
        <w:t>δολογία του Ευρωπαϊκού Συστήματος Λογαριασμών (</w:t>
      </w:r>
      <w:r w:rsidRPr="004F40E8">
        <w:rPr>
          <w:lang w:val="en-US"/>
        </w:rPr>
        <w:t>ESA</w:t>
      </w:r>
      <w:r w:rsidRPr="004F40E8">
        <w:t xml:space="preserve">) είχε προβλεφθεί πλεόνασμα </w:t>
      </w:r>
      <w:r w:rsidRPr="004F40E8">
        <w:t>ύ</w:t>
      </w:r>
      <w:r w:rsidRPr="004F40E8">
        <w:t xml:space="preserve">ψους 3.814 εκατ. ευρώ ή 2,1% του ΑΕΠ. </w:t>
      </w:r>
    </w:p>
    <w:p w:rsidR="004F40E8" w:rsidRPr="004F40E8" w:rsidRDefault="004F40E8" w:rsidP="004F40E8">
      <w:pPr>
        <w:contextualSpacing/>
        <w:jc w:val="both"/>
      </w:pPr>
    </w:p>
    <w:p w:rsidR="004F40E8" w:rsidRPr="004F40E8" w:rsidRDefault="004F40E8" w:rsidP="004F40E8">
      <w:pPr>
        <w:contextualSpacing/>
        <w:jc w:val="both"/>
      </w:pPr>
      <w:r w:rsidRPr="004F40E8">
        <w:t>Με βάση τα στοιχεία της εκτέλεσης του Προϋπολογισμού, το πρωτογενές αποτέλεσμα της Γενικής Κυβέρνησης εκτιμάται, ότι σε όρους ΣΧΔ, θα διαμορφωθεί σε 3.977 εκατ. ευρώ ή 2,2% του ΑΕΠ, αυξημένο έναντι του στόχου κατά 823 εκατ. ευρώ ή 0,5% του ΑΕΠ. Σε όρ</w:t>
      </w:r>
      <w:r w:rsidRPr="004F40E8">
        <w:t>ο</w:t>
      </w:r>
      <w:r w:rsidRPr="004F40E8">
        <w:t xml:space="preserve">υς </w:t>
      </w:r>
      <w:r w:rsidRPr="004F40E8">
        <w:rPr>
          <w:lang w:val="en-US"/>
        </w:rPr>
        <w:t>ESA</w:t>
      </w:r>
      <w:r w:rsidRPr="004F40E8">
        <w:t xml:space="preserve"> εκτιμάται ότι θα διαμορφωθεί σε 4.288 εκατ. ευρώ ή 2,4% του ΑΕΠ. </w:t>
      </w:r>
    </w:p>
    <w:p w:rsidR="004F40E8" w:rsidRPr="004F40E8" w:rsidRDefault="004F40E8" w:rsidP="004F40E8">
      <w:pPr>
        <w:contextualSpacing/>
        <w:jc w:val="both"/>
      </w:pPr>
    </w:p>
    <w:p w:rsidR="004F40E8" w:rsidRPr="004F40E8" w:rsidRDefault="004F40E8" w:rsidP="004F40E8">
      <w:pPr>
        <w:contextualSpacing/>
        <w:jc w:val="both"/>
      </w:pPr>
      <w:r w:rsidRPr="004F40E8">
        <w:t>Η δημοσιονομική στρατηγική για το 2017 περιελάμβανε και την υλοποίηση των αναγκαίων για την επίτευξη της ΣΧΔ διαρθρωτικών μεταρρυθμίσεων και θεσμικών αλλαγών, όπως:</w:t>
      </w:r>
    </w:p>
    <w:p w:rsidR="004F40E8" w:rsidRPr="004F40E8" w:rsidRDefault="004F40E8" w:rsidP="004F40E8">
      <w:pPr>
        <w:contextualSpacing/>
        <w:jc w:val="both"/>
      </w:pPr>
    </w:p>
    <w:p w:rsidR="004F40E8" w:rsidRPr="004F40E8" w:rsidRDefault="004F40E8" w:rsidP="00C42D86">
      <w:pPr>
        <w:numPr>
          <w:ilvl w:val="0"/>
          <w:numId w:val="10"/>
        </w:numPr>
        <w:ind w:left="284" w:hanging="284"/>
        <w:contextualSpacing/>
        <w:jc w:val="both"/>
      </w:pPr>
      <w:r w:rsidRPr="004F40E8">
        <w:t>η αναβάθμιση και ο εκσυγχρονισμός των δημοσιονομικών κανόνων που εξασφαλίζουν τη διαφάνεια και λογοδοσία στη διαχείριση του δημόσιου χρήματος,</w:t>
      </w:r>
    </w:p>
    <w:p w:rsidR="004F40E8" w:rsidRPr="004F40E8" w:rsidRDefault="004F40E8" w:rsidP="00C42D86">
      <w:pPr>
        <w:numPr>
          <w:ilvl w:val="0"/>
          <w:numId w:val="10"/>
        </w:numPr>
        <w:ind w:left="284" w:hanging="284"/>
        <w:contextualSpacing/>
        <w:jc w:val="both"/>
      </w:pPr>
      <w:r w:rsidRPr="004F40E8">
        <w:t>η ενίσχυση της φορολογικής συμμόρφωσης, μέσω της εφαρμογής δράσεων όπως η εντατ</w:t>
      </w:r>
      <w:r w:rsidRPr="004F40E8">
        <w:t>ι</w:t>
      </w:r>
      <w:r w:rsidRPr="004F40E8">
        <w:t>κοποίηση των φορολογικών ελέγχων και η παροχή κινήτρων για ηλεκτρονικές πληρωμές,</w:t>
      </w:r>
    </w:p>
    <w:p w:rsidR="004F40E8" w:rsidRPr="004F40E8" w:rsidRDefault="004F40E8" w:rsidP="00C42D86">
      <w:pPr>
        <w:numPr>
          <w:ilvl w:val="0"/>
          <w:numId w:val="10"/>
        </w:numPr>
        <w:ind w:left="284" w:hanging="284"/>
        <w:contextualSpacing/>
        <w:jc w:val="both"/>
      </w:pPr>
      <w:r w:rsidRPr="004F40E8">
        <w:t>η ειδική πρόβλεψη για δράσεις στήριξης των επενδύσεων, της ανάπτυξης και της κοινων</w:t>
      </w:r>
      <w:r w:rsidRPr="004F40E8">
        <w:t>ι</w:t>
      </w:r>
      <w:r w:rsidRPr="004F40E8">
        <w:t>κής συνοχής</w:t>
      </w:r>
      <w:r w:rsidRPr="004F40E8">
        <w:rPr>
          <w:bCs/>
        </w:rPr>
        <w:t>, ύψους 800 εκατ. ευρώ,</w:t>
      </w:r>
    </w:p>
    <w:p w:rsidR="004F40E8" w:rsidRPr="004F40E8" w:rsidRDefault="004F40E8" w:rsidP="00C42D86">
      <w:pPr>
        <w:numPr>
          <w:ilvl w:val="0"/>
          <w:numId w:val="10"/>
        </w:numPr>
        <w:ind w:left="284" w:hanging="284"/>
        <w:contextualSpacing/>
        <w:jc w:val="both"/>
      </w:pPr>
      <w:r w:rsidRPr="004F40E8">
        <w:t>το πρόγραμμα αποκρατικοποιήσεων,</w:t>
      </w:r>
    </w:p>
    <w:p w:rsidR="004F40E8" w:rsidRPr="004F40E8" w:rsidRDefault="004F40E8" w:rsidP="00C42D86">
      <w:pPr>
        <w:numPr>
          <w:ilvl w:val="0"/>
          <w:numId w:val="10"/>
        </w:numPr>
        <w:ind w:left="284" w:hanging="284"/>
        <w:contextualSpacing/>
        <w:jc w:val="both"/>
      </w:pPr>
      <w:r w:rsidRPr="004F40E8">
        <w:t>διαρθρωτικές μεταρρυθμίσεις στις αγορές προϊόντων,</w:t>
      </w:r>
    </w:p>
    <w:p w:rsidR="004F40E8" w:rsidRPr="004F40E8" w:rsidRDefault="004F40E8" w:rsidP="00C42D86">
      <w:pPr>
        <w:numPr>
          <w:ilvl w:val="0"/>
          <w:numId w:val="10"/>
        </w:numPr>
        <w:ind w:left="284" w:hanging="284"/>
        <w:contextualSpacing/>
        <w:jc w:val="both"/>
      </w:pPr>
      <w:r w:rsidRPr="004F40E8">
        <w:t>εκσυγχρονισμός του συστήματος δημόσιας υγείας και κοινωνικής πρόνοιας,</w:t>
      </w:r>
    </w:p>
    <w:p w:rsidR="004F40E8" w:rsidRPr="004F40E8" w:rsidRDefault="004F40E8" w:rsidP="00C42D86">
      <w:pPr>
        <w:numPr>
          <w:ilvl w:val="0"/>
          <w:numId w:val="10"/>
        </w:numPr>
        <w:ind w:left="284" w:hanging="284"/>
        <w:contextualSpacing/>
        <w:jc w:val="both"/>
      </w:pPr>
      <w:r w:rsidRPr="004F40E8">
        <w:t>διαχείριση του ιδιωτικού χρέους και εφαρμογή διαρθρωτικών αλλαγών με αναπτυξιακή προοπτική,</w:t>
      </w:r>
    </w:p>
    <w:p w:rsidR="004F40E8" w:rsidRPr="004F40E8" w:rsidRDefault="004F40E8" w:rsidP="00C42D86">
      <w:pPr>
        <w:numPr>
          <w:ilvl w:val="0"/>
          <w:numId w:val="10"/>
        </w:numPr>
        <w:ind w:left="284" w:hanging="284"/>
        <w:contextualSpacing/>
        <w:jc w:val="both"/>
      </w:pPr>
      <w:r w:rsidRPr="004F40E8">
        <w:t>η έναρξη λειτουργίας του Εθνικού Φορέα Κοινωνικής Ασφάλισης και η ενοποίηση των Ταμείων Πρόνοιας με την ενσωμάτωσή τους στο Ενιαίο Ταμείο Επικουρικής Ασφάλισης και Εφάπαξ Παροχών,</w:t>
      </w:r>
    </w:p>
    <w:p w:rsidR="004F40E8" w:rsidRPr="004F40E8" w:rsidRDefault="004F40E8" w:rsidP="00C42D86">
      <w:pPr>
        <w:numPr>
          <w:ilvl w:val="0"/>
          <w:numId w:val="10"/>
        </w:numPr>
        <w:ind w:left="284" w:hanging="284"/>
        <w:contextualSpacing/>
        <w:jc w:val="both"/>
      </w:pPr>
      <w:r w:rsidRPr="004F40E8">
        <w:t>η διασφάλιση της προστασίας των ευάλωτων κοινωνικών ομάδων (με δράσεις όπως το κ</w:t>
      </w:r>
      <w:r w:rsidRPr="004F40E8">
        <w:t>ο</w:t>
      </w:r>
      <w:r w:rsidRPr="004F40E8">
        <w:t xml:space="preserve">ινωνικό εισόδημα αλληλεγγύης), </w:t>
      </w:r>
    </w:p>
    <w:p w:rsidR="004F40E8" w:rsidRPr="004F40E8" w:rsidRDefault="004F40E8" w:rsidP="00C42D86">
      <w:pPr>
        <w:numPr>
          <w:ilvl w:val="0"/>
          <w:numId w:val="10"/>
        </w:numPr>
        <w:ind w:left="284" w:hanging="284"/>
        <w:contextualSpacing/>
        <w:jc w:val="both"/>
      </w:pPr>
      <w:r w:rsidRPr="004F40E8">
        <w:t>η συνέχιση της υλοποίησης του προγράμματος εξόφλησης ληξιπρόθεσμων υποχρεώσεων των φορέων της Γενικής Κυβέρνησης προς την πραγματική οικονομία με χρηματοδότηση από το Πρόγραμμα Στήριξης,</w:t>
      </w:r>
    </w:p>
    <w:p w:rsidR="004F40E8" w:rsidRPr="004F40E8" w:rsidRDefault="004F40E8" w:rsidP="00C42D86">
      <w:pPr>
        <w:numPr>
          <w:ilvl w:val="0"/>
          <w:numId w:val="10"/>
        </w:numPr>
        <w:ind w:left="284" w:hanging="284"/>
        <w:contextualSpacing/>
        <w:jc w:val="both"/>
      </w:pPr>
      <w:r w:rsidRPr="004F40E8">
        <w:t>η αναμόρφωση της νομοθεσίας για τα ειδικά μισθολόγια και</w:t>
      </w:r>
    </w:p>
    <w:p w:rsidR="004F40E8" w:rsidRPr="004F40E8" w:rsidRDefault="004F40E8" w:rsidP="00C42D86">
      <w:pPr>
        <w:numPr>
          <w:ilvl w:val="0"/>
          <w:numId w:val="10"/>
        </w:numPr>
        <w:ind w:left="284" w:hanging="284"/>
        <w:contextualSpacing/>
        <w:jc w:val="both"/>
      </w:pPr>
      <w:r w:rsidRPr="004F40E8">
        <w:t xml:space="preserve">η αλλαγή του κανόνα προσλήψεων-αποχωρήσεων. </w:t>
      </w:r>
    </w:p>
    <w:p w:rsidR="004F40E8" w:rsidRPr="004F40E8" w:rsidRDefault="004F40E8" w:rsidP="004F40E8">
      <w:pPr>
        <w:spacing w:line="228" w:lineRule="auto"/>
        <w:contextualSpacing/>
        <w:jc w:val="both"/>
        <w:rPr>
          <w:rFonts w:ascii="Arial Narrow" w:hAnsi="Arial Narrow"/>
          <w:b/>
          <w:bCs/>
          <w:color w:val="000080"/>
          <w:szCs w:val="22"/>
        </w:rPr>
      </w:pPr>
    </w:p>
    <w:p w:rsidR="004F40E8" w:rsidRPr="004F40E8" w:rsidRDefault="004F40E8" w:rsidP="004F40E8">
      <w:pPr>
        <w:spacing w:line="228" w:lineRule="auto"/>
        <w:contextualSpacing/>
        <w:jc w:val="both"/>
        <w:rPr>
          <w:rFonts w:ascii="Arial Narrow" w:hAnsi="Arial Narrow"/>
          <w:b/>
          <w:bCs/>
          <w:color w:val="000080"/>
          <w:szCs w:val="22"/>
        </w:rPr>
      </w:pPr>
    </w:p>
    <w:p w:rsidR="004F40E8" w:rsidRPr="004F40E8" w:rsidRDefault="004F40E8" w:rsidP="004F40E8">
      <w:pPr>
        <w:spacing w:line="228" w:lineRule="auto"/>
        <w:contextualSpacing/>
        <w:jc w:val="both"/>
        <w:rPr>
          <w:rFonts w:ascii="Arial Narrow" w:hAnsi="Arial Narrow"/>
          <w:b/>
          <w:bCs/>
          <w:color w:val="000080"/>
          <w:szCs w:val="22"/>
        </w:rPr>
      </w:pPr>
    </w:p>
    <w:p w:rsidR="004F40E8" w:rsidRPr="004F40E8" w:rsidRDefault="004F40E8" w:rsidP="004F40E8">
      <w:pPr>
        <w:spacing w:line="228" w:lineRule="auto"/>
        <w:contextualSpacing/>
        <w:jc w:val="both"/>
        <w:rPr>
          <w:rFonts w:ascii="Arial Narrow" w:hAnsi="Arial Narrow"/>
          <w:b/>
          <w:bCs/>
          <w:color w:val="000080"/>
          <w:szCs w:val="22"/>
        </w:rPr>
      </w:pPr>
      <w:r w:rsidRPr="004F40E8">
        <w:rPr>
          <w:rFonts w:ascii="Arial Narrow" w:hAnsi="Arial Narrow"/>
          <w:b/>
          <w:bCs/>
          <w:color w:val="000080"/>
          <w:szCs w:val="22"/>
        </w:rPr>
        <w:t>1.1</w:t>
      </w:r>
      <w:r w:rsidRPr="004F40E8">
        <w:rPr>
          <w:rFonts w:ascii="Arial Narrow" w:hAnsi="Arial Narrow"/>
          <w:b/>
          <w:bCs/>
          <w:color w:val="000080"/>
          <w:szCs w:val="22"/>
        </w:rPr>
        <w:tab/>
        <w:t>Τακτικός Προϋπολογισμός</w:t>
      </w:r>
    </w:p>
    <w:p w:rsidR="004F40E8" w:rsidRPr="004F40E8" w:rsidRDefault="004F40E8" w:rsidP="004F40E8">
      <w:pPr>
        <w:spacing w:line="228" w:lineRule="auto"/>
        <w:contextualSpacing/>
        <w:jc w:val="both"/>
        <w:rPr>
          <w:b/>
          <w:bCs/>
          <w:sz w:val="22"/>
          <w:szCs w:val="22"/>
        </w:rPr>
      </w:pPr>
    </w:p>
    <w:p w:rsidR="004F40E8" w:rsidRPr="004F40E8" w:rsidRDefault="004F40E8" w:rsidP="004F40E8">
      <w:pPr>
        <w:spacing w:line="228" w:lineRule="auto"/>
        <w:contextualSpacing/>
        <w:jc w:val="both"/>
        <w:rPr>
          <w:rFonts w:ascii="Arial Narrow" w:hAnsi="Arial Narrow"/>
          <w:b/>
          <w:bCs/>
          <w:color w:val="000080"/>
          <w:szCs w:val="22"/>
        </w:rPr>
      </w:pPr>
      <w:r w:rsidRPr="004F40E8">
        <w:rPr>
          <w:rFonts w:ascii="Arial Narrow" w:hAnsi="Arial Narrow"/>
          <w:b/>
          <w:bCs/>
          <w:color w:val="000080"/>
          <w:szCs w:val="22"/>
        </w:rPr>
        <w:t>Έσοδα</w:t>
      </w:r>
    </w:p>
    <w:p w:rsidR="004F40E8" w:rsidRPr="004F40E8" w:rsidRDefault="004F40E8" w:rsidP="004F40E8">
      <w:pPr>
        <w:spacing w:line="228" w:lineRule="auto"/>
        <w:contextualSpacing/>
        <w:jc w:val="both"/>
        <w:rPr>
          <w:sz w:val="22"/>
        </w:rPr>
      </w:pPr>
    </w:p>
    <w:p w:rsidR="004F40E8" w:rsidRPr="004F40E8" w:rsidRDefault="004F40E8" w:rsidP="004F40E8">
      <w:pPr>
        <w:ind w:right="68"/>
        <w:contextualSpacing/>
        <w:jc w:val="both"/>
        <w:rPr>
          <w:szCs w:val="22"/>
        </w:rPr>
      </w:pPr>
      <w:r w:rsidRPr="004F40E8">
        <w:rPr>
          <w:szCs w:val="22"/>
        </w:rPr>
        <w:t>Τα καθαρά έσοδα του Τακτικού Προϋπολογισμού (σε ταμειακή βάση), μετά τη μείωση των επιστροφών φόρων, εκτιμάται ότι θα διαμορφωθούν στα 49.804 εκατ. ευρώ παρουσιάζοντας απόκλιση κατά 1.860 εκατ. ευρώ ή 3,6% έναντι του στόχου του ΜΠΔΣ 2018-2021. Η από</w:t>
      </w:r>
      <w:r w:rsidRPr="004F40E8">
        <w:rPr>
          <w:szCs w:val="22"/>
        </w:rPr>
        <w:t>κ</w:t>
      </w:r>
      <w:r w:rsidRPr="004F40E8">
        <w:rPr>
          <w:szCs w:val="22"/>
        </w:rPr>
        <w:t>λιση αυτή οφείλεται κυρίως:</w:t>
      </w:r>
    </w:p>
    <w:p w:rsidR="004F40E8" w:rsidRPr="004F40E8" w:rsidRDefault="004F40E8" w:rsidP="004F40E8">
      <w:pPr>
        <w:ind w:right="68"/>
        <w:contextualSpacing/>
        <w:jc w:val="both"/>
        <w:rPr>
          <w:szCs w:val="22"/>
        </w:rPr>
      </w:pPr>
    </w:p>
    <w:p w:rsidR="004F40E8" w:rsidRPr="004F40E8" w:rsidRDefault="004F40E8" w:rsidP="00C42D86">
      <w:pPr>
        <w:numPr>
          <w:ilvl w:val="0"/>
          <w:numId w:val="8"/>
        </w:numPr>
        <w:ind w:left="284" w:hanging="284"/>
        <w:contextualSpacing/>
        <w:jc w:val="both"/>
        <w:rPr>
          <w:szCs w:val="22"/>
        </w:rPr>
      </w:pPr>
      <w:r w:rsidRPr="004F40E8">
        <w:rPr>
          <w:szCs w:val="22"/>
        </w:rPr>
        <w:t>στις αυξημένες επιστροφές φόρων, οι οποίες αναμένεται να διαμορφωθούν σε 4.686 εκατ. ευρώ, παρουσιάζοντας αύξηση κατά 1.362 εκατ. ευρώ έναντι του στόχου. Ωστόσο σε δ</w:t>
      </w:r>
      <w:r w:rsidRPr="004F40E8">
        <w:rPr>
          <w:szCs w:val="22"/>
        </w:rPr>
        <w:t>η</w:t>
      </w:r>
      <w:r w:rsidRPr="004F40E8">
        <w:rPr>
          <w:szCs w:val="22"/>
        </w:rPr>
        <w:t xml:space="preserve">μοσιονομική βάση η επίπτωσή τους περιορίζεται σε 406 εκατ. ευρώ, </w:t>
      </w:r>
    </w:p>
    <w:p w:rsidR="004F40E8" w:rsidRPr="004F40E8" w:rsidRDefault="004F40E8" w:rsidP="00C42D86">
      <w:pPr>
        <w:numPr>
          <w:ilvl w:val="0"/>
          <w:numId w:val="8"/>
        </w:numPr>
        <w:ind w:left="284" w:hanging="284"/>
        <w:contextualSpacing/>
        <w:jc w:val="both"/>
        <w:rPr>
          <w:szCs w:val="22"/>
        </w:rPr>
      </w:pPr>
      <w:r w:rsidRPr="004F40E8">
        <w:rPr>
          <w:szCs w:val="22"/>
        </w:rPr>
        <w:t>στη μείωση κατά 945 εκατ. ευρώ στο Φόρο Εισοδήματος Φυσικών Προσώπων (ΦΕΦΠ),</w:t>
      </w:r>
    </w:p>
    <w:p w:rsidR="004F40E8" w:rsidRPr="004F40E8" w:rsidRDefault="004F40E8" w:rsidP="00C42D86">
      <w:pPr>
        <w:numPr>
          <w:ilvl w:val="0"/>
          <w:numId w:val="8"/>
        </w:numPr>
        <w:ind w:left="284" w:hanging="284"/>
        <w:contextualSpacing/>
        <w:jc w:val="both"/>
        <w:rPr>
          <w:szCs w:val="22"/>
        </w:rPr>
      </w:pPr>
      <w:r w:rsidRPr="004F40E8">
        <w:rPr>
          <w:szCs w:val="22"/>
        </w:rPr>
        <w:t xml:space="preserve">στη </w:t>
      </w:r>
      <w:proofErr w:type="spellStart"/>
      <w:r w:rsidRPr="004F40E8">
        <w:rPr>
          <w:szCs w:val="22"/>
        </w:rPr>
        <w:t>μετακύλιση</w:t>
      </w:r>
      <w:proofErr w:type="spellEnd"/>
      <w:r w:rsidRPr="004F40E8">
        <w:rPr>
          <w:szCs w:val="22"/>
        </w:rPr>
        <w:t xml:space="preserve"> της τελευταίας δόσης του Ενιαίου Φόρου Ιδιοκτησίας Ακινήτων (ΕΝΦΙΑ), του έτους 2017, εκτιμώμενου ποσού 325 εκατ. ευρώ, στον Ιανουάριο του 2018. </w:t>
      </w:r>
    </w:p>
    <w:p w:rsidR="004F40E8" w:rsidRPr="004F40E8" w:rsidRDefault="004F40E8" w:rsidP="004F40E8">
      <w:pPr>
        <w:contextualSpacing/>
        <w:jc w:val="both"/>
        <w:rPr>
          <w:szCs w:val="22"/>
        </w:rPr>
      </w:pPr>
    </w:p>
    <w:p w:rsidR="004F40E8" w:rsidRPr="004F40E8" w:rsidRDefault="004F40E8" w:rsidP="004F40E8">
      <w:pPr>
        <w:contextualSpacing/>
        <w:jc w:val="both"/>
        <w:rPr>
          <w:szCs w:val="22"/>
        </w:rPr>
      </w:pPr>
      <w:r w:rsidRPr="004F40E8">
        <w:rPr>
          <w:szCs w:val="22"/>
        </w:rPr>
        <w:t>Ωστόσο, λόγω της εκτιμώμενης υπέρβασης άλλων κατηγοριών εσόδων έναντι του στόχου, ύψους 772 εκατ. ευρώ (σε ταμειακή βάση), η παραπάνω απόκλιση περιορίζεται στα 1.860 εκατ. ευρώ.</w:t>
      </w:r>
    </w:p>
    <w:p w:rsidR="004F40E8" w:rsidRPr="004F40E8" w:rsidRDefault="004F40E8" w:rsidP="004F40E8">
      <w:pPr>
        <w:contextualSpacing/>
        <w:jc w:val="both"/>
        <w:rPr>
          <w:szCs w:val="22"/>
        </w:rPr>
      </w:pPr>
    </w:p>
    <w:p w:rsidR="004F40E8" w:rsidRPr="004F40E8" w:rsidRDefault="004F40E8" w:rsidP="004F40E8">
      <w:pPr>
        <w:ind w:right="67"/>
        <w:contextualSpacing/>
        <w:jc w:val="both"/>
        <w:rPr>
          <w:szCs w:val="22"/>
        </w:rPr>
      </w:pPr>
      <w:r w:rsidRPr="004F40E8">
        <w:rPr>
          <w:szCs w:val="22"/>
        </w:rPr>
        <w:t xml:space="preserve">Λαμβάνοντας υπόψη και τις </w:t>
      </w:r>
      <w:proofErr w:type="spellStart"/>
      <w:r w:rsidRPr="004F40E8">
        <w:rPr>
          <w:szCs w:val="22"/>
        </w:rPr>
        <w:t>εθνικολογιστικές</w:t>
      </w:r>
      <w:proofErr w:type="spellEnd"/>
      <w:r w:rsidRPr="004F40E8">
        <w:rPr>
          <w:szCs w:val="22"/>
        </w:rPr>
        <w:t xml:space="preserve"> προσαρμογές, τα έσοδα του Τακτικού Προ</w:t>
      </w:r>
      <w:r w:rsidRPr="004F40E8">
        <w:rPr>
          <w:szCs w:val="22"/>
        </w:rPr>
        <w:t>ϋ</w:t>
      </w:r>
      <w:r w:rsidRPr="004F40E8">
        <w:rPr>
          <w:szCs w:val="22"/>
        </w:rPr>
        <w:t>πολογισμού, σε δημοσιονομική βάση, εκτιμάται ότι θα διαμορφωθούν στα 49.061 εκατ. ε</w:t>
      </w:r>
      <w:r w:rsidRPr="004F40E8">
        <w:rPr>
          <w:szCs w:val="22"/>
        </w:rPr>
        <w:t>υ</w:t>
      </w:r>
      <w:r w:rsidRPr="004F40E8">
        <w:rPr>
          <w:szCs w:val="22"/>
        </w:rPr>
        <w:t>ρώ, μειωμένα κατά 724 εκατ. ευρώ έναντι του στόχου. Σημειώνεται ότι στη διαμόρφωση των εσόδων περιλαμβάνεται και το ποσό από την αρνητική μεταβολή του υπολοίπου του Ενιαίου Λογαριασμού Θησαυροφυλακίου, σε σχέση με την 31/12 του προηγούμενου έτους, ύψους 164 εκατ. ευρώ, το οποίο στο ΜΠΔΣ 2018-2021 είχε περιληφθεί στις προσαρμογές των δ</w:t>
      </w:r>
      <w:r w:rsidRPr="004F40E8">
        <w:rPr>
          <w:szCs w:val="22"/>
        </w:rPr>
        <w:t>α</w:t>
      </w:r>
      <w:r w:rsidRPr="004F40E8">
        <w:rPr>
          <w:szCs w:val="22"/>
        </w:rPr>
        <w:t>πανών του κρατικού προϋπολογισμού.</w:t>
      </w:r>
    </w:p>
    <w:p w:rsidR="004F40E8" w:rsidRPr="004F40E8" w:rsidRDefault="004F40E8" w:rsidP="004F40E8">
      <w:pPr>
        <w:spacing w:line="228" w:lineRule="auto"/>
        <w:ind w:right="67"/>
        <w:contextualSpacing/>
        <w:jc w:val="both"/>
      </w:pPr>
    </w:p>
    <w:p w:rsidR="004F40E8" w:rsidRPr="004F40E8" w:rsidRDefault="004F40E8" w:rsidP="004F40E8">
      <w:pPr>
        <w:spacing w:line="228" w:lineRule="auto"/>
        <w:contextualSpacing/>
        <w:rPr>
          <w:rFonts w:ascii="Arial Narrow" w:hAnsi="Arial Narrow"/>
          <w:b/>
          <w:i/>
          <w:color w:val="000080"/>
          <w:sz w:val="22"/>
        </w:rPr>
      </w:pPr>
      <w:r w:rsidRPr="004F40E8">
        <w:rPr>
          <w:rFonts w:ascii="Arial Narrow" w:hAnsi="Arial Narrow"/>
          <w:b/>
          <w:i/>
          <w:color w:val="000080"/>
          <w:sz w:val="22"/>
        </w:rPr>
        <w:t>Άμεσοι φόροι</w:t>
      </w:r>
    </w:p>
    <w:p w:rsidR="004F40E8" w:rsidRPr="004F40E8" w:rsidRDefault="004F40E8" w:rsidP="004F40E8">
      <w:pPr>
        <w:spacing w:line="228" w:lineRule="auto"/>
        <w:contextualSpacing/>
        <w:jc w:val="both"/>
        <w:rPr>
          <w:sz w:val="22"/>
        </w:rPr>
      </w:pPr>
    </w:p>
    <w:p w:rsidR="004F40E8" w:rsidRPr="004F40E8" w:rsidRDefault="004F40E8" w:rsidP="004F40E8">
      <w:pPr>
        <w:ind w:right="67"/>
        <w:contextualSpacing/>
        <w:jc w:val="both"/>
        <w:rPr>
          <w:szCs w:val="22"/>
        </w:rPr>
      </w:pPr>
      <w:r w:rsidRPr="004F40E8">
        <w:rPr>
          <w:szCs w:val="22"/>
        </w:rPr>
        <w:t>Από την άμεση φορολογία, εκτιμάται ότι θα εισπραχθούν 20.373 εκατ. ευρώ, μειωμένα κατά 1.152 εκατ. ή 5,4% έναντι του στόχου του ΜΠΔΣ 2018-2021. Η απόκλιση αυτή σε ταμειακή βάση, οφείλεται, κυρίως στις μειωμένες εκτιμήσεις από το ΦΕΦΠ, λόγω μείωσης της φορ</w:t>
      </w:r>
      <w:r w:rsidRPr="004F40E8">
        <w:rPr>
          <w:szCs w:val="22"/>
        </w:rPr>
        <w:t>ο</w:t>
      </w:r>
      <w:r w:rsidRPr="004F40E8">
        <w:rPr>
          <w:szCs w:val="22"/>
        </w:rPr>
        <w:t xml:space="preserve">λογικής βάσης και στη </w:t>
      </w:r>
      <w:proofErr w:type="spellStart"/>
      <w:r w:rsidRPr="004F40E8">
        <w:rPr>
          <w:szCs w:val="22"/>
        </w:rPr>
        <w:t>μετακύλιση</w:t>
      </w:r>
      <w:proofErr w:type="spellEnd"/>
      <w:r w:rsidRPr="004F40E8">
        <w:rPr>
          <w:szCs w:val="22"/>
        </w:rPr>
        <w:t xml:space="preserve"> καταβολής της τελευταίας δόσης του ΕΝΦΙΑ 2017 τον Ιανουάριο του 2018, όπως προαναφέρθηκε.</w:t>
      </w:r>
    </w:p>
    <w:p w:rsidR="004F40E8" w:rsidRPr="004F40E8" w:rsidRDefault="004F40E8" w:rsidP="004F40E8">
      <w:pPr>
        <w:rPr>
          <w:szCs w:val="22"/>
        </w:rPr>
      </w:pPr>
    </w:p>
    <w:p w:rsidR="004F40E8" w:rsidRPr="004F40E8" w:rsidRDefault="004F40E8" w:rsidP="004F40E8">
      <w:pPr>
        <w:rPr>
          <w:rFonts w:ascii="Arial Narrow" w:hAnsi="Arial Narrow"/>
          <w:b/>
          <w:i/>
          <w:color w:val="000080"/>
          <w:sz w:val="22"/>
        </w:rPr>
      </w:pPr>
      <w:r w:rsidRPr="004F40E8">
        <w:rPr>
          <w:rFonts w:ascii="Arial Narrow" w:hAnsi="Arial Narrow"/>
          <w:b/>
          <w:i/>
          <w:color w:val="000080"/>
          <w:sz w:val="22"/>
        </w:rPr>
        <w:t>Έμμεσοι φόροι</w:t>
      </w:r>
    </w:p>
    <w:p w:rsidR="004F40E8" w:rsidRPr="004F40E8" w:rsidRDefault="004F40E8" w:rsidP="004F40E8">
      <w:pPr>
        <w:spacing w:line="228" w:lineRule="auto"/>
        <w:contextualSpacing/>
        <w:jc w:val="both"/>
        <w:rPr>
          <w:sz w:val="22"/>
        </w:rPr>
      </w:pPr>
    </w:p>
    <w:p w:rsidR="004F40E8" w:rsidRPr="004F40E8" w:rsidRDefault="004F40E8" w:rsidP="004F40E8">
      <w:pPr>
        <w:ind w:right="67"/>
        <w:contextualSpacing/>
        <w:jc w:val="both"/>
        <w:rPr>
          <w:szCs w:val="22"/>
        </w:rPr>
      </w:pPr>
      <w:r w:rsidRPr="004F40E8">
        <w:rPr>
          <w:szCs w:val="22"/>
        </w:rPr>
        <w:t>Από τους έμμεσους φόρους, αναμένεται να εισπραχθούν 27.099 εκατ. ευρώ, παρουσιάζοντας αύξηση κατά 381 εκατ. ευρώ ή 1,4%, έναντι του στόχου του ΜΠΔΣ 2018-2021. Η αύξηση αυτή προέρχεται κυρίως από την εμφάνιση στα έσοδα ΦΠΑ ποσού ύψους 296 εκατ. ευρώ από την παραχώρηση των περιφερειακών αεροδρομίων (το οποίο στη συνέχεια θα εμφανι</w:t>
      </w:r>
      <w:r w:rsidRPr="004F40E8">
        <w:rPr>
          <w:szCs w:val="22"/>
        </w:rPr>
        <w:t>σ</w:t>
      </w:r>
      <w:r w:rsidRPr="004F40E8">
        <w:rPr>
          <w:szCs w:val="22"/>
        </w:rPr>
        <w:t xml:space="preserve">θεί στα έσοδα αποκρατικοποιήσεων, αυξάνοντας ισόποσα τις επιστροφές φόρων). </w:t>
      </w:r>
    </w:p>
    <w:p w:rsidR="004F40E8" w:rsidRPr="004F40E8" w:rsidRDefault="004F40E8" w:rsidP="004F40E8">
      <w:pPr>
        <w:rPr>
          <w:szCs w:val="22"/>
        </w:rPr>
      </w:pPr>
      <w:r w:rsidRPr="004F40E8">
        <w:rPr>
          <w:szCs w:val="22"/>
        </w:rPr>
        <w:br w:type="page"/>
      </w:r>
    </w:p>
    <w:p w:rsidR="004F40E8" w:rsidRPr="004F40E8" w:rsidRDefault="004F40E8" w:rsidP="004F40E8">
      <w:pPr>
        <w:rPr>
          <w:szCs w:val="22"/>
        </w:rPr>
      </w:pPr>
    </w:p>
    <w:tbl>
      <w:tblPr>
        <w:tblW w:w="9392" w:type="dxa"/>
        <w:tblInd w:w="103" w:type="dxa"/>
        <w:tblCellMar>
          <w:left w:w="28" w:type="dxa"/>
          <w:right w:w="28" w:type="dxa"/>
        </w:tblCellMar>
        <w:tblLook w:val="04A0"/>
      </w:tblPr>
      <w:tblGrid>
        <w:gridCol w:w="5170"/>
        <w:gridCol w:w="992"/>
        <w:gridCol w:w="850"/>
        <w:gridCol w:w="740"/>
        <w:gridCol w:w="820"/>
        <w:gridCol w:w="820"/>
      </w:tblGrid>
      <w:tr w:rsidR="004F40E8" w:rsidRPr="004F40E8" w:rsidTr="003B594D">
        <w:trPr>
          <w:trHeight w:val="315"/>
          <w:tblHeader/>
        </w:trPr>
        <w:tc>
          <w:tcPr>
            <w:tcW w:w="9392"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4F40E8" w:rsidRPr="004F40E8" w:rsidRDefault="004F40E8" w:rsidP="004F40E8">
            <w:pPr>
              <w:jc w:val="center"/>
              <w:rPr>
                <w:rFonts w:ascii="Arial Narrow" w:hAnsi="Arial Narrow"/>
                <w:b/>
                <w:bCs/>
              </w:rPr>
            </w:pPr>
            <w:r w:rsidRPr="004F40E8">
              <w:rPr>
                <w:rFonts w:ascii="Arial Narrow" w:hAnsi="Arial Narrow"/>
                <w:b/>
                <w:bCs/>
              </w:rPr>
              <w:t xml:space="preserve">Πίνακας 2.1 Ισοζύγιο Γενικής Κυβέρνησης σύμφωνα με τη μεθοδολογία </w:t>
            </w:r>
            <w:proofErr w:type="spellStart"/>
            <w:r w:rsidRPr="004F40E8">
              <w:rPr>
                <w:rFonts w:ascii="Arial Narrow" w:hAnsi="Arial Narrow"/>
                <w:b/>
                <w:bCs/>
              </w:rPr>
              <w:t>European</w:t>
            </w:r>
            <w:proofErr w:type="spellEnd"/>
            <w:r w:rsidRPr="004F40E8">
              <w:rPr>
                <w:rFonts w:ascii="Arial Narrow" w:hAnsi="Arial Narrow"/>
                <w:b/>
                <w:bCs/>
              </w:rPr>
              <w:t xml:space="preserve"> </w:t>
            </w:r>
            <w:proofErr w:type="spellStart"/>
            <w:r w:rsidRPr="004F40E8">
              <w:rPr>
                <w:rFonts w:ascii="Arial Narrow" w:hAnsi="Arial Narrow"/>
                <w:b/>
                <w:bCs/>
              </w:rPr>
              <w:t>System</w:t>
            </w:r>
            <w:proofErr w:type="spellEnd"/>
            <w:r w:rsidRPr="004F40E8">
              <w:rPr>
                <w:rFonts w:ascii="Arial Narrow" w:hAnsi="Arial Narrow"/>
                <w:b/>
                <w:bCs/>
              </w:rPr>
              <w:t xml:space="preserve"> </w:t>
            </w:r>
            <w:proofErr w:type="spellStart"/>
            <w:r w:rsidRPr="004F40E8">
              <w:rPr>
                <w:rFonts w:ascii="Arial Narrow" w:hAnsi="Arial Narrow"/>
                <w:b/>
                <w:bCs/>
              </w:rPr>
              <w:t>of</w:t>
            </w:r>
            <w:proofErr w:type="spellEnd"/>
            <w:r w:rsidRPr="004F40E8">
              <w:rPr>
                <w:rFonts w:ascii="Arial Narrow" w:hAnsi="Arial Narrow"/>
                <w:b/>
                <w:bCs/>
              </w:rPr>
              <w:t xml:space="preserve"> </w:t>
            </w:r>
            <w:proofErr w:type="spellStart"/>
            <w:r w:rsidRPr="004F40E8">
              <w:rPr>
                <w:rFonts w:ascii="Arial Narrow" w:hAnsi="Arial Narrow"/>
                <w:b/>
                <w:bCs/>
              </w:rPr>
              <w:t>Accounts</w:t>
            </w:r>
            <w:proofErr w:type="spellEnd"/>
            <w:r w:rsidRPr="004F40E8">
              <w:rPr>
                <w:rFonts w:ascii="Arial Narrow" w:hAnsi="Arial Narrow"/>
                <w:b/>
                <w:bCs/>
              </w:rPr>
              <w:t xml:space="preserve"> (ESA)</w:t>
            </w:r>
          </w:p>
          <w:p w:rsidR="004F40E8" w:rsidRPr="004F40E8" w:rsidRDefault="004F40E8" w:rsidP="004F40E8">
            <w:pPr>
              <w:jc w:val="center"/>
              <w:rPr>
                <w:rFonts w:ascii="Arial Narrow" w:hAnsi="Arial Narrow"/>
                <w:b/>
                <w:bCs/>
              </w:rPr>
            </w:pPr>
            <w:r w:rsidRPr="004F40E8">
              <w:rPr>
                <w:rFonts w:ascii="Arial Narrow" w:hAnsi="Arial Narrow"/>
                <w:b/>
                <w:bCs/>
              </w:rPr>
              <w:t>(σε εκατ. ευρώ)</w:t>
            </w:r>
          </w:p>
        </w:tc>
      </w:tr>
      <w:tr w:rsidR="004F40E8" w:rsidRPr="004F40E8" w:rsidTr="003B594D">
        <w:trPr>
          <w:trHeight w:val="170"/>
          <w:tblHeader/>
        </w:trPr>
        <w:tc>
          <w:tcPr>
            <w:tcW w:w="5170" w:type="dxa"/>
            <w:tcBorders>
              <w:top w:val="nil"/>
              <w:left w:val="single" w:sz="4" w:space="0" w:color="auto"/>
              <w:bottom w:val="nil"/>
              <w:right w:val="single" w:sz="4" w:space="0" w:color="auto"/>
            </w:tcBorders>
            <w:shd w:val="clear" w:color="000000" w:fill="FFFFFF"/>
            <w:vAlign w:val="center"/>
            <w:hideMark/>
          </w:tcPr>
          <w:p w:rsidR="004F40E8" w:rsidRPr="004F40E8" w:rsidRDefault="004F40E8" w:rsidP="004F40E8">
            <w:pPr>
              <w:spacing w:line="228" w:lineRule="auto"/>
              <w:jc w:val="center"/>
              <w:rPr>
                <w:rFonts w:ascii="Arial Narrow" w:hAnsi="Arial Narrow"/>
                <w:b/>
                <w:bCs/>
                <w:sz w:val="16"/>
                <w:szCs w:val="16"/>
              </w:rPr>
            </w:pPr>
            <w:r w:rsidRPr="004F40E8">
              <w:rPr>
                <w:rFonts w:ascii="Arial Narrow" w:hAnsi="Arial Narrow"/>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4F40E8" w:rsidRPr="004F40E8" w:rsidRDefault="004F40E8" w:rsidP="004F40E8">
            <w:pPr>
              <w:spacing w:line="228" w:lineRule="auto"/>
              <w:jc w:val="center"/>
              <w:rPr>
                <w:rFonts w:ascii="Arial Narrow" w:hAnsi="Arial Narrow"/>
                <w:b/>
                <w:bCs/>
                <w:sz w:val="16"/>
                <w:szCs w:val="16"/>
              </w:rPr>
            </w:pPr>
            <w:r w:rsidRPr="004F40E8">
              <w:rPr>
                <w:rFonts w:ascii="Arial Narrow" w:hAnsi="Arial Narrow"/>
                <w:b/>
                <w:bCs/>
                <w:sz w:val="16"/>
                <w:szCs w:val="16"/>
              </w:rPr>
              <w:t>2016</w:t>
            </w:r>
          </w:p>
        </w:tc>
        <w:tc>
          <w:tcPr>
            <w:tcW w:w="1590" w:type="dxa"/>
            <w:gridSpan w:val="2"/>
            <w:tcBorders>
              <w:top w:val="single" w:sz="4" w:space="0" w:color="auto"/>
              <w:left w:val="nil"/>
              <w:bottom w:val="single" w:sz="4" w:space="0" w:color="auto"/>
              <w:right w:val="single" w:sz="4" w:space="0" w:color="000000"/>
            </w:tcBorders>
            <w:shd w:val="clear" w:color="000000" w:fill="FFFFFF"/>
            <w:vAlign w:val="center"/>
            <w:hideMark/>
          </w:tcPr>
          <w:p w:rsidR="004F40E8" w:rsidRPr="004F40E8" w:rsidRDefault="004F40E8" w:rsidP="004F40E8">
            <w:pPr>
              <w:spacing w:line="228" w:lineRule="auto"/>
              <w:jc w:val="center"/>
              <w:rPr>
                <w:rFonts w:ascii="Arial Narrow" w:hAnsi="Arial Narrow"/>
                <w:b/>
                <w:bCs/>
                <w:sz w:val="16"/>
                <w:szCs w:val="16"/>
              </w:rPr>
            </w:pPr>
            <w:r w:rsidRPr="004F40E8">
              <w:rPr>
                <w:rFonts w:ascii="Arial Narrow" w:hAnsi="Arial Narrow"/>
                <w:b/>
                <w:bCs/>
                <w:sz w:val="16"/>
                <w:szCs w:val="16"/>
              </w:rPr>
              <w:t>2017</w:t>
            </w:r>
          </w:p>
        </w:tc>
        <w:tc>
          <w:tcPr>
            <w:tcW w:w="1640" w:type="dxa"/>
            <w:gridSpan w:val="2"/>
            <w:tcBorders>
              <w:top w:val="single" w:sz="4" w:space="0" w:color="auto"/>
              <w:left w:val="nil"/>
              <w:bottom w:val="single" w:sz="4" w:space="0" w:color="auto"/>
              <w:right w:val="single" w:sz="4" w:space="0" w:color="auto"/>
            </w:tcBorders>
            <w:shd w:val="clear" w:color="000000" w:fill="FFFFFF"/>
            <w:vAlign w:val="center"/>
            <w:hideMark/>
          </w:tcPr>
          <w:p w:rsidR="004F40E8" w:rsidRPr="004F40E8" w:rsidRDefault="004F40E8" w:rsidP="004F40E8">
            <w:pPr>
              <w:spacing w:line="228" w:lineRule="auto"/>
              <w:jc w:val="center"/>
              <w:rPr>
                <w:rFonts w:ascii="Arial Narrow" w:hAnsi="Arial Narrow"/>
                <w:b/>
                <w:bCs/>
                <w:sz w:val="16"/>
                <w:szCs w:val="16"/>
              </w:rPr>
            </w:pPr>
            <w:r w:rsidRPr="004F40E8">
              <w:rPr>
                <w:rFonts w:ascii="Arial Narrow" w:hAnsi="Arial Narrow"/>
                <w:b/>
                <w:bCs/>
                <w:sz w:val="16"/>
                <w:szCs w:val="16"/>
              </w:rPr>
              <w:t>2018</w:t>
            </w:r>
          </w:p>
        </w:tc>
      </w:tr>
      <w:tr w:rsidR="004F40E8" w:rsidRPr="004F40E8" w:rsidTr="003B594D">
        <w:trPr>
          <w:trHeight w:val="567"/>
          <w:tblHeader/>
        </w:trPr>
        <w:tc>
          <w:tcPr>
            <w:tcW w:w="5170" w:type="dxa"/>
            <w:tcBorders>
              <w:top w:val="nil"/>
              <w:left w:val="single" w:sz="4" w:space="0" w:color="auto"/>
              <w:bottom w:val="single" w:sz="4" w:space="0" w:color="auto"/>
              <w:right w:val="single" w:sz="4" w:space="0" w:color="auto"/>
            </w:tcBorders>
            <w:shd w:val="clear" w:color="000000" w:fill="FFFFFF"/>
            <w:vAlign w:val="center"/>
            <w:hideMark/>
          </w:tcPr>
          <w:p w:rsidR="004F40E8" w:rsidRPr="004F40E8" w:rsidRDefault="004F40E8" w:rsidP="004F40E8">
            <w:pPr>
              <w:spacing w:line="228" w:lineRule="auto"/>
              <w:jc w:val="center"/>
              <w:rPr>
                <w:rFonts w:ascii="Arial Narrow" w:hAnsi="Arial Narrow"/>
                <w:b/>
                <w:bCs/>
                <w:sz w:val="16"/>
                <w:szCs w:val="16"/>
              </w:rPr>
            </w:pPr>
            <w:r w:rsidRPr="004F40E8">
              <w:rPr>
                <w:rFonts w:ascii="Arial Narrow" w:hAnsi="Arial Narrow"/>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4F40E8" w:rsidRPr="004F40E8" w:rsidRDefault="004F40E8" w:rsidP="004F40E8">
            <w:pPr>
              <w:spacing w:line="228" w:lineRule="auto"/>
              <w:jc w:val="center"/>
              <w:rPr>
                <w:rFonts w:ascii="Arial Narrow" w:hAnsi="Arial Narrow"/>
                <w:b/>
                <w:bCs/>
                <w:sz w:val="16"/>
                <w:szCs w:val="16"/>
              </w:rPr>
            </w:pPr>
            <w:proofErr w:type="spellStart"/>
            <w:r w:rsidRPr="004F40E8">
              <w:rPr>
                <w:rFonts w:ascii="Arial Narrow" w:hAnsi="Arial Narrow"/>
                <w:b/>
                <w:bCs/>
                <w:sz w:val="16"/>
                <w:szCs w:val="16"/>
              </w:rPr>
              <w:t>Πραγμ</w:t>
            </w:r>
            <w:proofErr w:type="spellEnd"/>
            <w:r w:rsidRPr="004F40E8">
              <w:rPr>
                <w:rFonts w:ascii="Arial Narrow" w:hAnsi="Arial Narrow"/>
                <w:b/>
                <w:bCs/>
                <w:sz w:val="16"/>
                <w:szCs w:val="16"/>
              </w:rPr>
              <w:t>/σεις</w:t>
            </w:r>
            <w:r w:rsidRPr="004F40E8">
              <w:rPr>
                <w:rFonts w:ascii="Arial Narrow" w:hAnsi="Arial Narrow"/>
                <w:b/>
                <w:bCs/>
                <w:sz w:val="16"/>
                <w:szCs w:val="16"/>
              </w:rPr>
              <w:br/>
              <w:t>(προσωρινά στοιχεία)</w:t>
            </w:r>
            <w:r w:rsidRPr="004F40E8">
              <w:rPr>
                <w:rFonts w:ascii="Arial Narrow" w:hAnsi="Arial Narrow"/>
                <w:b/>
                <w:bCs/>
                <w:sz w:val="16"/>
                <w:szCs w:val="16"/>
                <w:vertAlign w:val="superscript"/>
              </w:rPr>
              <w:t>1</w:t>
            </w:r>
          </w:p>
        </w:tc>
        <w:tc>
          <w:tcPr>
            <w:tcW w:w="850" w:type="dxa"/>
            <w:tcBorders>
              <w:top w:val="nil"/>
              <w:left w:val="nil"/>
              <w:bottom w:val="single" w:sz="4" w:space="0" w:color="auto"/>
              <w:right w:val="single" w:sz="4" w:space="0" w:color="auto"/>
            </w:tcBorders>
            <w:shd w:val="clear" w:color="000000" w:fill="FFFFFF"/>
            <w:vAlign w:val="center"/>
            <w:hideMark/>
          </w:tcPr>
          <w:p w:rsidR="004F40E8" w:rsidRPr="004F40E8" w:rsidRDefault="004F40E8" w:rsidP="004F40E8">
            <w:pPr>
              <w:spacing w:line="228" w:lineRule="auto"/>
              <w:jc w:val="center"/>
              <w:rPr>
                <w:rFonts w:ascii="Arial Narrow" w:hAnsi="Arial Narrow"/>
                <w:b/>
                <w:bCs/>
                <w:sz w:val="16"/>
                <w:szCs w:val="16"/>
              </w:rPr>
            </w:pPr>
            <w:r w:rsidRPr="004F40E8">
              <w:rPr>
                <w:rFonts w:ascii="Arial Narrow" w:hAnsi="Arial Narrow"/>
                <w:b/>
                <w:bCs/>
                <w:sz w:val="16"/>
                <w:szCs w:val="16"/>
              </w:rPr>
              <w:t>Εκτίμηση ΜΠΔΣ</w:t>
            </w:r>
          </w:p>
        </w:tc>
        <w:tc>
          <w:tcPr>
            <w:tcW w:w="740" w:type="dxa"/>
            <w:tcBorders>
              <w:top w:val="nil"/>
              <w:left w:val="nil"/>
              <w:bottom w:val="single" w:sz="4" w:space="0" w:color="auto"/>
              <w:right w:val="single" w:sz="4" w:space="0" w:color="auto"/>
            </w:tcBorders>
            <w:shd w:val="clear" w:color="000000" w:fill="FFFFFF"/>
            <w:vAlign w:val="center"/>
            <w:hideMark/>
          </w:tcPr>
          <w:p w:rsidR="004F40E8" w:rsidRPr="004F40E8" w:rsidRDefault="004F40E8" w:rsidP="004F40E8">
            <w:pPr>
              <w:spacing w:line="228" w:lineRule="auto"/>
              <w:jc w:val="center"/>
              <w:rPr>
                <w:rFonts w:ascii="Arial Narrow" w:hAnsi="Arial Narrow"/>
                <w:b/>
                <w:bCs/>
                <w:sz w:val="16"/>
                <w:szCs w:val="16"/>
              </w:rPr>
            </w:pPr>
            <w:r w:rsidRPr="004F40E8">
              <w:rPr>
                <w:rFonts w:ascii="Arial Narrow" w:hAnsi="Arial Narrow"/>
                <w:b/>
                <w:bCs/>
                <w:sz w:val="16"/>
                <w:szCs w:val="16"/>
              </w:rPr>
              <w:t>Εκτίμηση</w:t>
            </w:r>
          </w:p>
        </w:tc>
        <w:tc>
          <w:tcPr>
            <w:tcW w:w="820" w:type="dxa"/>
            <w:tcBorders>
              <w:top w:val="nil"/>
              <w:left w:val="nil"/>
              <w:bottom w:val="single" w:sz="4" w:space="0" w:color="auto"/>
              <w:right w:val="single" w:sz="4" w:space="0" w:color="auto"/>
            </w:tcBorders>
            <w:shd w:val="clear" w:color="000000" w:fill="FFFFFF"/>
            <w:vAlign w:val="center"/>
            <w:hideMark/>
          </w:tcPr>
          <w:p w:rsidR="004F40E8" w:rsidRPr="004F40E8" w:rsidRDefault="004F40E8" w:rsidP="004F40E8">
            <w:pPr>
              <w:spacing w:line="228" w:lineRule="auto"/>
              <w:jc w:val="center"/>
              <w:rPr>
                <w:rFonts w:ascii="Arial Narrow" w:hAnsi="Arial Narrow"/>
                <w:b/>
                <w:bCs/>
                <w:sz w:val="16"/>
                <w:szCs w:val="16"/>
              </w:rPr>
            </w:pPr>
            <w:r w:rsidRPr="004F40E8">
              <w:rPr>
                <w:rFonts w:ascii="Arial Narrow" w:hAnsi="Arial Narrow"/>
                <w:b/>
                <w:bCs/>
                <w:sz w:val="16"/>
                <w:szCs w:val="16"/>
              </w:rPr>
              <w:t>Πρόβλεψη ΜΠΔΣ</w:t>
            </w:r>
          </w:p>
        </w:tc>
        <w:tc>
          <w:tcPr>
            <w:tcW w:w="820" w:type="dxa"/>
            <w:tcBorders>
              <w:top w:val="nil"/>
              <w:left w:val="nil"/>
              <w:bottom w:val="single" w:sz="4" w:space="0" w:color="auto"/>
              <w:right w:val="single" w:sz="4" w:space="0" w:color="auto"/>
            </w:tcBorders>
            <w:shd w:val="clear" w:color="000000" w:fill="FFFFFF"/>
            <w:vAlign w:val="center"/>
            <w:hideMark/>
          </w:tcPr>
          <w:p w:rsidR="004F40E8" w:rsidRPr="004F40E8" w:rsidRDefault="004F40E8" w:rsidP="004F40E8">
            <w:pPr>
              <w:spacing w:line="228" w:lineRule="auto"/>
              <w:jc w:val="center"/>
              <w:rPr>
                <w:rFonts w:ascii="Arial Narrow" w:hAnsi="Arial Narrow"/>
                <w:b/>
                <w:bCs/>
                <w:sz w:val="16"/>
                <w:szCs w:val="16"/>
              </w:rPr>
            </w:pPr>
            <w:r w:rsidRPr="004F40E8">
              <w:rPr>
                <w:rFonts w:ascii="Arial Narrow" w:hAnsi="Arial Narrow"/>
                <w:b/>
                <w:bCs/>
                <w:sz w:val="16"/>
                <w:szCs w:val="16"/>
              </w:rPr>
              <w:t>Πρόβλεψη</w:t>
            </w:r>
          </w:p>
        </w:tc>
      </w:tr>
      <w:tr w:rsidR="004F40E8" w:rsidRPr="004F40E8" w:rsidTr="003B594D">
        <w:trPr>
          <w:trHeight w:val="57"/>
        </w:trPr>
        <w:tc>
          <w:tcPr>
            <w:tcW w:w="5170" w:type="dxa"/>
            <w:tcBorders>
              <w:top w:val="nil"/>
              <w:left w:val="single" w:sz="4" w:space="0" w:color="auto"/>
              <w:bottom w:val="nil"/>
              <w:right w:val="nil"/>
            </w:tcBorders>
            <w:shd w:val="clear" w:color="000000" w:fill="FFFFFF"/>
            <w:noWrap/>
            <w:vAlign w:val="center"/>
            <w:hideMark/>
          </w:tcPr>
          <w:p w:rsidR="004F40E8" w:rsidRPr="004F40E8" w:rsidRDefault="004F40E8" w:rsidP="004F40E8">
            <w:pPr>
              <w:spacing w:line="228" w:lineRule="auto"/>
              <w:jc w:val="center"/>
              <w:rPr>
                <w:rFonts w:ascii="Arial Narrow" w:hAnsi="Arial Narrow"/>
                <w:b/>
                <w:bCs/>
                <w:sz w:val="15"/>
                <w:szCs w:val="15"/>
              </w:rPr>
            </w:pPr>
            <w:r w:rsidRPr="004F40E8">
              <w:rPr>
                <w:rFonts w:ascii="Arial Narrow" w:hAnsi="Arial Narrow"/>
                <w:b/>
                <w:bCs/>
                <w:sz w:val="15"/>
                <w:szCs w:val="15"/>
              </w:rPr>
              <w:t> </w:t>
            </w:r>
          </w:p>
        </w:tc>
        <w:tc>
          <w:tcPr>
            <w:tcW w:w="992" w:type="dxa"/>
            <w:tcBorders>
              <w:top w:val="nil"/>
              <w:left w:val="nil"/>
              <w:bottom w:val="nil"/>
              <w:right w:val="nil"/>
            </w:tcBorders>
            <w:shd w:val="clear" w:color="000000" w:fill="FFFFFF"/>
            <w:noWrap/>
            <w:vAlign w:val="center"/>
            <w:hideMark/>
          </w:tcPr>
          <w:p w:rsidR="004F40E8" w:rsidRPr="004F40E8" w:rsidRDefault="004F40E8" w:rsidP="004F40E8">
            <w:pPr>
              <w:spacing w:line="228" w:lineRule="auto"/>
              <w:jc w:val="center"/>
              <w:rPr>
                <w:rFonts w:ascii="Arial Narrow" w:hAnsi="Arial Narrow"/>
                <w:b/>
                <w:bCs/>
                <w:sz w:val="15"/>
                <w:szCs w:val="15"/>
              </w:rPr>
            </w:pPr>
            <w:r w:rsidRPr="004F40E8">
              <w:rPr>
                <w:rFonts w:ascii="Arial Narrow" w:hAnsi="Arial Narrow"/>
                <w:b/>
                <w:bCs/>
                <w:sz w:val="15"/>
                <w:szCs w:val="15"/>
              </w:rPr>
              <w:t> </w:t>
            </w:r>
          </w:p>
        </w:tc>
        <w:tc>
          <w:tcPr>
            <w:tcW w:w="850" w:type="dxa"/>
            <w:tcBorders>
              <w:top w:val="nil"/>
              <w:left w:val="nil"/>
              <w:bottom w:val="nil"/>
              <w:right w:val="nil"/>
            </w:tcBorders>
            <w:shd w:val="clear" w:color="000000" w:fill="FFFFFF"/>
            <w:noWrap/>
            <w:vAlign w:val="center"/>
            <w:hideMark/>
          </w:tcPr>
          <w:p w:rsidR="004F40E8" w:rsidRPr="004F40E8" w:rsidRDefault="004F40E8" w:rsidP="004F40E8">
            <w:pPr>
              <w:spacing w:line="228" w:lineRule="auto"/>
              <w:jc w:val="center"/>
              <w:rPr>
                <w:rFonts w:ascii="Arial Narrow" w:hAnsi="Arial Narrow"/>
                <w:b/>
                <w:bCs/>
                <w:sz w:val="15"/>
                <w:szCs w:val="15"/>
              </w:rPr>
            </w:pPr>
            <w:r w:rsidRPr="004F40E8">
              <w:rPr>
                <w:rFonts w:ascii="Arial Narrow" w:hAnsi="Arial Narrow"/>
                <w:b/>
                <w:bCs/>
                <w:sz w:val="15"/>
                <w:szCs w:val="15"/>
              </w:rPr>
              <w:t> </w:t>
            </w:r>
          </w:p>
        </w:tc>
        <w:tc>
          <w:tcPr>
            <w:tcW w:w="740" w:type="dxa"/>
            <w:tcBorders>
              <w:top w:val="nil"/>
              <w:left w:val="nil"/>
              <w:bottom w:val="nil"/>
              <w:right w:val="nil"/>
            </w:tcBorders>
            <w:shd w:val="clear" w:color="000000" w:fill="FFFFFF"/>
            <w:noWrap/>
            <w:vAlign w:val="center"/>
            <w:hideMark/>
          </w:tcPr>
          <w:p w:rsidR="004F40E8" w:rsidRPr="004F40E8" w:rsidRDefault="004F40E8" w:rsidP="004F40E8">
            <w:pPr>
              <w:spacing w:line="228" w:lineRule="auto"/>
              <w:jc w:val="center"/>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nil"/>
            </w:tcBorders>
            <w:shd w:val="clear" w:color="000000" w:fill="FFFFFF"/>
            <w:noWrap/>
            <w:vAlign w:val="center"/>
            <w:hideMark/>
          </w:tcPr>
          <w:p w:rsidR="004F40E8" w:rsidRPr="004F40E8" w:rsidRDefault="004F40E8" w:rsidP="004F40E8">
            <w:pPr>
              <w:spacing w:line="228" w:lineRule="auto"/>
              <w:jc w:val="center"/>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single" w:sz="4" w:space="0" w:color="auto"/>
            </w:tcBorders>
            <w:shd w:val="clear" w:color="000000" w:fill="FFFFFF"/>
            <w:noWrap/>
            <w:vAlign w:val="center"/>
            <w:hideMark/>
          </w:tcPr>
          <w:p w:rsidR="004F40E8" w:rsidRPr="004F40E8" w:rsidRDefault="004F40E8" w:rsidP="004F40E8">
            <w:pPr>
              <w:spacing w:line="228" w:lineRule="auto"/>
              <w:jc w:val="center"/>
              <w:rPr>
                <w:rFonts w:ascii="Arial Narrow" w:hAnsi="Arial Narrow"/>
                <w:b/>
                <w:bCs/>
                <w:sz w:val="15"/>
                <w:szCs w:val="15"/>
              </w:rPr>
            </w:pPr>
            <w:r w:rsidRPr="004F40E8">
              <w:rPr>
                <w:rFonts w:ascii="Arial Narrow" w:hAnsi="Arial Narrow"/>
                <w:b/>
                <w:bCs/>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auto" w:fill="D9D9D9" w:themeFill="background1" w:themeFillShade="D9"/>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Ι. Έσοδα (1+2)</w:t>
            </w:r>
          </w:p>
        </w:tc>
        <w:tc>
          <w:tcPr>
            <w:tcW w:w="992"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53.135</w:t>
            </w:r>
          </w:p>
        </w:tc>
        <w:tc>
          <w:tcPr>
            <w:tcW w:w="85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55.281</w:t>
            </w:r>
          </w:p>
        </w:tc>
        <w:tc>
          <w:tcPr>
            <w:tcW w:w="74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53.231</w:t>
            </w:r>
          </w:p>
        </w:tc>
        <w:tc>
          <w:tcPr>
            <w:tcW w:w="82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55.008</w:t>
            </w:r>
          </w:p>
        </w:tc>
        <w:tc>
          <w:tcPr>
            <w:tcW w:w="820" w:type="dxa"/>
            <w:tcBorders>
              <w:top w:val="nil"/>
              <w:left w:val="nil"/>
              <w:bottom w:val="nil"/>
              <w:right w:val="single" w:sz="4" w:space="0" w:color="auto"/>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54.428</w:t>
            </w:r>
          </w:p>
        </w:tc>
      </w:tr>
      <w:tr w:rsidR="004F40E8" w:rsidRPr="004F40E8" w:rsidTr="003B594D">
        <w:trPr>
          <w:trHeight w:val="20"/>
        </w:trPr>
        <w:tc>
          <w:tcPr>
            <w:tcW w:w="5170" w:type="dxa"/>
            <w:tcBorders>
              <w:top w:val="nil"/>
              <w:left w:val="single" w:sz="4" w:space="0" w:color="auto"/>
              <w:bottom w:val="nil"/>
              <w:right w:val="nil"/>
            </w:tcBorders>
            <w:shd w:val="clear" w:color="auto" w:fill="D9D9D9" w:themeFill="background1" w:themeFillShade="D9"/>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1. Καθαρά έσοδα τακτικού προϋπολογισμού (α+β-γ-γ1+δ+ε)</w:t>
            </w:r>
          </w:p>
        </w:tc>
        <w:tc>
          <w:tcPr>
            <w:tcW w:w="992"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48.956</w:t>
            </w:r>
          </w:p>
        </w:tc>
        <w:tc>
          <w:tcPr>
            <w:tcW w:w="85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51.664</w:t>
            </w:r>
          </w:p>
        </w:tc>
        <w:tc>
          <w:tcPr>
            <w:tcW w:w="74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49.804</w:t>
            </w:r>
          </w:p>
        </w:tc>
        <w:tc>
          <w:tcPr>
            <w:tcW w:w="82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51.273</w:t>
            </w:r>
          </w:p>
        </w:tc>
        <w:tc>
          <w:tcPr>
            <w:tcW w:w="820" w:type="dxa"/>
            <w:tcBorders>
              <w:top w:val="nil"/>
              <w:left w:val="nil"/>
              <w:bottom w:val="nil"/>
              <w:right w:val="single" w:sz="4" w:space="0" w:color="auto"/>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50.693</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α. Τακτικά έσοδα (1+2+3+4)</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52.336</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52.730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52.218</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52.938</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52.495</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xml:space="preserve">    1. Άμεσοι φόροι</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21.839</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21.525</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20.373</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21.453</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20.775</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xml:space="preserve">    2.Έμμεσοι φόροι</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25.680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26.718</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27.099</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27.502</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27.652</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xml:space="preserve">    3. Απολήψεις από ΕΕ</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415</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508</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508</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321</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321</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xml:space="preserve">    4. Μη φορολογικά έσοδα</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4.402</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3.979</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4.238</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3.662</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3.747</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β. Μη τακτικά έσοδα</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430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306</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357</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283</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299</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γ. Επιστροφές φόρων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3.263</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3.324</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4.686</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3.383</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3.566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γ1. Επιστροφές φόρων από ειδική πίστωση</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1.026</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δ. Έσοδα αποκρατικοποιήσεων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106</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1.607</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1.571</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1.121</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1.151</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ε. Μεταφορά εσόδων από ANFA</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375</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345</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345</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314</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314</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2. Έσοδα ΠΔΕ (</w:t>
            </w:r>
            <w:proofErr w:type="spellStart"/>
            <w:r w:rsidRPr="004F40E8">
              <w:rPr>
                <w:rFonts w:ascii="Arial Narrow" w:hAnsi="Arial Narrow"/>
                <w:b/>
                <w:bCs/>
                <w:sz w:val="15"/>
                <w:szCs w:val="15"/>
              </w:rPr>
              <w:t>α+β</w:t>
            </w:r>
            <w:proofErr w:type="spellEnd"/>
            <w:r w:rsidRPr="004F40E8">
              <w:rPr>
                <w:rFonts w:ascii="Arial Narrow" w:hAnsi="Arial Narrow"/>
                <w:b/>
                <w:bCs/>
                <w:sz w:val="15"/>
                <w:szCs w:val="15"/>
              </w:rPr>
              <w:t>)</w:t>
            </w:r>
          </w:p>
        </w:tc>
        <w:tc>
          <w:tcPr>
            <w:tcW w:w="992"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4.178</w:t>
            </w:r>
          </w:p>
        </w:tc>
        <w:tc>
          <w:tcPr>
            <w:tcW w:w="85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3.617</w:t>
            </w:r>
          </w:p>
        </w:tc>
        <w:tc>
          <w:tcPr>
            <w:tcW w:w="74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3.427</w:t>
            </w:r>
          </w:p>
        </w:tc>
        <w:tc>
          <w:tcPr>
            <w:tcW w:w="82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3.735</w:t>
            </w:r>
          </w:p>
        </w:tc>
        <w:tc>
          <w:tcPr>
            <w:tcW w:w="820" w:type="dxa"/>
            <w:tcBorders>
              <w:top w:val="nil"/>
              <w:left w:val="nil"/>
              <w:bottom w:val="nil"/>
              <w:right w:val="single" w:sz="4" w:space="0" w:color="auto"/>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3.735</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α. Εισροές από ΕΕ</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3.861</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3.437</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3.247</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3.555</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3.555</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β. Ίδια έσοδα</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317</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180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180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180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180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auto" w:fill="D9D9D9" w:themeFill="background1" w:themeFillShade="D9"/>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ΙΙ. Δαπάνες Κρατικού Προϋπολογισμού (1+2)</w:t>
            </w:r>
          </w:p>
        </w:tc>
        <w:tc>
          <w:tcPr>
            <w:tcW w:w="992"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59.795</w:t>
            </w:r>
          </w:p>
        </w:tc>
        <w:tc>
          <w:tcPr>
            <w:tcW w:w="85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56.594</w:t>
            </w:r>
          </w:p>
        </w:tc>
        <w:tc>
          <w:tcPr>
            <w:tcW w:w="74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56.001</w:t>
            </w:r>
          </w:p>
        </w:tc>
        <w:tc>
          <w:tcPr>
            <w:tcW w:w="82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56.104</w:t>
            </w:r>
          </w:p>
        </w:tc>
        <w:tc>
          <w:tcPr>
            <w:tcW w:w="820" w:type="dxa"/>
            <w:tcBorders>
              <w:top w:val="nil"/>
              <w:left w:val="nil"/>
              <w:bottom w:val="nil"/>
              <w:right w:val="single" w:sz="4" w:space="0" w:color="auto"/>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55.</w:t>
            </w:r>
            <w:r w:rsidRPr="004F40E8">
              <w:rPr>
                <w:rFonts w:ascii="Arial Narrow" w:hAnsi="Arial Narrow"/>
                <w:b/>
                <w:bCs/>
                <w:sz w:val="15"/>
                <w:szCs w:val="15"/>
                <w:lang w:val="en-US"/>
              </w:rPr>
              <w:t>60</w:t>
            </w:r>
            <w:r w:rsidRPr="004F40E8">
              <w:rPr>
                <w:rFonts w:ascii="Arial Narrow" w:hAnsi="Arial Narrow"/>
                <w:b/>
                <w:bCs/>
                <w:sz w:val="15"/>
                <w:szCs w:val="15"/>
              </w:rPr>
              <w:t>7</w:t>
            </w:r>
          </w:p>
        </w:tc>
      </w:tr>
      <w:tr w:rsidR="004F40E8" w:rsidRPr="004F40E8" w:rsidTr="003B594D">
        <w:trPr>
          <w:trHeight w:val="20"/>
        </w:trPr>
        <w:tc>
          <w:tcPr>
            <w:tcW w:w="5170" w:type="dxa"/>
            <w:tcBorders>
              <w:top w:val="nil"/>
              <w:left w:val="single" w:sz="4" w:space="0" w:color="auto"/>
              <w:bottom w:val="nil"/>
              <w:right w:val="nil"/>
            </w:tcBorders>
            <w:shd w:val="clear" w:color="auto" w:fill="D9D9D9" w:themeFill="background1" w:themeFillShade="D9"/>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1. Δαπάνες Τακτικού Προϋπολογισμού (</w:t>
            </w:r>
            <w:proofErr w:type="spellStart"/>
            <w:r w:rsidRPr="004F40E8">
              <w:rPr>
                <w:rFonts w:ascii="Arial Narrow" w:hAnsi="Arial Narrow"/>
                <w:b/>
                <w:bCs/>
                <w:sz w:val="15"/>
                <w:szCs w:val="15"/>
              </w:rPr>
              <w:t>α+β</w:t>
            </w:r>
            <w:proofErr w:type="spellEnd"/>
            <w:r w:rsidRPr="004F40E8">
              <w:rPr>
                <w:rFonts w:ascii="Arial Narrow" w:hAnsi="Arial Narrow"/>
                <w:b/>
                <w:bCs/>
                <w:sz w:val="15"/>
                <w:szCs w:val="15"/>
              </w:rPr>
              <w:t>)</w:t>
            </w:r>
          </w:p>
        </w:tc>
        <w:tc>
          <w:tcPr>
            <w:tcW w:w="992"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53.507</w:t>
            </w:r>
          </w:p>
        </w:tc>
        <w:tc>
          <w:tcPr>
            <w:tcW w:w="85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49.844</w:t>
            </w:r>
          </w:p>
        </w:tc>
        <w:tc>
          <w:tcPr>
            <w:tcW w:w="74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49.251</w:t>
            </w:r>
          </w:p>
        </w:tc>
        <w:tc>
          <w:tcPr>
            <w:tcW w:w="82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49.354</w:t>
            </w:r>
          </w:p>
        </w:tc>
        <w:tc>
          <w:tcPr>
            <w:tcW w:w="820" w:type="dxa"/>
            <w:tcBorders>
              <w:top w:val="nil"/>
              <w:left w:val="nil"/>
              <w:bottom w:val="nil"/>
              <w:right w:val="single" w:sz="4" w:space="0" w:color="auto"/>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lang w:val="en-US"/>
              </w:rPr>
            </w:pPr>
            <w:r w:rsidRPr="004F40E8">
              <w:rPr>
                <w:rFonts w:ascii="Arial Narrow" w:hAnsi="Arial Narrow"/>
                <w:b/>
                <w:bCs/>
                <w:sz w:val="15"/>
                <w:szCs w:val="15"/>
              </w:rPr>
              <w:t>4</w:t>
            </w:r>
            <w:r w:rsidRPr="004F40E8">
              <w:rPr>
                <w:rFonts w:ascii="Arial Narrow" w:hAnsi="Arial Narrow"/>
                <w:b/>
                <w:bCs/>
                <w:sz w:val="15"/>
                <w:szCs w:val="15"/>
                <w:lang w:val="en-US"/>
              </w:rPr>
              <w:t>8.857</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α. Πρωτογενείς δαπάνες (1+2+3+4+5+6+7+8+9+10+11)</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47.919</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44.194</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43.601</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43.454</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43.</w:t>
            </w:r>
            <w:r w:rsidRPr="004F40E8">
              <w:rPr>
                <w:rFonts w:ascii="Arial Narrow" w:hAnsi="Arial Narrow"/>
                <w:b/>
                <w:bCs/>
                <w:sz w:val="15"/>
                <w:szCs w:val="15"/>
                <w:lang w:val="en-US"/>
              </w:rPr>
              <w:t>15</w:t>
            </w:r>
            <w:r w:rsidRPr="004F40E8">
              <w:rPr>
                <w:rFonts w:ascii="Arial Narrow" w:hAnsi="Arial Narrow"/>
                <w:b/>
                <w:bCs/>
                <w:sz w:val="15"/>
                <w:szCs w:val="15"/>
              </w:rPr>
              <w:t>7</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1. </w:t>
            </w:r>
            <w:r w:rsidRPr="004F40E8">
              <w:rPr>
                <w:rFonts w:ascii="Arial Narrow" w:hAnsi="Arial Narrow"/>
                <w:sz w:val="15"/>
                <w:szCs w:val="15"/>
              </w:rPr>
              <w:tab/>
              <w:t>Μισθοί και συντάξεις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18.065</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12.366</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12.393</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12.540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12.626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2. </w:t>
            </w:r>
            <w:r w:rsidRPr="004F40E8">
              <w:rPr>
                <w:rFonts w:ascii="Arial Narrow" w:hAnsi="Arial Narrow"/>
                <w:sz w:val="15"/>
                <w:szCs w:val="15"/>
              </w:rPr>
              <w:tab/>
              <w:t>Ασφάλιση, περίθαλψη και κοινωνική προστασία</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15.630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20.268</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20.008</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19.649</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19.</w:t>
            </w:r>
            <w:r w:rsidRPr="004F40E8">
              <w:rPr>
                <w:rFonts w:ascii="Arial Narrow" w:hAnsi="Arial Narrow"/>
                <w:sz w:val="15"/>
                <w:szCs w:val="15"/>
                <w:lang w:val="en-US"/>
              </w:rPr>
              <w:t>49</w:t>
            </w: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3. </w:t>
            </w:r>
            <w:r w:rsidRPr="004F40E8">
              <w:rPr>
                <w:rFonts w:ascii="Arial Narrow" w:hAnsi="Arial Narrow"/>
                <w:sz w:val="15"/>
                <w:szCs w:val="15"/>
              </w:rPr>
              <w:tab/>
              <w:t>Λειτουργικές και άλλες δαπάνες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5.309</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5.704</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6.071</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5.295</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5.241</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4. </w:t>
            </w:r>
            <w:r w:rsidRPr="004F40E8">
              <w:rPr>
                <w:rFonts w:ascii="Arial Narrow" w:hAnsi="Arial Narrow"/>
                <w:sz w:val="15"/>
                <w:szCs w:val="15"/>
              </w:rPr>
              <w:tab/>
              <w:t>Αποδόσεις προς τρίτους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3.248</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3.119</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3.108</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3.395</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3.256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5. </w:t>
            </w:r>
            <w:r w:rsidRPr="004F40E8">
              <w:rPr>
                <w:rFonts w:ascii="Arial Narrow" w:hAnsi="Arial Narrow"/>
                <w:sz w:val="15"/>
                <w:szCs w:val="15"/>
              </w:rPr>
              <w:tab/>
              <w:t>Αποθεματικό</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1.000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388</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1.000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1.000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6. </w:t>
            </w:r>
            <w:r w:rsidRPr="004F40E8">
              <w:rPr>
                <w:rFonts w:ascii="Arial Narrow" w:hAnsi="Arial Narrow"/>
                <w:sz w:val="15"/>
                <w:szCs w:val="15"/>
              </w:rPr>
              <w:tab/>
              <w:t>Δαπάνες ανάληψης δανείων από τον Ευρωπαϊκό Μηχανισμό Στήριξης (ΕΜΣ) και π</w:t>
            </w:r>
            <w:r w:rsidRPr="004F40E8">
              <w:rPr>
                <w:rFonts w:ascii="Arial Narrow" w:hAnsi="Arial Narrow"/>
                <w:sz w:val="15"/>
                <w:szCs w:val="15"/>
              </w:rPr>
              <w:t>α</w:t>
            </w:r>
            <w:r w:rsidRPr="004F40E8">
              <w:rPr>
                <w:rFonts w:ascii="Arial Narrow" w:hAnsi="Arial Narrow"/>
                <w:sz w:val="15"/>
                <w:szCs w:val="15"/>
              </w:rPr>
              <w:t>ράλληλες δαπάνες δημοσίου χρέους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54</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75</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75</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65</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7. </w:t>
            </w:r>
            <w:r w:rsidRPr="004F40E8">
              <w:rPr>
                <w:rFonts w:ascii="Arial Narrow" w:hAnsi="Arial Narrow"/>
                <w:sz w:val="15"/>
                <w:szCs w:val="15"/>
              </w:rPr>
              <w:tab/>
              <w:t>Δαπάνες ανάληψης χρεών φορέων Γενικής Κυβέρνησης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553</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193</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193</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8. </w:t>
            </w:r>
            <w:r w:rsidRPr="004F40E8">
              <w:rPr>
                <w:rFonts w:ascii="Arial Narrow" w:hAnsi="Arial Narrow"/>
                <w:sz w:val="15"/>
                <w:szCs w:val="15"/>
              </w:rPr>
              <w:tab/>
              <w:t>Εγγυήσεις για φορείς εντός Γενικής Κυβέρνησης (σε ακαθάριστη βάση)</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1.614</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855</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855</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927</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927</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9. </w:t>
            </w:r>
            <w:r w:rsidRPr="004F40E8">
              <w:rPr>
                <w:rFonts w:ascii="Arial Narrow" w:hAnsi="Arial Narrow"/>
                <w:sz w:val="15"/>
                <w:szCs w:val="15"/>
              </w:rPr>
              <w:tab/>
              <w:t>Εγγυήσεις για φορείς εκτός Γενικής Κυβέρνησης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37</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140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35</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118</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43</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10. </w:t>
            </w:r>
            <w:r w:rsidRPr="004F40E8">
              <w:rPr>
                <w:rFonts w:ascii="Arial Narrow" w:hAnsi="Arial Narrow"/>
                <w:sz w:val="15"/>
                <w:szCs w:val="15"/>
              </w:rPr>
              <w:tab/>
              <w:t>Δαπάνες εξοπλιστικών προγραμμάτων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584</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475</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475</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510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510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tabs>
                <w:tab w:val="left" w:pos="323"/>
              </w:tabs>
              <w:spacing w:line="228" w:lineRule="auto"/>
              <w:ind w:left="323" w:hanging="323"/>
              <w:rPr>
                <w:rFonts w:ascii="Arial Narrow" w:hAnsi="Arial Narrow"/>
                <w:sz w:val="15"/>
                <w:szCs w:val="15"/>
              </w:rPr>
            </w:pPr>
            <w:r w:rsidRPr="004F40E8">
              <w:rPr>
                <w:rFonts w:ascii="Arial Narrow" w:hAnsi="Arial Narrow"/>
                <w:sz w:val="15"/>
                <w:szCs w:val="15"/>
              </w:rPr>
              <w:t xml:space="preserve">  11. </w:t>
            </w:r>
            <w:r w:rsidRPr="004F40E8">
              <w:rPr>
                <w:rFonts w:ascii="Arial Narrow" w:hAnsi="Arial Narrow"/>
                <w:sz w:val="15"/>
                <w:szCs w:val="15"/>
              </w:rPr>
              <w:tab/>
              <w:t>Χρηματοδοτήσεις για πληρωμές υποχρεώσεων προηγούμενων οικονομικών ετών (ΠΟΕ)</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2.824</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β. Τόκοι</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5.588</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5.650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5.650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5.900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5.700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2. ΠΔΕ  (</w:t>
            </w:r>
            <w:proofErr w:type="spellStart"/>
            <w:r w:rsidRPr="004F40E8">
              <w:rPr>
                <w:rFonts w:ascii="Arial Narrow" w:hAnsi="Arial Narrow"/>
                <w:b/>
                <w:bCs/>
                <w:sz w:val="15"/>
                <w:szCs w:val="15"/>
              </w:rPr>
              <w:t>α+β</w:t>
            </w:r>
            <w:proofErr w:type="spellEnd"/>
            <w:r w:rsidRPr="004F40E8">
              <w:rPr>
                <w:rFonts w:ascii="Arial Narrow" w:hAnsi="Arial Narrow"/>
                <w:b/>
                <w:bCs/>
                <w:sz w:val="15"/>
                <w:szCs w:val="15"/>
              </w:rPr>
              <w:t>)</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6.288</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6.750</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6.750</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6.750</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6.750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α. Συγχρηματοδοτούμενο σκέλος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5.454</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5.750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5.750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5.750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5.750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β. Εθνικό σκέλος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833</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1.000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1.000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1.000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1.000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auto" w:fill="D9D9D9" w:themeFill="background1" w:themeFillShade="D9"/>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ΙΙΙ. Ταμειακό ισοζύγιο Κρατικού Προϋπολογισμού (I-II)</w:t>
            </w:r>
          </w:p>
        </w:tc>
        <w:tc>
          <w:tcPr>
            <w:tcW w:w="992"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-6.660</w:t>
            </w:r>
          </w:p>
        </w:tc>
        <w:tc>
          <w:tcPr>
            <w:tcW w:w="85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-1.313</w:t>
            </w:r>
          </w:p>
        </w:tc>
        <w:tc>
          <w:tcPr>
            <w:tcW w:w="74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-2.770</w:t>
            </w:r>
          </w:p>
        </w:tc>
        <w:tc>
          <w:tcPr>
            <w:tcW w:w="820" w:type="dxa"/>
            <w:tcBorders>
              <w:top w:val="nil"/>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-1.096</w:t>
            </w:r>
          </w:p>
        </w:tc>
        <w:tc>
          <w:tcPr>
            <w:tcW w:w="820" w:type="dxa"/>
            <w:tcBorders>
              <w:top w:val="nil"/>
              <w:left w:val="nil"/>
              <w:bottom w:val="nil"/>
              <w:right w:val="single" w:sz="4" w:space="0" w:color="auto"/>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lang w:val="en-US"/>
              </w:rPr>
            </w:pPr>
            <w:r w:rsidRPr="004F40E8">
              <w:rPr>
                <w:rFonts w:ascii="Arial Narrow" w:hAnsi="Arial Narrow"/>
                <w:b/>
                <w:bCs/>
                <w:sz w:val="15"/>
                <w:szCs w:val="15"/>
              </w:rPr>
              <w:t>-1.</w:t>
            </w:r>
            <w:r w:rsidRPr="004F40E8">
              <w:rPr>
                <w:rFonts w:ascii="Arial Narrow" w:hAnsi="Arial Narrow"/>
                <w:b/>
                <w:bCs/>
                <w:sz w:val="15"/>
                <w:szCs w:val="15"/>
                <w:lang w:val="en-US"/>
              </w:rPr>
              <w:t>179</w:t>
            </w:r>
          </w:p>
        </w:tc>
      </w:tr>
      <w:tr w:rsidR="004F40E8" w:rsidRPr="004F40E8" w:rsidTr="003B594D">
        <w:trPr>
          <w:trHeight w:val="20"/>
        </w:trPr>
        <w:tc>
          <w:tcPr>
            <w:tcW w:w="5170" w:type="dxa"/>
            <w:tcBorders>
              <w:top w:val="nil"/>
              <w:left w:val="single" w:sz="4" w:space="0" w:color="auto"/>
              <w:right w:val="nil"/>
            </w:tcBorders>
            <w:shd w:val="clear" w:color="auto" w:fill="D9D9D9" w:themeFill="background1" w:themeFillShade="D9"/>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ΑΕΠ</w:t>
            </w:r>
          </w:p>
        </w:tc>
        <w:tc>
          <w:tcPr>
            <w:tcW w:w="992" w:type="dxa"/>
            <w:tcBorders>
              <w:top w:val="nil"/>
              <w:left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-3,8%</w:t>
            </w:r>
          </w:p>
        </w:tc>
        <w:tc>
          <w:tcPr>
            <w:tcW w:w="850" w:type="dxa"/>
            <w:tcBorders>
              <w:top w:val="nil"/>
              <w:left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-0,7%</w:t>
            </w:r>
          </w:p>
        </w:tc>
        <w:tc>
          <w:tcPr>
            <w:tcW w:w="740" w:type="dxa"/>
            <w:tcBorders>
              <w:top w:val="nil"/>
              <w:left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-1,5%</w:t>
            </w:r>
          </w:p>
        </w:tc>
        <w:tc>
          <w:tcPr>
            <w:tcW w:w="820" w:type="dxa"/>
            <w:tcBorders>
              <w:top w:val="nil"/>
              <w:left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-0,6%</w:t>
            </w:r>
          </w:p>
        </w:tc>
        <w:tc>
          <w:tcPr>
            <w:tcW w:w="820" w:type="dxa"/>
            <w:tcBorders>
              <w:top w:val="nil"/>
              <w:left w:val="nil"/>
              <w:right w:val="single" w:sz="4" w:space="0" w:color="auto"/>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-0,</w:t>
            </w:r>
            <w:r w:rsidRPr="004F40E8">
              <w:rPr>
                <w:rFonts w:ascii="Arial Narrow" w:hAnsi="Arial Narrow"/>
                <w:b/>
                <w:bCs/>
                <w:sz w:val="15"/>
                <w:szCs w:val="15"/>
                <w:lang w:val="en-US"/>
              </w:rPr>
              <w:t>6</w:t>
            </w:r>
            <w:r w:rsidRPr="004F40E8">
              <w:rPr>
                <w:rFonts w:ascii="Arial Narrow" w:hAnsi="Arial Narrow"/>
                <w:b/>
                <w:bCs/>
                <w:sz w:val="15"/>
                <w:szCs w:val="15"/>
              </w:rPr>
              <w:t>%</w:t>
            </w:r>
          </w:p>
        </w:tc>
      </w:tr>
      <w:tr w:rsidR="004F40E8" w:rsidRPr="004F40E8" w:rsidTr="003B594D">
        <w:trPr>
          <w:trHeight w:val="20"/>
        </w:trPr>
        <w:tc>
          <w:tcPr>
            <w:tcW w:w="5170" w:type="dxa"/>
            <w:tcBorders>
              <w:top w:val="nil"/>
              <w:left w:val="single" w:sz="4" w:space="0" w:color="auto"/>
              <w:right w:val="nil"/>
            </w:tcBorders>
            <w:shd w:val="clear" w:color="auto" w:fill="D9D9D9" w:themeFill="background1" w:themeFillShade="D9"/>
            <w:vAlign w:val="center"/>
            <w:hideMark/>
          </w:tcPr>
          <w:p w:rsidR="004F40E8" w:rsidRPr="004F40E8" w:rsidRDefault="004F40E8" w:rsidP="004F40E8">
            <w:pPr>
              <w:spacing w:line="228" w:lineRule="auto"/>
              <w:rPr>
                <w:rFonts w:ascii="Arial Narrow" w:hAnsi="Arial Narrow"/>
                <w:b/>
                <w:bCs/>
                <w:sz w:val="15"/>
                <w:szCs w:val="15"/>
              </w:rPr>
            </w:pPr>
            <w:proofErr w:type="spellStart"/>
            <w:r w:rsidRPr="004F40E8">
              <w:rPr>
                <w:rFonts w:ascii="Arial Narrow" w:hAnsi="Arial Narrow"/>
                <w:b/>
                <w:bCs/>
                <w:sz w:val="15"/>
                <w:szCs w:val="15"/>
              </w:rPr>
              <w:t>ΙΙΙ.α</w:t>
            </w:r>
            <w:proofErr w:type="spellEnd"/>
            <w:r w:rsidRPr="004F40E8">
              <w:rPr>
                <w:rFonts w:ascii="Arial Narrow" w:hAnsi="Arial Narrow"/>
                <w:b/>
                <w:bCs/>
                <w:sz w:val="15"/>
                <w:szCs w:val="15"/>
              </w:rPr>
              <w:t>. Ταμειακό πρωτογενές αποτέλεσμα Κρατικού Προϋπολογισμού (ΙΙΙ+II.1β)</w:t>
            </w:r>
          </w:p>
        </w:tc>
        <w:tc>
          <w:tcPr>
            <w:tcW w:w="992" w:type="dxa"/>
            <w:tcBorders>
              <w:top w:val="nil"/>
              <w:left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-1.072</w:t>
            </w:r>
          </w:p>
        </w:tc>
        <w:tc>
          <w:tcPr>
            <w:tcW w:w="850" w:type="dxa"/>
            <w:tcBorders>
              <w:top w:val="nil"/>
              <w:left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4.337</w:t>
            </w:r>
          </w:p>
        </w:tc>
        <w:tc>
          <w:tcPr>
            <w:tcW w:w="740" w:type="dxa"/>
            <w:tcBorders>
              <w:top w:val="nil"/>
              <w:left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2.880</w:t>
            </w:r>
          </w:p>
        </w:tc>
        <w:tc>
          <w:tcPr>
            <w:tcW w:w="820" w:type="dxa"/>
            <w:tcBorders>
              <w:top w:val="nil"/>
              <w:left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4.804</w:t>
            </w:r>
          </w:p>
        </w:tc>
        <w:tc>
          <w:tcPr>
            <w:tcW w:w="820" w:type="dxa"/>
            <w:tcBorders>
              <w:top w:val="nil"/>
              <w:left w:val="nil"/>
              <w:right w:val="single" w:sz="4" w:space="0" w:color="auto"/>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w:t>
            </w:r>
            <w:r w:rsidRPr="004F40E8">
              <w:rPr>
                <w:rFonts w:ascii="Arial Narrow" w:hAnsi="Arial Narrow"/>
                <w:b/>
                <w:bCs/>
                <w:sz w:val="15"/>
                <w:szCs w:val="15"/>
                <w:lang w:val="en-US"/>
              </w:rPr>
              <w:t>52</w:t>
            </w:r>
            <w:r w:rsidRPr="004F40E8">
              <w:rPr>
                <w:rFonts w:ascii="Arial Narrow" w:hAnsi="Arial Narrow"/>
                <w:b/>
                <w:bCs/>
                <w:sz w:val="15"/>
                <w:szCs w:val="15"/>
              </w:rPr>
              <w:t>1</w:t>
            </w:r>
          </w:p>
        </w:tc>
      </w:tr>
      <w:tr w:rsidR="004F40E8" w:rsidRPr="004F40E8" w:rsidTr="003B594D">
        <w:trPr>
          <w:trHeight w:val="20"/>
        </w:trPr>
        <w:tc>
          <w:tcPr>
            <w:tcW w:w="5170" w:type="dxa"/>
            <w:tcBorders>
              <w:left w:val="single" w:sz="4" w:space="0" w:color="auto"/>
              <w:bottom w:val="nil"/>
              <w:right w:val="nil"/>
            </w:tcBorders>
            <w:shd w:val="clear" w:color="auto" w:fill="D9D9D9" w:themeFill="background1" w:themeFillShade="D9"/>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ΑΕΠ</w:t>
            </w:r>
          </w:p>
        </w:tc>
        <w:tc>
          <w:tcPr>
            <w:tcW w:w="992" w:type="dxa"/>
            <w:tcBorders>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-0,6%</w:t>
            </w:r>
          </w:p>
        </w:tc>
        <w:tc>
          <w:tcPr>
            <w:tcW w:w="850" w:type="dxa"/>
            <w:tcBorders>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2,4%</w:t>
            </w:r>
          </w:p>
        </w:tc>
        <w:tc>
          <w:tcPr>
            <w:tcW w:w="740" w:type="dxa"/>
            <w:tcBorders>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1,6%</w:t>
            </w:r>
          </w:p>
        </w:tc>
        <w:tc>
          <w:tcPr>
            <w:tcW w:w="820" w:type="dxa"/>
            <w:tcBorders>
              <w:left w:val="nil"/>
              <w:bottom w:val="nil"/>
              <w:right w:val="nil"/>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2,6%</w:t>
            </w:r>
          </w:p>
        </w:tc>
        <w:tc>
          <w:tcPr>
            <w:tcW w:w="820" w:type="dxa"/>
            <w:tcBorders>
              <w:left w:val="nil"/>
              <w:bottom w:val="nil"/>
              <w:right w:val="single" w:sz="4" w:space="0" w:color="auto"/>
            </w:tcBorders>
            <w:shd w:val="clear" w:color="auto" w:fill="D9D9D9" w:themeFill="background1" w:themeFillShade="D9"/>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w:t>
            </w:r>
            <w:r w:rsidRPr="004F40E8">
              <w:rPr>
                <w:rFonts w:ascii="Arial Narrow" w:hAnsi="Arial Narrow"/>
                <w:b/>
                <w:bCs/>
                <w:sz w:val="15"/>
                <w:szCs w:val="15"/>
                <w:lang w:val="en-US"/>
              </w:rPr>
              <w:t>4</w:t>
            </w:r>
            <w:r w:rsidRPr="004F40E8">
              <w:rPr>
                <w:rFonts w:ascii="Arial Narrow" w:hAnsi="Arial Narrow"/>
                <w:b/>
                <w:bCs/>
                <w:sz w:val="15"/>
                <w:szCs w:val="15"/>
              </w:rPr>
              <w:t>%</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lang w:val="en-GB"/>
              </w:rPr>
              <w:t>IV</w:t>
            </w:r>
            <w:r w:rsidRPr="004F40E8">
              <w:rPr>
                <w:rFonts w:ascii="Arial Narrow" w:hAnsi="Arial Narrow"/>
                <w:b/>
                <w:bCs/>
                <w:sz w:val="15"/>
                <w:szCs w:val="15"/>
              </w:rPr>
              <w:t xml:space="preserve">. </w:t>
            </w:r>
            <w:proofErr w:type="spellStart"/>
            <w:r w:rsidRPr="004F40E8">
              <w:rPr>
                <w:rFonts w:ascii="Arial Narrow" w:hAnsi="Arial Narrow"/>
                <w:b/>
                <w:bCs/>
                <w:sz w:val="15"/>
                <w:szCs w:val="15"/>
              </w:rPr>
              <w:t>Εθνικολογιστικές</w:t>
            </w:r>
            <w:proofErr w:type="spellEnd"/>
            <w:r w:rsidRPr="004F40E8">
              <w:rPr>
                <w:rFonts w:ascii="Arial Narrow" w:hAnsi="Arial Narrow"/>
                <w:b/>
                <w:bCs/>
                <w:sz w:val="15"/>
                <w:szCs w:val="15"/>
              </w:rPr>
              <w:t xml:space="preserve"> προσαρμογές κεντρικής διοίκησης (1+2)</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134</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-2.657</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-1.960</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-780</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-1.481</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xml:space="preserve">1. </w:t>
            </w:r>
            <w:proofErr w:type="spellStart"/>
            <w:r w:rsidRPr="004F40E8">
              <w:rPr>
                <w:rFonts w:ascii="Arial Narrow" w:hAnsi="Arial Narrow"/>
                <w:b/>
                <w:bCs/>
                <w:sz w:val="15"/>
                <w:szCs w:val="15"/>
              </w:rPr>
              <w:t>Εθνικολογιστικές</w:t>
            </w:r>
            <w:proofErr w:type="spellEnd"/>
            <w:r w:rsidRPr="004F40E8">
              <w:rPr>
                <w:rFonts w:ascii="Arial Narrow" w:hAnsi="Arial Narrow"/>
                <w:b/>
                <w:bCs/>
                <w:sz w:val="15"/>
                <w:szCs w:val="15"/>
              </w:rPr>
              <w:t xml:space="preserve"> προσαρμογές - Έσοδα</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-1.123</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-1.996</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-670</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-348</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-443</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Επιστροφές φορολογικών εσόδων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13</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956</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Ενιαίος Φόρος Ιδιοκτησίας Ακινήτων (ΕΝΦΙΑ)</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-341</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-382</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-35</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-299</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Φορολογικά έσοδα</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62</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-19</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-15</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39</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Διαφορά ταμειακών - δεδουλευμένων από σχήμα στήριξης Τραπεζών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104</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Διαφορά απαιτήσεων εισπράξεων από ΕΕ</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156</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-98</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152</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44</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Προκαταβολές από ΕΕ</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-1.121</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-79</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-15</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13</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Άλλες προσαρμογές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-96</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-117</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-125</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Έσοδα  αποκρατικοποιήσεων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-1.361</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-1.361</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-407</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-407</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Μεταβολή υπολοίπου λογαριασμών Θησαυροφυλακίου σε σχέση με την 31/12 του προηγο</w:t>
            </w:r>
            <w:r w:rsidRPr="004F40E8">
              <w:rPr>
                <w:rFonts w:ascii="Arial Narrow" w:hAnsi="Arial Narrow"/>
                <w:sz w:val="15"/>
                <w:szCs w:val="15"/>
              </w:rPr>
              <w:t>ύ</w:t>
            </w:r>
            <w:r w:rsidRPr="004F40E8">
              <w:rPr>
                <w:rFonts w:ascii="Arial Narrow" w:hAnsi="Arial Narrow"/>
                <w:sz w:val="15"/>
                <w:szCs w:val="15"/>
              </w:rPr>
              <w:t xml:space="preserve">μενου έτους </w:t>
            </w:r>
            <w:r w:rsidRPr="004F40E8">
              <w:rPr>
                <w:rFonts w:ascii="Arial Narrow" w:hAnsi="Arial Narrow"/>
                <w:sz w:val="15"/>
                <w:szCs w:val="15"/>
                <w:vertAlign w:val="superscript"/>
              </w:rPr>
              <w:t>5</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-164</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294</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xml:space="preserve">2. </w:t>
            </w:r>
            <w:proofErr w:type="spellStart"/>
            <w:r w:rsidRPr="004F40E8">
              <w:rPr>
                <w:rFonts w:ascii="Arial Narrow" w:hAnsi="Arial Narrow"/>
                <w:b/>
                <w:bCs/>
                <w:sz w:val="15"/>
                <w:szCs w:val="15"/>
              </w:rPr>
              <w:t>Εθνικολογιστικές</w:t>
            </w:r>
            <w:proofErr w:type="spellEnd"/>
            <w:r w:rsidRPr="004F40E8">
              <w:rPr>
                <w:rFonts w:ascii="Arial Narrow" w:hAnsi="Arial Narrow"/>
                <w:b/>
                <w:bCs/>
                <w:sz w:val="15"/>
                <w:szCs w:val="15"/>
              </w:rPr>
              <w:t xml:space="preserve"> προσαρμογές - Δαπάνες</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1.257</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-661</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-1.290</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-433</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lang w:val="en-US"/>
              </w:rPr>
            </w:pPr>
            <w:r w:rsidRPr="004F40E8">
              <w:rPr>
                <w:rFonts w:ascii="Arial Narrow" w:hAnsi="Arial Narrow"/>
                <w:b/>
                <w:bCs/>
                <w:sz w:val="15"/>
                <w:szCs w:val="15"/>
              </w:rPr>
              <w:t>-</w:t>
            </w:r>
            <w:r w:rsidRPr="004F40E8">
              <w:rPr>
                <w:rFonts w:ascii="Arial Narrow" w:hAnsi="Arial Narrow"/>
                <w:b/>
                <w:bCs/>
                <w:sz w:val="15"/>
                <w:szCs w:val="15"/>
                <w:lang w:val="en-US"/>
              </w:rPr>
              <w:t>1.038</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Εξοπλιστικά προγράμματα του Υπουργείου Εθνικής Άμυνας (διαφορά φυσικών παραλαβών - πληρωμών)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403</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-404</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-357</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207</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204</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Διαφορά απλήρωτων οφειλών Κράτους σε σχέση με την 31/12 του προηγούμενου έτους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497</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Εξοικονόμηση από αναδιάρθρωση προσωπικού λόγω αναγκαστικών αποχωρήσεων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8</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8</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24</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24</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Ατακτοποίητες προκαταβολές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34</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Υπόλοιπο λογαριασμών εκτός προϋπολογισμού</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35</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Δεδουλευμένοι τόκοι (διαφορά δεδουλευμένων - ταμειακών τόκων)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-731</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-900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-850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-1.100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-1.300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Μεταβολή υπολοίπου λογαριασμών Θησαυροφυλακίου σε σχέση με την 31/12 του προηγο</w:t>
            </w:r>
            <w:r w:rsidRPr="004F40E8">
              <w:rPr>
                <w:rFonts w:ascii="Arial Narrow" w:hAnsi="Arial Narrow"/>
                <w:sz w:val="15"/>
                <w:szCs w:val="15"/>
              </w:rPr>
              <w:t>ύ</w:t>
            </w:r>
            <w:r w:rsidRPr="004F40E8">
              <w:rPr>
                <w:rFonts w:ascii="Arial Narrow" w:hAnsi="Arial Narrow"/>
                <w:sz w:val="15"/>
                <w:szCs w:val="15"/>
              </w:rPr>
              <w:t xml:space="preserve">μενου έτους </w:t>
            </w:r>
            <w:r w:rsidRPr="004F40E8">
              <w:rPr>
                <w:rFonts w:ascii="Arial Narrow" w:hAnsi="Arial Narrow"/>
                <w:sz w:val="15"/>
                <w:szCs w:val="15"/>
                <w:vertAlign w:val="superscript"/>
              </w:rPr>
              <w:t>5</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942</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-170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300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ΕΛΕΓΕΠ</w:t>
            </w:r>
            <w:r w:rsidRPr="004F40E8">
              <w:rPr>
                <w:rFonts w:ascii="Arial Narrow" w:hAnsi="Arial Narrow"/>
                <w:sz w:val="15"/>
                <w:szCs w:val="15"/>
                <w:vertAlign w:val="superscript"/>
              </w:rPr>
              <w:t>4</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-55</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94</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115</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Συμμετοχή σε αυξήσεις μετοχικού κεφαλαίου (κεφαλαιακές μεταβιβάσεις)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-21</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Προσαρμογή στο έλλειμμα εγγυημένων δανείων (ΟΔΙΕ)</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53</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Αναδρομικά δικαστικών 2003-2007</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13</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xml:space="preserve">Αναδρομικά δικαστικών και </w:t>
            </w:r>
            <w:proofErr w:type="spellStart"/>
            <w:r w:rsidRPr="004F40E8">
              <w:rPr>
                <w:rFonts w:ascii="Arial Narrow" w:hAnsi="Arial Narrow"/>
                <w:sz w:val="15"/>
                <w:szCs w:val="15"/>
              </w:rPr>
              <w:t>ενστόλων</w:t>
            </w:r>
            <w:proofErr w:type="spellEnd"/>
            <w:r w:rsidRPr="004F40E8">
              <w:rPr>
                <w:rFonts w:ascii="Arial Narrow" w:hAnsi="Arial Narrow"/>
                <w:sz w:val="15"/>
                <w:szCs w:val="15"/>
              </w:rPr>
              <w:t xml:space="preserve"> 2012-2014</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148</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149</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149</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w:t>
            </w:r>
          </w:p>
        </w:tc>
      </w:tr>
      <w:tr w:rsidR="004F40E8" w:rsidRPr="004F40E8" w:rsidTr="003B594D">
        <w:trPr>
          <w:trHeight w:val="20"/>
        </w:trPr>
        <w:tc>
          <w:tcPr>
            <w:tcW w:w="5170" w:type="dxa"/>
            <w:tcBorders>
              <w:top w:val="nil"/>
              <w:left w:val="single" w:sz="4" w:space="0" w:color="auto"/>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xml:space="preserve">Λοιπές προσαρμογές </w:t>
            </w:r>
          </w:p>
        </w:tc>
        <w:tc>
          <w:tcPr>
            <w:tcW w:w="992" w:type="dxa"/>
            <w:tcBorders>
              <w:top w:val="nil"/>
              <w:left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24</w:t>
            </w:r>
          </w:p>
        </w:tc>
        <w:tc>
          <w:tcPr>
            <w:tcW w:w="850" w:type="dxa"/>
            <w:tcBorders>
              <w:top w:val="nil"/>
              <w:left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single" w:sz="4" w:space="0" w:color="auto"/>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Δαπάνες για δράσεις στήριξης της ανάπτυξης και της κοινωνικής συνοχής</w:t>
            </w:r>
          </w:p>
        </w:tc>
        <w:tc>
          <w:tcPr>
            <w:tcW w:w="992" w:type="dxa"/>
            <w:tcBorders>
              <w:top w:val="nil"/>
              <w:left w:val="nil"/>
              <w:bottom w:val="single" w:sz="4" w:space="0" w:color="auto"/>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single" w:sz="4" w:space="0" w:color="auto"/>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single" w:sz="4" w:space="0" w:color="auto"/>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-800</w:t>
            </w:r>
          </w:p>
        </w:tc>
        <w:tc>
          <w:tcPr>
            <w:tcW w:w="820" w:type="dxa"/>
            <w:tcBorders>
              <w:top w:val="nil"/>
              <w:left w:val="nil"/>
              <w:bottom w:val="single" w:sz="4" w:space="0" w:color="auto"/>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single" w:sz="4" w:space="0" w:color="auto"/>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lang w:val="en-US"/>
              </w:rPr>
            </w:pPr>
            <w:r w:rsidRPr="004F40E8">
              <w:rPr>
                <w:rFonts w:ascii="Arial Narrow" w:hAnsi="Arial Narrow"/>
                <w:sz w:val="15"/>
                <w:szCs w:val="15"/>
                <w:lang w:val="en-US"/>
              </w:rPr>
              <w:t>-320</w:t>
            </w:r>
          </w:p>
        </w:tc>
      </w:tr>
      <w:tr w:rsidR="004F40E8" w:rsidRPr="004F40E8" w:rsidTr="003B594D">
        <w:trPr>
          <w:trHeight w:val="20"/>
        </w:trPr>
        <w:tc>
          <w:tcPr>
            <w:tcW w:w="5170" w:type="dxa"/>
            <w:tcBorders>
              <w:top w:val="single" w:sz="4" w:space="0" w:color="auto"/>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lastRenderedPageBreak/>
              <w:t>Παραχωρήσεις αυτοκινητοδρόμων</w:t>
            </w:r>
          </w:p>
        </w:tc>
        <w:tc>
          <w:tcPr>
            <w:tcW w:w="992" w:type="dxa"/>
            <w:tcBorders>
              <w:top w:val="single" w:sz="4" w:space="0" w:color="auto"/>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single" w:sz="4" w:space="0" w:color="auto"/>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470</w:t>
            </w:r>
          </w:p>
        </w:tc>
        <w:tc>
          <w:tcPr>
            <w:tcW w:w="740" w:type="dxa"/>
            <w:tcBorders>
              <w:top w:val="single" w:sz="4" w:space="0" w:color="auto"/>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464</w:t>
            </w:r>
          </w:p>
        </w:tc>
        <w:tc>
          <w:tcPr>
            <w:tcW w:w="820" w:type="dxa"/>
            <w:tcBorders>
              <w:top w:val="single" w:sz="4" w:space="0" w:color="auto"/>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single" w:sz="4" w:space="0" w:color="auto"/>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Συνεισφορά προς την ΕΕ για τη διαχείριση προσφυγικών ροών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11</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11</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Συνεισφορά προς την ΕΕ λόγω αναθεώρησης βάσεων</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-72</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68</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68</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Εξοικονόμηση από επισκόπηση δαπανών φορέων Γενικής Κυβέρνησης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320</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Έσοδα Κρατικού Προϋπολογισμού κατά ESA (I+IV.1)</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52.012</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53.285</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52.561</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54.661</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53.986</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Δαπάνες Κρατικού Προϋπολογισμού κατά ESA (II-IV.2)</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58.538</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57.255</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57.291</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56.537</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56.646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V. Πρωτογενές αποτέλεσμα Κρατικού Προϋπολογισμού κατά ESA</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-207</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2.580</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1.770</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5.124</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4.340</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i/>
                <w:iCs/>
                <w:sz w:val="15"/>
                <w:szCs w:val="15"/>
              </w:rPr>
            </w:pPr>
            <w:r w:rsidRPr="004F40E8">
              <w:rPr>
                <w:rFonts w:ascii="Arial Narrow" w:hAnsi="Arial Narrow"/>
                <w:b/>
                <w:bCs/>
                <w:i/>
                <w:iCs/>
                <w:sz w:val="15"/>
                <w:szCs w:val="15"/>
              </w:rPr>
              <w:t>% ΑΕΠ</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-0,1%</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1,4%</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1,0%</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2,7%</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2,3%</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proofErr w:type="spellStart"/>
            <w:r w:rsidRPr="004F40E8">
              <w:rPr>
                <w:rFonts w:ascii="Arial Narrow" w:hAnsi="Arial Narrow"/>
                <w:b/>
                <w:bCs/>
                <w:sz w:val="15"/>
                <w:szCs w:val="15"/>
              </w:rPr>
              <w:t>V.α</w:t>
            </w:r>
            <w:proofErr w:type="spellEnd"/>
            <w:r w:rsidRPr="004F40E8">
              <w:rPr>
                <w:rFonts w:ascii="Arial Narrow" w:hAnsi="Arial Narrow"/>
                <w:b/>
                <w:bCs/>
                <w:sz w:val="15"/>
                <w:szCs w:val="15"/>
              </w:rPr>
              <w:t>. Ισοζύγιο  Κρατικού Προϋπολογισμού κατά ESA (III+IV)</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-6.526</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-3.970</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-4.730</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-1.876</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-2.660</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i/>
                <w:iCs/>
                <w:sz w:val="15"/>
                <w:szCs w:val="15"/>
              </w:rPr>
            </w:pPr>
            <w:r w:rsidRPr="004F40E8">
              <w:rPr>
                <w:rFonts w:ascii="Arial Narrow" w:hAnsi="Arial Narrow"/>
                <w:b/>
                <w:bCs/>
                <w:i/>
                <w:iCs/>
                <w:sz w:val="15"/>
                <w:szCs w:val="15"/>
              </w:rPr>
              <w:t>% ΑΕΠ</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-3,7%</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-2,2%</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-2,6%</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-1,0%</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-1,4%</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color w:val="FFFFFF"/>
                <w:sz w:val="15"/>
                <w:szCs w:val="15"/>
              </w:rPr>
            </w:pPr>
            <w:r w:rsidRPr="004F40E8">
              <w:rPr>
                <w:rFonts w:ascii="Arial Narrow" w:hAnsi="Arial Narrow"/>
                <w:color w:val="FFFFFF"/>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color w:val="FFFFFF"/>
                <w:sz w:val="15"/>
                <w:szCs w:val="15"/>
              </w:rPr>
            </w:pPr>
            <w:r w:rsidRPr="004F40E8">
              <w:rPr>
                <w:rFonts w:ascii="Arial Narrow" w:hAnsi="Arial Narrow"/>
                <w:color w:val="FFFFFF"/>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color w:val="FFFFFF"/>
                <w:sz w:val="15"/>
                <w:szCs w:val="15"/>
              </w:rPr>
            </w:pPr>
            <w:r w:rsidRPr="004F40E8">
              <w:rPr>
                <w:rFonts w:ascii="Arial Narrow" w:hAnsi="Arial Narrow"/>
                <w:color w:val="FFFFFF"/>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Ισοζύγιο Νομικών Προσώπων κατά ESA</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1.528</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1.634</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1.788</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1.284</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1.290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Τροποποιημένο Ταμειακό Αποτέλεσμα</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1.528</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1.625</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1.780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1.284</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1.290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proofErr w:type="spellStart"/>
            <w:r w:rsidRPr="004F40E8">
              <w:rPr>
                <w:rFonts w:ascii="Arial Narrow" w:hAnsi="Arial Narrow"/>
                <w:sz w:val="15"/>
                <w:szCs w:val="15"/>
              </w:rPr>
              <w:t>Εθνικολογιστικες</w:t>
            </w:r>
            <w:proofErr w:type="spellEnd"/>
            <w:r w:rsidRPr="004F40E8">
              <w:rPr>
                <w:rFonts w:ascii="Arial Narrow" w:hAnsi="Arial Narrow"/>
                <w:sz w:val="15"/>
                <w:szCs w:val="15"/>
              </w:rPr>
              <w:t xml:space="preserve"> προσαρμογές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8</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Τόκοι</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97</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141</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132</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134</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133</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Έκτακτες Δαπάνες (εκτός Προγράμματος αξιολόγησης)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-57</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i/>
                <w:iCs/>
                <w:sz w:val="15"/>
                <w:szCs w:val="15"/>
              </w:rPr>
            </w:pPr>
            <w:r w:rsidRPr="004F40E8">
              <w:rPr>
                <w:rFonts w:ascii="Arial Narrow" w:hAnsi="Arial Narrow"/>
                <w:b/>
                <w:bCs/>
                <w:i/>
                <w:iCs/>
                <w:sz w:val="15"/>
                <w:szCs w:val="15"/>
              </w:rPr>
              <w:t>Πρωτογενές αποτέλεσμα Νομικών Προσώπων κατά ESA</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1.625</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1.775</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1.920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1.418</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1.423</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i/>
                <w:iCs/>
                <w:sz w:val="15"/>
                <w:szCs w:val="15"/>
              </w:rPr>
            </w:pPr>
            <w:r w:rsidRPr="004F40E8">
              <w:rPr>
                <w:rFonts w:ascii="Arial Narrow" w:hAnsi="Arial Narrow"/>
                <w:b/>
                <w:bCs/>
                <w:i/>
                <w:iCs/>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xml:space="preserve">Ισοζύγιο </w:t>
            </w:r>
            <w:proofErr w:type="spellStart"/>
            <w:r w:rsidRPr="004F40E8">
              <w:rPr>
                <w:rFonts w:ascii="Arial Narrow" w:hAnsi="Arial Narrow"/>
                <w:b/>
                <w:bCs/>
                <w:sz w:val="15"/>
                <w:szCs w:val="15"/>
              </w:rPr>
              <w:t>επαναταξινομημένων</w:t>
            </w:r>
            <w:proofErr w:type="spellEnd"/>
            <w:r w:rsidRPr="004F40E8">
              <w:rPr>
                <w:rFonts w:ascii="Arial Narrow" w:hAnsi="Arial Narrow"/>
                <w:b/>
                <w:bCs/>
                <w:sz w:val="15"/>
                <w:szCs w:val="15"/>
              </w:rPr>
              <w:t xml:space="preserve"> ΔΕΚΟ κατά ESA</w:t>
            </w:r>
            <w:r w:rsidRPr="004F40E8">
              <w:rPr>
                <w:rFonts w:ascii="Arial Narrow" w:hAnsi="Arial Narrow"/>
                <w:b/>
                <w:bCs/>
                <w:sz w:val="15"/>
                <w:szCs w:val="15"/>
                <w:vertAlign w:val="superscript"/>
              </w:rPr>
              <w:t>4</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2.264</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368</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455</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855</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768</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Τροποποιημένο ταμειακό αποτέλεσμα</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2.264</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368</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455</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855</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768</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proofErr w:type="spellStart"/>
            <w:r w:rsidRPr="004F40E8">
              <w:rPr>
                <w:rFonts w:ascii="Arial Narrow" w:hAnsi="Arial Narrow"/>
                <w:sz w:val="15"/>
                <w:szCs w:val="15"/>
              </w:rPr>
              <w:t>Εθνικολογιστικές</w:t>
            </w:r>
            <w:proofErr w:type="spellEnd"/>
            <w:r w:rsidRPr="004F40E8">
              <w:rPr>
                <w:rFonts w:ascii="Arial Narrow" w:hAnsi="Arial Narrow"/>
                <w:sz w:val="15"/>
                <w:szCs w:val="15"/>
              </w:rPr>
              <w:t xml:space="preserve"> προσαρμογές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Τόκοι</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363</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395</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412</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364</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381</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Έκτακτες δαπάνες (εκτός Προγράμματος αξιολόγησης)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0 </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i/>
                <w:iCs/>
                <w:sz w:val="15"/>
                <w:szCs w:val="15"/>
              </w:rPr>
            </w:pPr>
            <w:r w:rsidRPr="004F40E8">
              <w:rPr>
                <w:rFonts w:ascii="Arial Narrow" w:hAnsi="Arial Narrow"/>
                <w:b/>
                <w:bCs/>
                <w:i/>
                <w:iCs/>
                <w:sz w:val="15"/>
                <w:szCs w:val="15"/>
              </w:rPr>
              <w:t>Πρωτογενές αποτέλεσμα ΔΕΚΟ κατά ESA</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2.627</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763</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867</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1.219</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1.149</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Ισοζύγιο Νοσοκομείων - ΠΕΔΥ κατά ESA</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1.409</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508</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476</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138</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106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Τροποποιημένο Ταμειακό Αποτέλεσμα</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685</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161</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242</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37</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-97</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proofErr w:type="spellStart"/>
            <w:r w:rsidRPr="004F40E8">
              <w:rPr>
                <w:rFonts w:ascii="Arial Narrow" w:hAnsi="Arial Narrow"/>
                <w:sz w:val="15"/>
                <w:szCs w:val="15"/>
              </w:rPr>
              <w:t>Εθνικολογιστικές</w:t>
            </w:r>
            <w:proofErr w:type="spellEnd"/>
            <w:r w:rsidRPr="004F40E8">
              <w:rPr>
                <w:rFonts w:ascii="Arial Narrow" w:hAnsi="Arial Narrow"/>
                <w:sz w:val="15"/>
                <w:szCs w:val="15"/>
              </w:rPr>
              <w:t xml:space="preserve"> προσαρμογές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724</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348</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234</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101</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203</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Τόκοι</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Έκτακτες Δαπάνες (εκτός Προγράμματος αξιολόγησης)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i/>
                <w:iCs/>
                <w:sz w:val="15"/>
                <w:szCs w:val="15"/>
              </w:rPr>
            </w:pPr>
            <w:r w:rsidRPr="004F40E8">
              <w:rPr>
                <w:rFonts w:ascii="Arial Narrow" w:hAnsi="Arial Narrow"/>
                <w:b/>
                <w:bCs/>
                <w:i/>
                <w:iCs/>
                <w:sz w:val="15"/>
                <w:szCs w:val="15"/>
              </w:rPr>
              <w:t>Πρωτογενές αποτέλεσμα Νοσοκομείων - ΠΕΔΥ κατά ESA</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1.409</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508</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476</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138</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106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bottom"/>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Έλλειμμα Κεντρικής Κυβέρνησης κατά ESA</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-1.325</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-1.459</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-2.011</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401</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-496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Ισοζύγιο ΟΤΑ κατά ESA</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572</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200</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129</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398</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169</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 xml:space="preserve">Τροποποιημένο ταμειακό αποτέλεσμα </w:t>
            </w:r>
            <w:r w:rsidRPr="004F40E8">
              <w:rPr>
                <w:rFonts w:ascii="Arial Narrow" w:hAnsi="Arial Narrow"/>
                <w:sz w:val="15"/>
                <w:szCs w:val="15"/>
                <w:vertAlign w:val="superscript"/>
              </w:rPr>
              <w:t>2</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524</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276</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195</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454</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154</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sz w:val="15"/>
                <w:szCs w:val="15"/>
              </w:rPr>
            </w:pPr>
            <w:proofErr w:type="spellStart"/>
            <w:r w:rsidRPr="004F40E8">
              <w:rPr>
                <w:rFonts w:ascii="Arial Narrow" w:hAnsi="Arial Narrow"/>
                <w:sz w:val="15"/>
                <w:szCs w:val="15"/>
              </w:rPr>
              <w:t>Εθνικολογιστικές</w:t>
            </w:r>
            <w:proofErr w:type="spellEnd"/>
            <w:r w:rsidRPr="004F40E8">
              <w:rPr>
                <w:rFonts w:ascii="Arial Narrow" w:hAnsi="Arial Narrow"/>
                <w:sz w:val="15"/>
                <w:szCs w:val="15"/>
              </w:rPr>
              <w:t xml:space="preserve"> προσαρμογές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48</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-77</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-66</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-56</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Τόκοι</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71</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71</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63</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71</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63</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Έκτακτες δαπάνες (εκτός Προγράμματος αξιολόγησης)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i/>
                <w:iCs/>
                <w:sz w:val="15"/>
                <w:szCs w:val="15"/>
              </w:rPr>
            </w:pPr>
            <w:r w:rsidRPr="004F40E8">
              <w:rPr>
                <w:rFonts w:ascii="Arial Narrow" w:hAnsi="Arial Narrow"/>
                <w:b/>
                <w:bCs/>
                <w:i/>
                <w:iCs/>
                <w:sz w:val="15"/>
                <w:szCs w:val="15"/>
              </w:rPr>
              <w:t>Πρωτογενές αποτέλεσμα ΟΤΑ κατά ESA</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643</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271</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193</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469</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232</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center"/>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Ισοζύγιο ΟKΑ (εκτός Νοσοκομείων) κατά ESA</w:t>
            </w:r>
            <w:r w:rsidRPr="004F40E8">
              <w:rPr>
                <w:rFonts w:ascii="Arial Narrow" w:hAnsi="Arial Narrow"/>
                <w:b/>
                <w:bCs/>
                <w:sz w:val="15"/>
                <w:szCs w:val="15"/>
                <w:vertAlign w:val="superscript"/>
              </w:rPr>
              <w:t>3</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2.042</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-941</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378</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175</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1.516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Τροποποιημένο ταμειακό αποτέλεσμα</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943</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-1.314</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634</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-72</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1.290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proofErr w:type="spellStart"/>
            <w:r w:rsidRPr="004F40E8">
              <w:rPr>
                <w:rFonts w:ascii="Arial Narrow" w:hAnsi="Arial Narrow"/>
                <w:sz w:val="15"/>
                <w:szCs w:val="15"/>
              </w:rPr>
              <w:t>Εθνικολογιστικές</w:t>
            </w:r>
            <w:proofErr w:type="spellEnd"/>
            <w:r w:rsidRPr="004F40E8">
              <w:rPr>
                <w:rFonts w:ascii="Arial Narrow" w:hAnsi="Arial Narrow"/>
                <w:sz w:val="15"/>
                <w:szCs w:val="15"/>
              </w:rPr>
              <w:t xml:space="preserve"> προσαρμογές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1.099</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373</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-256</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247</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226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Τόκοι</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3</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sz w:val="15"/>
                <w:szCs w:val="15"/>
              </w:rPr>
            </w:pPr>
            <w:r w:rsidRPr="004F40E8">
              <w:rPr>
                <w:rFonts w:ascii="Arial Narrow" w:hAnsi="Arial Narrow"/>
                <w:sz w:val="15"/>
                <w:szCs w:val="15"/>
              </w:rPr>
              <w:t>Έκτακτες δαπάνες (εκτός Προγράμματος αξιολόγησης)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i/>
                <w:iCs/>
                <w:sz w:val="15"/>
                <w:szCs w:val="15"/>
              </w:rPr>
            </w:pPr>
            <w:r w:rsidRPr="004F40E8">
              <w:rPr>
                <w:rFonts w:ascii="Arial Narrow" w:hAnsi="Arial Narrow"/>
                <w:b/>
                <w:bCs/>
                <w:i/>
                <w:iCs/>
                <w:sz w:val="15"/>
                <w:szCs w:val="15"/>
              </w:rPr>
              <w:t>Πρωτογενές αποτέλεσμα ΟΚΑ κατά ESA</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2.045</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-938</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381</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128</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1.519</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bottom"/>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Ισοζύγιο Γενικής Κυβέρνησης κατά ESA</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1.288</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-2.201</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-1.504</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974</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1.190</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bottom"/>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ΑΕΠ</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0,7%</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-1,2%</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-0,8%</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0,5%</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0,6%</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Ενοποιημένοι τόκοι Γενικής Κυβέρνησης</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5.649</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6.015</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5.791</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6.445</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6.303</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ΑΕΠ</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3,2%</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3,3%</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3,2%</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3,4%</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3,4%</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bottom"/>
            <w:hideMark/>
          </w:tcPr>
          <w:p w:rsidR="004F40E8" w:rsidRPr="004F40E8" w:rsidRDefault="004F40E8" w:rsidP="004F40E8">
            <w:pPr>
              <w:spacing w:line="228" w:lineRule="auto"/>
              <w:rPr>
                <w:rFonts w:ascii="Arial Narrow" w:hAnsi="Arial Narrow"/>
                <w:b/>
                <w:bCs/>
                <w:i/>
                <w:iCs/>
                <w:sz w:val="15"/>
                <w:szCs w:val="15"/>
              </w:rPr>
            </w:pPr>
            <w:r w:rsidRPr="004F40E8">
              <w:rPr>
                <w:rFonts w:ascii="Arial Narrow" w:hAnsi="Arial Narrow"/>
                <w:b/>
                <w:bCs/>
                <w:i/>
                <w:iCs/>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b/>
                <w:bCs/>
                <w:i/>
                <w:iCs/>
                <w:sz w:val="15"/>
                <w:szCs w:val="15"/>
              </w:rPr>
            </w:pPr>
            <w:r w:rsidRPr="004F40E8">
              <w:rPr>
                <w:rFonts w:ascii="Arial Narrow" w:hAnsi="Arial Narrow"/>
                <w:b/>
                <w:bCs/>
                <w:i/>
                <w:iCs/>
                <w:sz w:val="15"/>
                <w:szCs w:val="15"/>
              </w:rPr>
              <w:t> </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bottom"/>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Πρωτογενές αποτέλεσμα Γενικής Κυβέρνησης κατά ESA</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6.937</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3.814</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4.288</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7.420</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7.493</w:t>
            </w:r>
          </w:p>
        </w:tc>
      </w:tr>
      <w:tr w:rsidR="004F40E8" w:rsidRPr="004F40E8" w:rsidTr="003B594D">
        <w:trPr>
          <w:trHeight w:val="20"/>
        </w:trPr>
        <w:tc>
          <w:tcPr>
            <w:tcW w:w="5170" w:type="dxa"/>
            <w:tcBorders>
              <w:top w:val="nil"/>
              <w:left w:val="single" w:sz="4" w:space="0" w:color="auto"/>
              <w:bottom w:val="nil"/>
              <w:right w:val="nil"/>
            </w:tcBorders>
            <w:shd w:val="clear" w:color="000000" w:fill="D8D8D8"/>
            <w:vAlign w:val="bottom"/>
            <w:hideMark/>
          </w:tcPr>
          <w:p w:rsidR="004F40E8" w:rsidRPr="004F40E8" w:rsidRDefault="004F40E8" w:rsidP="004F40E8">
            <w:pPr>
              <w:spacing w:line="228" w:lineRule="auto"/>
              <w:rPr>
                <w:rFonts w:ascii="Arial Narrow" w:hAnsi="Arial Narrow"/>
                <w:b/>
                <w:bCs/>
                <w:sz w:val="15"/>
                <w:szCs w:val="15"/>
              </w:rPr>
            </w:pPr>
            <w:r w:rsidRPr="004F40E8">
              <w:rPr>
                <w:rFonts w:ascii="Arial Narrow" w:hAnsi="Arial Narrow"/>
                <w:b/>
                <w:bCs/>
                <w:sz w:val="15"/>
                <w:szCs w:val="15"/>
              </w:rPr>
              <w:t>% ΑΕΠ</w:t>
            </w:r>
          </w:p>
        </w:tc>
        <w:tc>
          <w:tcPr>
            <w:tcW w:w="992"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3,9%</w:t>
            </w:r>
          </w:p>
        </w:tc>
        <w:tc>
          <w:tcPr>
            <w:tcW w:w="85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2,1%</w:t>
            </w:r>
          </w:p>
        </w:tc>
        <w:tc>
          <w:tcPr>
            <w:tcW w:w="74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2,4%</w:t>
            </w:r>
          </w:p>
        </w:tc>
        <w:tc>
          <w:tcPr>
            <w:tcW w:w="820" w:type="dxa"/>
            <w:tcBorders>
              <w:top w:val="nil"/>
              <w:left w:val="nil"/>
              <w:bottom w:val="nil"/>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4,0%</w:t>
            </w:r>
          </w:p>
        </w:tc>
        <w:tc>
          <w:tcPr>
            <w:tcW w:w="820" w:type="dxa"/>
            <w:tcBorders>
              <w:top w:val="nil"/>
              <w:left w:val="nil"/>
              <w:bottom w:val="nil"/>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4,0%</w:t>
            </w:r>
          </w:p>
        </w:tc>
      </w:tr>
      <w:tr w:rsidR="004F40E8" w:rsidRPr="004F40E8" w:rsidTr="003B594D">
        <w:trPr>
          <w:trHeight w:val="20"/>
        </w:trPr>
        <w:tc>
          <w:tcPr>
            <w:tcW w:w="5170" w:type="dxa"/>
            <w:tcBorders>
              <w:top w:val="nil"/>
              <w:left w:val="single" w:sz="4" w:space="0" w:color="auto"/>
              <w:bottom w:val="nil"/>
              <w:right w:val="nil"/>
            </w:tcBorders>
            <w:shd w:val="clear" w:color="000000" w:fill="FFFFFF"/>
            <w:vAlign w:val="center"/>
            <w:hideMark/>
          </w:tcPr>
          <w:p w:rsidR="004F40E8" w:rsidRPr="004F40E8" w:rsidRDefault="004F40E8" w:rsidP="004F40E8">
            <w:pPr>
              <w:spacing w:line="228" w:lineRule="auto"/>
              <w:rPr>
                <w:rFonts w:ascii="Arial Narrow" w:hAnsi="Arial Narrow"/>
                <w:color w:val="000000"/>
                <w:sz w:val="15"/>
                <w:szCs w:val="15"/>
              </w:rPr>
            </w:pPr>
            <w:r w:rsidRPr="004F40E8">
              <w:rPr>
                <w:rFonts w:ascii="Arial Narrow" w:hAnsi="Arial Narrow"/>
                <w:color w:val="000000"/>
                <w:sz w:val="15"/>
                <w:szCs w:val="15"/>
              </w:rPr>
              <w:t> </w:t>
            </w:r>
          </w:p>
        </w:tc>
        <w:tc>
          <w:tcPr>
            <w:tcW w:w="992"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color w:val="000000"/>
                <w:sz w:val="15"/>
                <w:szCs w:val="15"/>
              </w:rPr>
            </w:pPr>
            <w:r w:rsidRPr="004F40E8">
              <w:rPr>
                <w:rFonts w:ascii="Arial Narrow" w:hAnsi="Arial Narrow"/>
                <w:color w:val="000000"/>
                <w:sz w:val="15"/>
                <w:szCs w:val="15"/>
              </w:rPr>
              <w:t> </w:t>
            </w:r>
          </w:p>
        </w:tc>
        <w:tc>
          <w:tcPr>
            <w:tcW w:w="85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color w:val="000000"/>
                <w:sz w:val="15"/>
                <w:szCs w:val="15"/>
              </w:rPr>
            </w:pPr>
            <w:r w:rsidRPr="004F40E8">
              <w:rPr>
                <w:rFonts w:ascii="Arial Narrow" w:hAnsi="Arial Narrow"/>
                <w:color w:val="000000"/>
                <w:sz w:val="15"/>
                <w:szCs w:val="15"/>
              </w:rPr>
              <w:t> </w:t>
            </w:r>
          </w:p>
        </w:tc>
        <w:tc>
          <w:tcPr>
            <w:tcW w:w="74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nil"/>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c>
          <w:tcPr>
            <w:tcW w:w="820" w:type="dxa"/>
            <w:tcBorders>
              <w:top w:val="nil"/>
              <w:left w:val="nil"/>
              <w:bottom w:val="nil"/>
              <w:right w:val="single" w:sz="4" w:space="0" w:color="auto"/>
            </w:tcBorders>
            <w:shd w:val="clear" w:color="000000" w:fill="FFFFFF"/>
            <w:hideMark/>
          </w:tcPr>
          <w:p w:rsidR="004F40E8" w:rsidRPr="004F40E8" w:rsidRDefault="004F40E8" w:rsidP="004F40E8">
            <w:pPr>
              <w:spacing w:line="228" w:lineRule="auto"/>
              <w:ind w:right="227"/>
              <w:jc w:val="right"/>
              <w:rPr>
                <w:rFonts w:ascii="Arial Narrow" w:hAnsi="Arial Narrow"/>
                <w:sz w:val="15"/>
                <w:szCs w:val="15"/>
              </w:rPr>
            </w:pPr>
            <w:r w:rsidRPr="004F40E8">
              <w:rPr>
                <w:rFonts w:ascii="Arial Narrow" w:hAnsi="Arial Narrow"/>
                <w:sz w:val="15"/>
                <w:szCs w:val="15"/>
              </w:rPr>
              <w:t> </w:t>
            </w:r>
          </w:p>
        </w:tc>
      </w:tr>
      <w:tr w:rsidR="004F40E8" w:rsidRPr="004F40E8" w:rsidTr="003B594D">
        <w:trPr>
          <w:trHeight w:val="20"/>
        </w:trPr>
        <w:tc>
          <w:tcPr>
            <w:tcW w:w="5170" w:type="dxa"/>
            <w:tcBorders>
              <w:top w:val="nil"/>
              <w:left w:val="single" w:sz="4" w:space="0" w:color="auto"/>
              <w:bottom w:val="single" w:sz="4" w:space="0" w:color="auto"/>
              <w:right w:val="nil"/>
            </w:tcBorders>
            <w:shd w:val="clear" w:color="000000" w:fill="D8D8D8"/>
            <w:vAlign w:val="center"/>
            <w:hideMark/>
          </w:tcPr>
          <w:p w:rsidR="004F40E8" w:rsidRPr="004F40E8" w:rsidRDefault="004F40E8" w:rsidP="004F40E8">
            <w:pPr>
              <w:spacing w:line="228" w:lineRule="auto"/>
              <w:rPr>
                <w:rFonts w:ascii="Arial Narrow" w:hAnsi="Arial Narrow"/>
                <w:b/>
                <w:bCs/>
                <w:color w:val="000000"/>
                <w:sz w:val="15"/>
                <w:szCs w:val="15"/>
              </w:rPr>
            </w:pPr>
            <w:r w:rsidRPr="004F40E8">
              <w:rPr>
                <w:rFonts w:ascii="Arial Narrow" w:hAnsi="Arial Narrow"/>
                <w:b/>
                <w:bCs/>
                <w:color w:val="000000"/>
                <w:sz w:val="15"/>
                <w:szCs w:val="15"/>
              </w:rPr>
              <w:t>ΑΕΠ</w:t>
            </w:r>
          </w:p>
        </w:tc>
        <w:tc>
          <w:tcPr>
            <w:tcW w:w="992" w:type="dxa"/>
            <w:tcBorders>
              <w:top w:val="nil"/>
              <w:left w:val="nil"/>
              <w:bottom w:val="single" w:sz="4" w:space="0" w:color="auto"/>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color w:val="000000"/>
                <w:sz w:val="15"/>
                <w:szCs w:val="15"/>
              </w:rPr>
            </w:pPr>
            <w:r w:rsidRPr="004F40E8">
              <w:rPr>
                <w:rFonts w:ascii="Arial Narrow" w:hAnsi="Arial Narrow"/>
                <w:b/>
                <w:bCs/>
                <w:color w:val="000000"/>
                <w:sz w:val="15"/>
                <w:szCs w:val="15"/>
              </w:rPr>
              <w:t>175.888</w:t>
            </w:r>
          </w:p>
        </w:tc>
        <w:tc>
          <w:tcPr>
            <w:tcW w:w="850" w:type="dxa"/>
            <w:tcBorders>
              <w:top w:val="nil"/>
              <w:left w:val="nil"/>
              <w:bottom w:val="single" w:sz="4" w:space="0" w:color="auto"/>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color w:val="000000"/>
                <w:sz w:val="15"/>
                <w:szCs w:val="15"/>
              </w:rPr>
            </w:pPr>
            <w:r w:rsidRPr="004F40E8">
              <w:rPr>
                <w:rFonts w:ascii="Arial Narrow" w:hAnsi="Arial Narrow"/>
                <w:b/>
                <w:bCs/>
                <w:color w:val="000000"/>
                <w:sz w:val="15"/>
                <w:szCs w:val="15"/>
              </w:rPr>
              <w:t>181.204</w:t>
            </w:r>
          </w:p>
        </w:tc>
        <w:tc>
          <w:tcPr>
            <w:tcW w:w="740" w:type="dxa"/>
            <w:tcBorders>
              <w:top w:val="nil"/>
              <w:left w:val="nil"/>
              <w:bottom w:val="single" w:sz="4" w:space="0" w:color="auto"/>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180.236</w:t>
            </w:r>
          </w:p>
        </w:tc>
        <w:tc>
          <w:tcPr>
            <w:tcW w:w="820" w:type="dxa"/>
            <w:tcBorders>
              <w:top w:val="nil"/>
              <w:left w:val="nil"/>
              <w:bottom w:val="single" w:sz="4" w:space="0" w:color="auto"/>
              <w:right w:val="nil"/>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187.745</w:t>
            </w:r>
          </w:p>
        </w:tc>
        <w:tc>
          <w:tcPr>
            <w:tcW w:w="820" w:type="dxa"/>
            <w:tcBorders>
              <w:top w:val="nil"/>
              <w:left w:val="nil"/>
              <w:bottom w:val="single" w:sz="4" w:space="0" w:color="auto"/>
              <w:right w:val="single" w:sz="4" w:space="0" w:color="auto"/>
            </w:tcBorders>
            <w:shd w:val="clear" w:color="000000" w:fill="D8D8D8"/>
            <w:hideMark/>
          </w:tcPr>
          <w:p w:rsidR="004F40E8" w:rsidRPr="004F40E8" w:rsidRDefault="004F40E8" w:rsidP="004F40E8">
            <w:pPr>
              <w:spacing w:line="228" w:lineRule="auto"/>
              <w:ind w:right="227"/>
              <w:jc w:val="right"/>
              <w:rPr>
                <w:rFonts w:ascii="Arial Narrow" w:hAnsi="Arial Narrow"/>
                <w:b/>
                <w:bCs/>
                <w:sz w:val="15"/>
                <w:szCs w:val="15"/>
              </w:rPr>
            </w:pPr>
            <w:r w:rsidRPr="004F40E8">
              <w:rPr>
                <w:rFonts w:ascii="Arial Narrow" w:hAnsi="Arial Narrow"/>
                <w:b/>
                <w:bCs/>
                <w:sz w:val="15"/>
                <w:szCs w:val="15"/>
              </w:rPr>
              <w:t>186.742</w:t>
            </w:r>
          </w:p>
        </w:tc>
      </w:tr>
    </w:tbl>
    <w:p w:rsidR="004F40E8" w:rsidRPr="004F40E8" w:rsidRDefault="004F40E8" w:rsidP="004F40E8">
      <w:pPr>
        <w:spacing w:line="228" w:lineRule="auto"/>
        <w:ind w:left="284" w:right="-284" w:hanging="142"/>
        <w:jc w:val="both"/>
        <w:rPr>
          <w:rFonts w:ascii="Arial Narrow" w:hAnsi="Arial Narrow"/>
          <w:color w:val="000000"/>
          <w:sz w:val="16"/>
          <w:szCs w:val="16"/>
        </w:rPr>
      </w:pPr>
      <w:r w:rsidRPr="004F40E8">
        <w:rPr>
          <w:rFonts w:ascii="Arial Narrow" w:hAnsi="Arial Narrow"/>
          <w:color w:val="000000"/>
          <w:sz w:val="16"/>
          <w:szCs w:val="16"/>
          <w:vertAlign w:val="superscript"/>
        </w:rPr>
        <w:t>1</w:t>
      </w:r>
      <w:r w:rsidRPr="004F40E8">
        <w:rPr>
          <w:rFonts w:ascii="Arial Narrow" w:hAnsi="Arial Narrow"/>
          <w:color w:val="000000"/>
          <w:sz w:val="16"/>
          <w:szCs w:val="16"/>
        </w:rPr>
        <w:t xml:space="preserve"> </w:t>
      </w:r>
      <w:r w:rsidRPr="004F40E8">
        <w:rPr>
          <w:rFonts w:ascii="Arial Narrow" w:hAnsi="Arial Narrow"/>
          <w:color w:val="000000"/>
          <w:sz w:val="16"/>
          <w:szCs w:val="16"/>
        </w:rPr>
        <w:tab/>
        <w:t>Προσωρινά στοιχεία σύμφωνα με τα στοιχεία της Διαδικασίας Υπερβολικού Ελλείμματος (ΔΥΕ) Απριλίου 2017 της ΕΛΣΤΑΤ.</w:t>
      </w:r>
    </w:p>
    <w:p w:rsidR="004F40E8" w:rsidRPr="004F40E8" w:rsidRDefault="004F40E8" w:rsidP="004F40E8">
      <w:pPr>
        <w:spacing w:line="228" w:lineRule="auto"/>
        <w:ind w:left="284" w:right="-284" w:hanging="142"/>
        <w:jc w:val="both"/>
        <w:rPr>
          <w:rFonts w:ascii="Arial Narrow" w:hAnsi="Arial Narrow"/>
          <w:color w:val="000000"/>
          <w:sz w:val="16"/>
          <w:szCs w:val="16"/>
        </w:rPr>
      </w:pPr>
      <w:r w:rsidRPr="004F40E8">
        <w:rPr>
          <w:rFonts w:ascii="Arial Narrow" w:hAnsi="Arial Narrow"/>
          <w:color w:val="000000"/>
          <w:sz w:val="16"/>
          <w:szCs w:val="16"/>
          <w:vertAlign w:val="superscript"/>
        </w:rPr>
        <w:t>2</w:t>
      </w:r>
      <w:r w:rsidRPr="004F40E8">
        <w:rPr>
          <w:rFonts w:ascii="Arial Narrow" w:hAnsi="Arial Narrow"/>
          <w:color w:val="000000"/>
          <w:sz w:val="16"/>
          <w:szCs w:val="16"/>
        </w:rPr>
        <w:tab/>
        <w:t>Το τροποποιημένο ταμειακό αποτέλεσμα των νομικών προσώπων των ΟΤΑ περιλαμβάνεται στη γραμμή Τροπ. Ταμ. Αποτέλεσμα των ΟΤΑ για όλα τα έτη.</w:t>
      </w:r>
    </w:p>
    <w:p w:rsidR="004F40E8" w:rsidRPr="004F40E8" w:rsidRDefault="004F40E8" w:rsidP="004F40E8">
      <w:pPr>
        <w:spacing w:line="228" w:lineRule="auto"/>
        <w:ind w:left="284" w:right="-284" w:hanging="142"/>
        <w:jc w:val="both"/>
        <w:rPr>
          <w:rFonts w:ascii="Arial Narrow" w:hAnsi="Arial Narrow"/>
          <w:color w:val="000000"/>
          <w:sz w:val="16"/>
          <w:szCs w:val="16"/>
        </w:rPr>
      </w:pPr>
      <w:r w:rsidRPr="004F40E8">
        <w:rPr>
          <w:rFonts w:ascii="Arial Narrow" w:hAnsi="Arial Narrow"/>
          <w:color w:val="000000"/>
          <w:sz w:val="16"/>
          <w:szCs w:val="16"/>
          <w:vertAlign w:val="superscript"/>
        </w:rPr>
        <w:t>3</w:t>
      </w:r>
      <w:r w:rsidRPr="004F40E8">
        <w:rPr>
          <w:rFonts w:ascii="Arial Narrow" w:hAnsi="Arial Narrow"/>
          <w:color w:val="000000"/>
          <w:sz w:val="16"/>
          <w:szCs w:val="16"/>
          <w:vertAlign w:val="superscript"/>
        </w:rPr>
        <w:tab/>
      </w:r>
      <w:r w:rsidRPr="004F40E8">
        <w:rPr>
          <w:rFonts w:ascii="Arial Narrow" w:hAnsi="Arial Narrow"/>
          <w:color w:val="000000"/>
          <w:sz w:val="16"/>
          <w:szCs w:val="16"/>
        </w:rPr>
        <w:t>Ενσωματωμένες στο ισοζύγιο των ΟΚΑ είναι οι οροφές της φαρμακευτικής δαπάνης του ΕΟΠΥΥ ύψους 2.003 εκατ. ευρώ για το 2017 και 2.001 εκατ. ευρώ για το 2018. Επίσης, ενσωματωμένες στο ισοζύγιο των ΟΚΑ είναι οι οροφές των δαπανών για παροχές ασθενείας του ΕΟΠΥΥ ύψους 1.525 εκατ. ευρώ για το 2017 και 1.462,5 εκατ. ευρώ για το 2018.</w:t>
      </w:r>
    </w:p>
    <w:p w:rsidR="004F40E8" w:rsidRPr="004F40E8" w:rsidRDefault="004F40E8" w:rsidP="004F40E8">
      <w:pPr>
        <w:spacing w:line="228" w:lineRule="auto"/>
        <w:ind w:left="284" w:right="-284" w:hanging="142"/>
        <w:jc w:val="both"/>
        <w:rPr>
          <w:rFonts w:ascii="Arial Narrow" w:hAnsi="Arial Narrow"/>
          <w:color w:val="000000"/>
          <w:sz w:val="16"/>
          <w:szCs w:val="16"/>
        </w:rPr>
      </w:pPr>
      <w:r w:rsidRPr="004F40E8">
        <w:rPr>
          <w:rFonts w:ascii="Arial Narrow" w:hAnsi="Arial Narrow"/>
          <w:color w:val="000000"/>
          <w:sz w:val="16"/>
          <w:szCs w:val="16"/>
          <w:vertAlign w:val="superscript"/>
        </w:rPr>
        <w:t>4</w:t>
      </w:r>
      <w:r w:rsidRPr="004F40E8">
        <w:rPr>
          <w:rFonts w:ascii="Arial Narrow" w:hAnsi="Arial Narrow"/>
          <w:color w:val="000000"/>
          <w:sz w:val="16"/>
          <w:szCs w:val="16"/>
        </w:rPr>
        <w:tab/>
        <w:t>Το αποτέλεσμα του Ειδικού Λογαριασμού Εγγυήσεων Γεωργικών Προϊόντων (ΕΛΕΓΕΠ) ύψους +89 εκατ. ευρώ για το 2017 και -51 εκατ. ευρώ για το 2018 έχει ενσωματωθεί στο ισοζύγιο των ΔΕΚΟ, έναντι των πραγματοποιήσεων έτους 2016 και των στόχων του ΜΠΔΣ για τα έτη 2017 και 2018 που περιλα</w:t>
      </w:r>
      <w:r w:rsidRPr="004F40E8">
        <w:rPr>
          <w:rFonts w:ascii="Arial Narrow" w:hAnsi="Arial Narrow"/>
          <w:color w:val="000000"/>
          <w:sz w:val="16"/>
          <w:szCs w:val="16"/>
        </w:rPr>
        <w:t>μ</w:t>
      </w:r>
      <w:r w:rsidRPr="004F40E8">
        <w:rPr>
          <w:rFonts w:ascii="Arial Narrow" w:hAnsi="Arial Narrow"/>
          <w:color w:val="000000"/>
          <w:sz w:val="16"/>
          <w:szCs w:val="16"/>
        </w:rPr>
        <w:t xml:space="preserve">βανόταν στις </w:t>
      </w:r>
      <w:proofErr w:type="spellStart"/>
      <w:r w:rsidRPr="004F40E8">
        <w:rPr>
          <w:rFonts w:ascii="Arial Narrow" w:hAnsi="Arial Narrow"/>
          <w:color w:val="000000"/>
          <w:sz w:val="16"/>
          <w:szCs w:val="16"/>
        </w:rPr>
        <w:t>εθνικολογιστικές</w:t>
      </w:r>
      <w:proofErr w:type="spellEnd"/>
      <w:r w:rsidRPr="004F40E8">
        <w:rPr>
          <w:rFonts w:ascii="Arial Narrow" w:hAnsi="Arial Narrow"/>
          <w:color w:val="000000"/>
          <w:sz w:val="16"/>
          <w:szCs w:val="16"/>
        </w:rPr>
        <w:t xml:space="preserve"> προσαρμογές των δαπανών του Κρατικού Προϋπολογισμού</w:t>
      </w:r>
    </w:p>
    <w:p w:rsidR="004F40E8" w:rsidRPr="004F40E8" w:rsidRDefault="004F40E8" w:rsidP="004F40E8">
      <w:pPr>
        <w:spacing w:line="228" w:lineRule="auto"/>
        <w:ind w:left="284" w:right="-284" w:hanging="142"/>
        <w:jc w:val="both"/>
        <w:rPr>
          <w:rFonts w:ascii="Arial Narrow" w:hAnsi="Arial Narrow"/>
          <w:color w:val="000000"/>
          <w:sz w:val="16"/>
          <w:szCs w:val="16"/>
        </w:rPr>
      </w:pPr>
      <w:r w:rsidRPr="004F40E8">
        <w:rPr>
          <w:rFonts w:ascii="Arial Narrow" w:hAnsi="Arial Narrow"/>
          <w:color w:val="000000"/>
          <w:sz w:val="16"/>
          <w:szCs w:val="16"/>
          <w:vertAlign w:val="superscript"/>
        </w:rPr>
        <w:t>5</w:t>
      </w:r>
      <w:r w:rsidRPr="004F40E8">
        <w:rPr>
          <w:rFonts w:ascii="Arial Narrow" w:hAnsi="Arial Narrow"/>
          <w:color w:val="000000"/>
          <w:sz w:val="16"/>
          <w:szCs w:val="16"/>
        </w:rPr>
        <w:tab/>
        <w:t xml:space="preserve">Η μεταβολή του υπολοίπου λογαριασμών Θησαυροφυλακίου σε σχέση με την 31/12 του προηγούμενου έτους εμφανίζεται στις </w:t>
      </w:r>
      <w:proofErr w:type="spellStart"/>
      <w:r w:rsidRPr="004F40E8">
        <w:rPr>
          <w:rFonts w:ascii="Arial Narrow" w:hAnsi="Arial Narrow"/>
          <w:color w:val="000000"/>
          <w:sz w:val="16"/>
          <w:szCs w:val="16"/>
        </w:rPr>
        <w:t>εθνικολογιστικές</w:t>
      </w:r>
      <w:proofErr w:type="spellEnd"/>
      <w:r w:rsidRPr="004F40E8">
        <w:rPr>
          <w:rFonts w:ascii="Arial Narrow" w:hAnsi="Arial Narrow"/>
          <w:color w:val="000000"/>
          <w:sz w:val="16"/>
          <w:szCs w:val="16"/>
        </w:rPr>
        <w:t xml:space="preserve"> προσα</w:t>
      </w:r>
      <w:r w:rsidRPr="004F40E8">
        <w:rPr>
          <w:rFonts w:ascii="Arial Narrow" w:hAnsi="Arial Narrow"/>
          <w:color w:val="000000"/>
          <w:sz w:val="16"/>
          <w:szCs w:val="16"/>
        </w:rPr>
        <w:t>ρ</w:t>
      </w:r>
      <w:r w:rsidRPr="004F40E8">
        <w:rPr>
          <w:rFonts w:ascii="Arial Narrow" w:hAnsi="Arial Narrow"/>
          <w:color w:val="000000"/>
          <w:sz w:val="16"/>
          <w:szCs w:val="16"/>
        </w:rPr>
        <w:t>μογές των εσόδων της Κεντρικής Διοίκησης, έναντι των πραγματοποιήσεων έτους 2016 και των στόχων του ΜΠΔΣ για τα έτη 2017 και 2018 που περιλα</w:t>
      </w:r>
      <w:r w:rsidRPr="004F40E8">
        <w:rPr>
          <w:rFonts w:ascii="Arial Narrow" w:hAnsi="Arial Narrow"/>
          <w:color w:val="000000"/>
          <w:sz w:val="16"/>
          <w:szCs w:val="16"/>
        </w:rPr>
        <w:t>μ</w:t>
      </w:r>
      <w:r w:rsidRPr="004F40E8">
        <w:rPr>
          <w:rFonts w:ascii="Arial Narrow" w:hAnsi="Arial Narrow"/>
          <w:color w:val="000000"/>
          <w:sz w:val="16"/>
          <w:szCs w:val="16"/>
        </w:rPr>
        <w:t xml:space="preserve">βανόταν στις </w:t>
      </w:r>
      <w:proofErr w:type="spellStart"/>
      <w:r w:rsidRPr="004F40E8">
        <w:rPr>
          <w:rFonts w:ascii="Arial Narrow" w:hAnsi="Arial Narrow"/>
          <w:color w:val="000000"/>
          <w:sz w:val="16"/>
          <w:szCs w:val="16"/>
        </w:rPr>
        <w:t>εθνικολογιστικές</w:t>
      </w:r>
      <w:proofErr w:type="spellEnd"/>
      <w:r w:rsidRPr="004F40E8">
        <w:rPr>
          <w:rFonts w:ascii="Arial Narrow" w:hAnsi="Arial Narrow"/>
          <w:color w:val="000000"/>
          <w:sz w:val="16"/>
          <w:szCs w:val="16"/>
        </w:rPr>
        <w:t xml:space="preserve"> προσαρμογές των δαπανών της Κεντρικής Διοίκησης.</w:t>
      </w:r>
    </w:p>
    <w:p w:rsidR="004F40E8" w:rsidRPr="004F40E8" w:rsidRDefault="004F40E8" w:rsidP="004F40E8">
      <w:pPr>
        <w:spacing w:line="228" w:lineRule="auto"/>
        <w:rPr>
          <w:szCs w:val="22"/>
        </w:rPr>
      </w:pPr>
    </w:p>
    <w:p w:rsidR="004F40E8" w:rsidRPr="004F40E8" w:rsidRDefault="003A0121" w:rsidP="004F40E8">
      <w:pPr>
        <w:rPr>
          <w:szCs w:val="22"/>
        </w:rPr>
      </w:pPr>
      <w:r w:rsidRPr="003A0121">
        <w:rPr>
          <w:b/>
          <w:sz w:val="22"/>
          <w:szCs w:val="22"/>
        </w:rPr>
      </w:r>
      <w:r w:rsidRPr="003A0121">
        <w:rPr>
          <w:b/>
          <w:sz w:val="22"/>
          <w:szCs w:val="22"/>
        </w:rPr>
        <w:pict>
          <v:shapetype id="_x0000_t202" coordsize="21600,21600" o:spt="202" path="m,l,21600r21600,l21600,xe">
            <v:stroke joinstyle="miter"/>
            <v:path gradientshapeok="t" o:connecttype="rect"/>
          </v:shapetype>
          <v:shape id="_x0000_s1026" type="#_x0000_t202" style="width:468.95pt;height:13.9pt;mso-position-horizontal-relative:char;mso-position-vertical-relative:line" strokecolor="navy" strokeweight="1pt">
            <v:textbox style="mso-next-textbox:#_x0000_s1026;mso-direction-alt:auto" inset=",.3mm,,.3mm">
              <w:txbxContent>
                <w:p w:rsidR="003B594D" w:rsidRPr="008D2CCB" w:rsidRDefault="003B594D" w:rsidP="004F40E8">
                  <w:pPr>
                    <w:autoSpaceDE w:val="0"/>
                    <w:autoSpaceDN w:val="0"/>
                    <w:adjustRightInd w:val="0"/>
                    <w:ind w:left="-11" w:firstLine="142"/>
                    <w:jc w:val="center"/>
                    <w:rPr>
                      <w:rFonts w:ascii="Arial Narrow" w:hAnsi="Arial Narrow"/>
                      <w:b/>
                      <w:color w:val="000080"/>
                      <w:sz w:val="20"/>
                    </w:rPr>
                  </w:pPr>
                  <w:r w:rsidRPr="008D2CCB">
                    <w:rPr>
                      <w:rFonts w:ascii="Arial Narrow" w:hAnsi="Arial Narrow"/>
                      <w:b/>
                      <w:color w:val="000080"/>
                      <w:sz w:val="18"/>
                    </w:rPr>
                    <w:t>Σημείωση:  Τυχόν διαφορές ποσών και ποσοστών στους πίνακες οφείλονται σε στρογγυλοποιήσεις</w:t>
                  </w:r>
                  <w:r w:rsidRPr="008D2CCB">
                    <w:rPr>
                      <w:rFonts w:ascii="Arial Narrow" w:hAnsi="Arial Narrow"/>
                      <w:b/>
                      <w:color w:val="000080"/>
                      <w:sz w:val="20"/>
                    </w:rPr>
                    <w:t>.</w:t>
                  </w:r>
                </w:p>
              </w:txbxContent>
            </v:textbox>
            <w10:wrap type="none"/>
            <w10:anchorlock/>
          </v:shape>
        </w:pict>
      </w:r>
      <w:r w:rsidR="004F40E8" w:rsidRPr="004F40E8">
        <w:rPr>
          <w:szCs w:val="22"/>
        </w:rPr>
        <w:br w:type="page"/>
      </w:r>
    </w:p>
    <w:tbl>
      <w:tblPr>
        <w:tblW w:w="9064" w:type="dxa"/>
        <w:tblInd w:w="103" w:type="dxa"/>
        <w:tblLayout w:type="fixed"/>
        <w:tblCellMar>
          <w:left w:w="28" w:type="dxa"/>
          <w:right w:w="28" w:type="dxa"/>
        </w:tblCellMar>
        <w:tblLook w:val="04A0"/>
      </w:tblPr>
      <w:tblGrid>
        <w:gridCol w:w="320"/>
        <w:gridCol w:w="4992"/>
        <w:gridCol w:w="851"/>
        <w:gridCol w:w="708"/>
        <w:gridCol w:w="709"/>
        <w:gridCol w:w="776"/>
        <w:gridCol w:w="708"/>
      </w:tblGrid>
      <w:tr w:rsidR="004F40E8" w:rsidRPr="004F40E8" w:rsidTr="003B594D">
        <w:trPr>
          <w:trHeight w:val="20"/>
        </w:trPr>
        <w:tc>
          <w:tcPr>
            <w:tcW w:w="9064" w:type="dxa"/>
            <w:gridSpan w:val="7"/>
            <w:tcBorders>
              <w:top w:val="single" w:sz="4" w:space="0" w:color="auto"/>
              <w:left w:val="single" w:sz="4" w:space="0" w:color="auto"/>
              <w:bottom w:val="nil"/>
              <w:right w:val="single" w:sz="4" w:space="0" w:color="auto"/>
            </w:tcBorders>
            <w:shd w:val="clear" w:color="000000" w:fill="FFFFFF"/>
            <w:vAlign w:val="bottom"/>
            <w:hideMark/>
          </w:tcPr>
          <w:p w:rsidR="004F40E8" w:rsidRPr="004F40E8" w:rsidRDefault="004F40E8" w:rsidP="004F40E8">
            <w:pPr>
              <w:jc w:val="center"/>
              <w:rPr>
                <w:rFonts w:ascii="Arial Narrow" w:hAnsi="Arial Narrow"/>
                <w:b/>
                <w:bCs/>
                <w:sz w:val="22"/>
                <w:szCs w:val="22"/>
              </w:rPr>
            </w:pPr>
            <w:bookmarkStart w:id="2" w:name="RANGE!A1:G31"/>
            <w:r w:rsidRPr="004F40E8">
              <w:rPr>
                <w:rFonts w:ascii="Arial Narrow" w:hAnsi="Arial Narrow"/>
                <w:b/>
                <w:bCs/>
                <w:sz w:val="22"/>
                <w:szCs w:val="22"/>
              </w:rPr>
              <w:lastRenderedPageBreak/>
              <w:t xml:space="preserve">Πίνακας 2.2 Πρωτογενές αποτέλεσμα Γενικής Κυβέρνησης </w:t>
            </w:r>
            <w:bookmarkEnd w:id="2"/>
          </w:p>
        </w:tc>
      </w:tr>
      <w:tr w:rsidR="004F40E8" w:rsidRPr="004F40E8" w:rsidTr="003B594D">
        <w:trPr>
          <w:trHeight w:val="20"/>
        </w:trPr>
        <w:tc>
          <w:tcPr>
            <w:tcW w:w="9064" w:type="dxa"/>
            <w:gridSpan w:val="7"/>
            <w:tcBorders>
              <w:top w:val="nil"/>
              <w:left w:val="single" w:sz="4" w:space="0" w:color="auto"/>
              <w:bottom w:val="nil"/>
              <w:right w:val="single" w:sz="4" w:space="0" w:color="auto"/>
            </w:tcBorders>
            <w:shd w:val="clear" w:color="000000" w:fill="FFFFFF"/>
            <w:vAlign w:val="bottom"/>
            <w:hideMark/>
          </w:tcPr>
          <w:p w:rsidR="004F40E8" w:rsidRPr="004F40E8" w:rsidRDefault="004F40E8" w:rsidP="004F40E8">
            <w:pPr>
              <w:jc w:val="center"/>
              <w:rPr>
                <w:rFonts w:ascii="Arial Narrow" w:hAnsi="Arial Narrow"/>
                <w:b/>
                <w:bCs/>
                <w:sz w:val="22"/>
                <w:szCs w:val="22"/>
              </w:rPr>
            </w:pPr>
            <w:r w:rsidRPr="004F40E8">
              <w:rPr>
                <w:rFonts w:ascii="Arial Narrow" w:hAnsi="Arial Narrow"/>
                <w:b/>
                <w:bCs/>
                <w:sz w:val="22"/>
                <w:szCs w:val="22"/>
              </w:rPr>
              <w:t>σύμφωνα με τη μεθοδολογία της Σύμβασης Χρηματοδοτικής Διευκόλυνσης</w:t>
            </w:r>
          </w:p>
        </w:tc>
      </w:tr>
      <w:tr w:rsidR="004F40E8" w:rsidRPr="004F40E8" w:rsidTr="003B594D">
        <w:trPr>
          <w:trHeight w:val="20"/>
        </w:trPr>
        <w:tc>
          <w:tcPr>
            <w:tcW w:w="9064" w:type="dxa"/>
            <w:gridSpan w:val="7"/>
            <w:tcBorders>
              <w:top w:val="nil"/>
              <w:left w:val="single" w:sz="4" w:space="0" w:color="auto"/>
              <w:bottom w:val="single" w:sz="4" w:space="0" w:color="auto"/>
              <w:right w:val="single" w:sz="4" w:space="0" w:color="auto"/>
            </w:tcBorders>
            <w:shd w:val="clear" w:color="000000" w:fill="FFFFFF"/>
            <w:vAlign w:val="bottom"/>
            <w:hideMark/>
          </w:tcPr>
          <w:p w:rsidR="004F40E8" w:rsidRPr="004F40E8" w:rsidRDefault="004F40E8" w:rsidP="004F40E8">
            <w:pPr>
              <w:jc w:val="center"/>
              <w:rPr>
                <w:rFonts w:ascii="Arial Narrow" w:hAnsi="Arial Narrow"/>
                <w:b/>
                <w:bCs/>
                <w:sz w:val="22"/>
                <w:szCs w:val="22"/>
              </w:rPr>
            </w:pPr>
            <w:r w:rsidRPr="004F40E8">
              <w:rPr>
                <w:rFonts w:ascii="Arial Narrow" w:hAnsi="Arial Narrow"/>
                <w:b/>
                <w:bCs/>
                <w:sz w:val="22"/>
                <w:szCs w:val="22"/>
              </w:rPr>
              <w:t>(σε εκατ. ευρώ)</w:t>
            </w:r>
          </w:p>
        </w:tc>
      </w:tr>
      <w:tr w:rsidR="004F40E8" w:rsidRPr="004F40E8" w:rsidTr="003B594D">
        <w:trPr>
          <w:trHeight w:val="20"/>
        </w:trPr>
        <w:tc>
          <w:tcPr>
            <w:tcW w:w="5312" w:type="dxa"/>
            <w:gridSpan w:val="2"/>
            <w:vMerge w:val="restart"/>
            <w:tcBorders>
              <w:top w:val="single" w:sz="4" w:space="0" w:color="auto"/>
              <w:left w:val="single" w:sz="4" w:space="0" w:color="auto"/>
              <w:bottom w:val="single" w:sz="4" w:space="0" w:color="000000"/>
              <w:right w:val="nil"/>
            </w:tcBorders>
            <w:shd w:val="clear" w:color="000000" w:fill="FFFFFF"/>
            <w:vAlign w:val="center"/>
            <w:hideMark/>
          </w:tcPr>
          <w:p w:rsidR="004F40E8" w:rsidRPr="004F40E8" w:rsidRDefault="004F40E8" w:rsidP="004F40E8">
            <w:pPr>
              <w:jc w:val="center"/>
              <w:rPr>
                <w:rFonts w:ascii="Arial Narrow" w:hAnsi="Arial Narrow"/>
                <w:sz w:val="16"/>
                <w:szCs w:val="16"/>
              </w:rPr>
            </w:pPr>
            <w:r w:rsidRPr="004F40E8">
              <w:rPr>
                <w:rFonts w:ascii="Arial Narrow" w:hAnsi="Arial Narrow"/>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2016</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2017</w:t>
            </w:r>
          </w:p>
        </w:tc>
        <w:tc>
          <w:tcPr>
            <w:tcW w:w="14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F40E8" w:rsidRPr="004F40E8" w:rsidRDefault="004F40E8" w:rsidP="004F40E8">
            <w:pPr>
              <w:jc w:val="center"/>
              <w:rPr>
                <w:rFonts w:ascii="Arial Narrow" w:hAnsi="Arial Narrow"/>
                <w:b/>
                <w:bCs/>
                <w:sz w:val="16"/>
                <w:szCs w:val="16"/>
              </w:rPr>
            </w:pPr>
            <w:r w:rsidRPr="004F40E8">
              <w:rPr>
                <w:rFonts w:ascii="Arial Narrow" w:hAnsi="Arial Narrow"/>
                <w:b/>
                <w:bCs/>
                <w:sz w:val="16"/>
                <w:szCs w:val="16"/>
              </w:rPr>
              <w:t>2018</w:t>
            </w:r>
          </w:p>
        </w:tc>
      </w:tr>
      <w:tr w:rsidR="004F40E8" w:rsidRPr="004F40E8" w:rsidTr="003B594D">
        <w:trPr>
          <w:trHeight w:val="20"/>
        </w:trPr>
        <w:tc>
          <w:tcPr>
            <w:tcW w:w="5312" w:type="dxa"/>
            <w:gridSpan w:val="2"/>
            <w:vMerge/>
            <w:tcBorders>
              <w:top w:val="single" w:sz="4" w:space="0" w:color="auto"/>
              <w:left w:val="single" w:sz="4" w:space="0" w:color="auto"/>
              <w:bottom w:val="single" w:sz="4" w:space="0" w:color="000000"/>
              <w:right w:val="nil"/>
            </w:tcBorders>
            <w:vAlign w:val="center"/>
            <w:hideMark/>
          </w:tcPr>
          <w:p w:rsidR="004F40E8" w:rsidRPr="004F40E8" w:rsidRDefault="004F40E8" w:rsidP="004F40E8">
            <w:pPr>
              <w:rPr>
                <w:rFonts w:ascii="Arial Narrow" w:hAnsi="Arial Narrow"/>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40E8" w:rsidRPr="004F40E8" w:rsidRDefault="004F40E8" w:rsidP="004F40E8">
            <w:pPr>
              <w:jc w:val="center"/>
              <w:rPr>
                <w:rFonts w:ascii="Arial Narrow" w:hAnsi="Arial Narrow"/>
                <w:b/>
                <w:bCs/>
                <w:color w:val="000000"/>
                <w:sz w:val="16"/>
                <w:szCs w:val="16"/>
              </w:rPr>
            </w:pPr>
            <w:proofErr w:type="spellStart"/>
            <w:r w:rsidRPr="004F40E8">
              <w:rPr>
                <w:rFonts w:ascii="Arial Narrow" w:hAnsi="Arial Narrow"/>
                <w:b/>
                <w:bCs/>
                <w:color w:val="000000"/>
                <w:sz w:val="16"/>
                <w:szCs w:val="16"/>
              </w:rPr>
              <w:t>Πραγμ</w:t>
            </w:r>
            <w:proofErr w:type="spellEnd"/>
            <w:r w:rsidRPr="004F40E8">
              <w:rPr>
                <w:rFonts w:ascii="Arial Narrow" w:hAnsi="Arial Narrow"/>
                <w:b/>
                <w:bCs/>
                <w:color w:val="000000"/>
                <w:sz w:val="16"/>
                <w:szCs w:val="16"/>
              </w:rPr>
              <w:t>/σεις</w:t>
            </w:r>
            <w:r w:rsidRPr="004F40E8">
              <w:rPr>
                <w:rFonts w:ascii="Arial Narrow" w:hAnsi="Arial Narrow"/>
                <w:b/>
                <w:bCs/>
                <w:color w:val="000000"/>
                <w:sz w:val="16"/>
                <w:szCs w:val="16"/>
              </w:rPr>
              <w:br/>
              <w:t>(προσωρινά στοιχεία)</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Εκτίμηση ΜΠΔΣ</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40E8" w:rsidRPr="004F40E8" w:rsidRDefault="004F40E8" w:rsidP="004F40E8">
            <w:pPr>
              <w:jc w:val="center"/>
              <w:rPr>
                <w:rFonts w:ascii="Arial Narrow" w:hAnsi="Arial Narrow"/>
                <w:b/>
                <w:bCs/>
                <w:sz w:val="16"/>
                <w:szCs w:val="16"/>
              </w:rPr>
            </w:pPr>
            <w:r w:rsidRPr="004F40E8">
              <w:rPr>
                <w:rFonts w:ascii="Arial Narrow" w:hAnsi="Arial Narrow"/>
                <w:b/>
                <w:bCs/>
                <w:sz w:val="16"/>
                <w:szCs w:val="16"/>
              </w:rPr>
              <w:t>Εκτίμηση</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40E8" w:rsidRPr="004F40E8" w:rsidRDefault="004F40E8" w:rsidP="004F40E8">
            <w:pPr>
              <w:jc w:val="center"/>
              <w:rPr>
                <w:rFonts w:ascii="Arial Narrow" w:hAnsi="Arial Narrow"/>
                <w:b/>
                <w:bCs/>
                <w:sz w:val="16"/>
                <w:szCs w:val="16"/>
              </w:rPr>
            </w:pPr>
            <w:r w:rsidRPr="004F40E8">
              <w:rPr>
                <w:rFonts w:ascii="Arial Narrow" w:hAnsi="Arial Narrow"/>
                <w:b/>
                <w:bCs/>
                <w:sz w:val="16"/>
                <w:szCs w:val="16"/>
              </w:rPr>
              <w:t>Πρόβλεψη ΜΠΔΣ</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40E8" w:rsidRPr="004F40E8" w:rsidRDefault="004F40E8" w:rsidP="004F40E8">
            <w:pPr>
              <w:jc w:val="center"/>
              <w:rPr>
                <w:rFonts w:ascii="Arial Narrow" w:hAnsi="Arial Narrow"/>
                <w:b/>
                <w:bCs/>
                <w:sz w:val="16"/>
                <w:szCs w:val="16"/>
              </w:rPr>
            </w:pPr>
            <w:r w:rsidRPr="004F40E8">
              <w:rPr>
                <w:rFonts w:ascii="Arial Narrow" w:hAnsi="Arial Narrow"/>
                <w:b/>
                <w:bCs/>
                <w:sz w:val="16"/>
                <w:szCs w:val="16"/>
              </w:rPr>
              <w:t>Πρόβλεψη</w:t>
            </w:r>
          </w:p>
        </w:tc>
      </w:tr>
      <w:tr w:rsidR="004F40E8" w:rsidRPr="004F40E8" w:rsidTr="003B594D">
        <w:trPr>
          <w:trHeight w:val="20"/>
        </w:trPr>
        <w:tc>
          <w:tcPr>
            <w:tcW w:w="320" w:type="dxa"/>
            <w:tcBorders>
              <w:top w:val="nil"/>
              <w:left w:val="single" w:sz="4" w:space="0" w:color="auto"/>
              <w:bottom w:val="nil"/>
              <w:right w:val="nil"/>
            </w:tcBorders>
            <w:shd w:val="clear" w:color="000000" w:fill="FFFFFF"/>
            <w:hideMark/>
          </w:tcPr>
          <w:p w:rsidR="004F40E8" w:rsidRPr="004F40E8" w:rsidRDefault="004F40E8" w:rsidP="004F40E8">
            <w:pPr>
              <w:jc w:val="center"/>
              <w:rPr>
                <w:rFonts w:ascii="Arial Narrow" w:hAnsi="Arial Narrow"/>
                <w:b/>
                <w:bCs/>
                <w:i/>
                <w:iCs/>
                <w:color w:val="000000"/>
                <w:sz w:val="15"/>
                <w:szCs w:val="15"/>
              </w:rPr>
            </w:pPr>
            <w:r w:rsidRPr="004F40E8">
              <w:rPr>
                <w:rFonts w:ascii="Arial Narrow" w:hAnsi="Arial Narrow"/>
                <w:b/>
                <w:bCs/>
                <w:i/>
                <w:iCs/>
                <w:color w:val="000000"/>
                <w:sz w:val="15"/>
                <w:szCs w:val="15"/>
              </w:rPr>
              <w:t> </w:t>
            </w:r>
          </w:p>
        </w:tc>
        <w:tc>
          <w:tcPr>
            <w:tcW w:w="4992" w:type="dxa"/>
            <w:tcBorders>
              <w:top w:val="nil"/>
              <w:left w:val="nil"/>
              <w:bottom w:val="nil"/>
              <w:right w:val="nil"/>
            </w:tcBorders>
            <w:shd w:val="clear" w:color="000000" w:fill="FFFFFF"/>
            <w:vAlign w:val="center"/>
            <w:hideMark/>
          </w:tcPr>
          <w:p w:rsidR="004F40E8" w:rsidRPr="004F40E8" w:rsidRDefault="004F40E8" w:rsidP="004F40E8">
            <w:pPr>
              <w:jc w:val="center"/>
              <w:rPr>
                <w:rFonts w:ascii="Arial Narrow" w:hAnsi="Arial Narrow"/>
                <w:b/>
                <w:bCs/>
                <w:i/>
                <w:iCs/>
                <w:color w:val="000000"/>
                <w:sz w:val="15"/>
                <w:szCs w:val="15"/>
              </w:rPr>
            </w:pPr>
            <w:r w:rsidRPr="004F40E8">
              <w:rPr>
                <w:rFonts w:ascii="Arial Narrow" w:hAnsi="Arial Narrow"/>
                <w:b/>
                <w:bCs/>
                <w:i/>
                <w:iCs/>
                <w:color w:val="000000"/>
                <w:sz w:val="15"/>
                <w:szCs w:val="15"/>
              </w:rPr>
              <w:t> </w:t>
            </w:r>
          </w:p>
        </w:tc>
        <w:tc>
          <w:tcPr>
            <w:tcW w:w="851"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 </w:t>
            </w:r>
          </w:p>
        </w:tc>
        <w:tc>
          <w:tcPr>
            <w:tcW w:w="708"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b/>
                <w:bCs/>
                <w:color w:val="0000FF"/>
                <w:sz w:val="15"/>
                <w:szCs w:val="15"/>
              </w:rPr>
            </w:pPr>
            <w:r w:rsidRPr="004F40E8">
              <w:rPr>
                <w:rFonts w:ascii="Arial Narrow" w:hAnsi="Arial Narrow"/>
                <w:b/>
                <w:bCs/>
                <w:color w:val="0000FF"/>
                <w:sz w:val="15"/>
                <w:szCs w:val="15"/>
              </w:rPr>
              <w:t> </w:t>
            </w:r>
          </w:p>
        </w:tc>
        <w:tc>
          <w:tcPr>
            <w:tcW w:w="709"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 </w:t>
            </w:r>
          </w:p>
        </w:tc>
        <w:tc>
          <w:tcPr>
            <w:tcW w:w="776"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 </w:t>
            </w:r>
          </w:p>
        </w:tc>
        <w:tc>
          <w:tcPr>
            <w:tcW w:w="708" w:type="dxa"/>
            <w:tcBorders>
              <w:top w:val="nil"/>
              <w:left w:val="nil"/>
              <w:bottom w:val="nil"/>
              <w:right w:val="single" w:sz="4" w:space="0" w:color="auto"/>
            </w:tcBorders>
            <w:shd w:val="clear" w:color="000000" w:fill="FFFFFF"/>
            <w:noWrap/>
            <w:vAlign w:val="bottom"/>
            <w:hideMark/>
          </w:tcPr>
          <w:p w:rsidR="004F40E8" w:rsidRPr="004F40E8" w:rsidRDefault="004F40E8" w:rsidP="004F40E8">
            <w:pPr>
              <w:rPr>
                <w:rFonts w:ascii="Arial Narrow" w:hAnsi="Arial Narrow"/>
                <w:sz w:val="15"/>
                <w:szCs w:val="15"/>
              </w:rPr>
            </w:pPr>
            <w:r w:rsidRPr="004F40E8">
              <w:rPr>
                <w:rFonts w:ascii="Arial Narrow" w:hAnsi="Arial Narrow"/>
                <w:sz w:val="15"/>
                <w:szCs w:val="15"/>
              </w:rPr>
              <w:t> </w:t>
            </w:r>
          </w:p>
        </w:tc>
      </w:tr>
      <w:tr w:rsidR="004F40E8" w:rsidRPr="004F40E8" w:rsidTr="003B594D">
        <w:trPr>
          <w:trHeight w:val="20"/>
        </w:trPr>
        <w:tc>
          <w:tcPr>
            <w:tcW w:w="320" w:type="dxa"/>
            <w:tcBorders>
              <w:top w:val="nil"/>
              <w:left w:val="single" w:sz="4" w:space="0" w:color="auto"/>
              <w:bottom w:val="nil"/>
              <w:right w:val="nil"/>
            </w:tcBorders>
            <w:shd w:val="clear" w:color="000000" w:fill="D8D8D8"/>
            <w:hideMark/>
          </w:tcPr>
          <w:p w:rsidR="004F40E8" w:rsidRPr="004F40E8" w:rsidRDefault="004F40E8" w:rsidP="004F40E8">
            <w:pPr>
              <w:jc w:val="center"/>
              <w:rPr>
                <w:rFonts w:ascii="Arial Narrow" w:hAnsi="Arial Narrow"/>
                <w:b/>
                <w:bCs/>
                <w:sz w:val="15"/>
                <w:szCs w:val="15"/>
              </w:rPr>
            </w:pPr>
            <w:r w:rsidRPr="004F40E8">
              <w:rPr>
                <w:rFonts w:ascii="Arial Narrow" w:hAnsi="Arial Narrow"/>
                <w:b/>
                <w:bCs/>
                <w:sz w:val="15"/>
                <w:szCs w:val="15"/>
              </w:rPr>
              <w:t>1.</w:t>
            </w:r>
          </w:p>
        </w:tc>
        <w:tc>
          <w:tcPr>
            <w:tcW w:w="4992" w:type="dxa"/>
            <w:tcBorders>
              <w:top w:val="nil"/>
              <w:left w:val="nil"/>
              <w:bottom w:val="nil"/>
              <w:right w:val="nil"/>
            </w:tcBorders>
            <w:shd w:val="clear" w:color="000000" w:fill="D8D8D8"/>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Πρωτογενές αποτέλεσμα Γενικής Κυβέρνησης σύμφωνα  με τη μεθοδολογία  ESA</w:t>
            </w:r>
            <w:r w:rsidRPr="004F40E8">
              <w:rPr>
                <w:rFonts w:ascii="Arial Narrow" w:hAnsi="Arial Narrow"/>
                <w:b/>
                <w:bCs/>
                <w:sz w:val="15"/>
                <w:szCs w:val="15"/>
              </w:rPr>
              <w:br/>
              <w:t>(μεταφορά από πίνακα 2.1)</w:t>
            </w:r>
          </w:p>
        </w:tc>
        <w:tc>
          <w:tcPr>
            <w:tcW w:w="851"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6.937</w:t>
            </w:r>
          </w:p>
        </w:tc>
        <w:tc>
          <w:tcPr>
            <w:tcW w:w="708"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3.814</w:t>
            </w:r>
          </w:p>
        </w:tc>
        <w:tc>
          <w:tcPr>
            <w:tcW w:w="709"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4.288</w:t>
            </w:r>
          </w:p>
        </w:tc>
        <w:tc>
          <w:tcPr>
            <w:tcW w:w="776"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7.420</w:t>
            </w:r>
          </w:p>
        </w:tc>
        <w:tc>
          <w:tcPr>
            <w:tcW w:w="708" w:type="dxa"/>
            <w:tcBorders>
              <w:top w:val="nil"/>
              <w:left w:val="nil"/>
              <w:bottom w:val="nil"/>
              <w:right w:val="single" w:sz="4" w:space="0" w:color="auto"/>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7.493</w:t>
            </w:r>
          </w:p>
        </w:tc>
      </w:tr>
      <w:tr w:rsidR="004F40E8" w:rsidRPr="004F40E8" w:rsidTr="003B594D">
        <w:trPr>
          <w:trHeight w:val="20"/>
        </w:trPr>
        <w:tc>
          <w:tcPr>
            <w:tcW w:w="320" w:type="dxa"/>
            <w:tcBorders>
              <w:top w:val="nil"/>
              <w:left w:val="single" w:sz="4" w:space="0" w:color="auto"/>
              <w:bottom w:val="nil"/>
              <w:right w:val="nil"/>
            </w:tcBorders>
            <w:shd w:val="clear" w:color="000000" w:fill="FFFFFF"/>
            <w:hideMark/>
          </w:tcPr>
          <w:p w:rsidR="004F40E8" w:rsidRPr="004F40E8" w:rsidRDefault="004F40E8" w:rsidP="004F40E8">
            <w:pPr>
              <w:jc w:val="center"/>
              <w:rPr>
                <w:rFonts w:ascii="Arial Narrow" w:hAnsi="Arial Narrow"/>
                <w:b/>
                <w:bCs/>
                <w:sz w:val="15"/>
                <w:szCs w:val="15"/>
              </w:rPr>
            </w:pPr>
          </w:p>
        </w:tc>
        <w:tc>
          <w:tcPr>
            <w:tcW w:w="4992"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 </w:t>
            </w:r>
          </w:p>
        </w:tc>
        <w:tc>
          <w:tcPr>
            <w:tcW w:w="851"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 </w:t>
            </w:r>
          </w:p>
        </w:tc>
        <w:tc>
          <w:tcPr>
            <w:tcW w:w="708"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b/>
                <w:bCs/>
                <w:color w:val="0000FF"/>
                <w:sz w:val="15"/>
                <w:szCs w:val="15"/>
              </w:rPr>
            </w:pPr>
            <w:r w:rsidRPr="004F40E8">
              <w:rPr>
                <w:rFonts w:ascii="Arial Narrow" w:hAnsi="Arial Narrow" w:cs="Segoe UI"/>
                <w:b/>
                <w:bCs/>
                <w:color w:val="0000FF"/>
                <w:sz w:val="15"/>
                <w:szCs w:val="15"/>
              </w:rPr>
              <w:t> </w:t>
            </w:r>
          </w:p>
        </w:tc>
        <w:tc>
          <w:tcPr>
            <w:tcW w:w="709"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 </w:t>
            </w:r>
          </w:p>
        </w:tc>
        <w:tc>
          <w:tcPr>
            <w:tcW w:w="776"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 </w:t>
            </w:r>
          </w:p>
        </w:tc>
        <w:tc>
          <w:tcPr>
            <w:tcW w:w="708" w:type="dxa"/>
            <w:tcBorders>
              <w:top w:val="nil"/>
              <w:left w:val="nil"/>
              <w:bottom w:val="nil"/>
              <w:right w:val="single" w:sz="4" w:space="0" w:color="auto"/>
            </w:tcBorders>
            <w:shd w:val="clear" w:color="000000" w:fill="FFFFFF"/>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 </w:t>
            </w:r>
          </w:p>
        </w:tc>
      </w:tr>
      <w:tr w:rsidR="004F40E8" w:rsidRPr="004F40E8" w:rsidTr="003B594D">
        <w:trPr>
          <w:trHeight w:val="20"/>
        </w:trPr>
        <w:tc>
          <w:tcPr>
            <w:tcW w:w="320" w:type="dxa"/>
            <w:tcBorders>
              <w:top w:val="nil"/>
              <w:left w:val="single" w:sz="4" w:space="0" w:color="auto"/>
              <w:bottom w:val="nil"/>
              <w:right w:val="nil"/>
            </w:tcBorders>
            <w:shd w:val="clear" w:color="000000" w:fill="D8D8D8"/>
            <w:hideMark/>
          </w:tcPr>
          <w:p w:rsidR="004F40E8" w:rsidRPr="004F40E8" w:rsidRDefault="004F40E8" w:rsidP="004F40E8">
            <w:pPr>
              <w:jc w:val="center"/>
              <w:rPr>
                <w:rFonts w:ascii="Arial Narrow" w:hAnsi="Arial Narrow"/>
                <w:b/>
                <w:bCs/>
                <w:sz w:val="15"/>
                <w:szCs w:val="15"/>
              </w:rPr>
            </w:pPr>
          </w:p>
        </w:tc>
        <w:tc>
          <w:tcPr>
            <w:tcW w:w="4992" w:type="dxa"/>
            <w:tcBorders>
              <w:top w:val="nil"/>
              <w:left w:val="nil"/>
              <w:bottom w:val="nil"/>
              <w:right w:val="nil"/>
            </w:tcBorders>
            <w:shd w:val="clear" w:color="000000" w:fill="D8D8D8"/>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Προσαρμογές Σύμβασης Χρηματοδοτικής Διευκόλυνσης</w:t>
            </w:r>
          </w:p>
        </w:tc>
        <w:tc>
          <w:tcPr>
            <w:tcW w:w="851"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420</w:t>
            </w:r>
          </w:p>
        </w:tc>
        <w:tc>
          <w:tcPr>
            <w:tcW w:w="708"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-369</w:t>
            </w:r>
          </w:p>
        </w:tc>
        <w:tc>
          <w:tcPr>
            <w:tcW w:w="709"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-310</w:t>
            </w:r>
          </w:p>
        </w:tc>
        <w:tc>
          <w:tcPr>
            <w:tcW w:w="776"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-795</w:t>
            </w:r>
          </w:p>
        </w:tc>
        <w:tc>
          <w:tcPr>
            <w:tcW w:w="708" w:type="dxa"/>
            <w:tcBorders>
              <w:top w:val="nil"/>
              <w:left w:val="nil"/>
              <w:bottom w:val="nil"/>
              <w:right w:val="single" w:sz="4" w:space="0" w:color="auto"/>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-822</w:t>
            </w:r>
          </w:p>
        </w:tc>
      </w:tr>
      <w:tr w:rsidR="004F40E8" w:rsidRPr="004F40E8" w:rsidTr="003B594D">
        <w:trPr>
          <w:trHeight w:val="20"/>
        </w:trPr>
        <w:tc>
          <w:tcPr>
            <w:tcW w:w="320" w:type="dxa"/>
            <w:tcBorders>
              <w:top w:val="nil"/>
              <w:left w:val="single" w:sz="4" w:space="0" w:color="auto"/>
              <w:bottom w:val="nil"/>
              <w:right w:val="nil"/>
            </w:tcBorders>
            <w:shd w:val="clear" w:color="000000" w:fill="FFFFFF"/>
            <w:hideMark/>
          </w:tcPr>
          <w:p w:rsidR="004F40E8" w:rsidRPr="004F40E8" w:rsidRDefault="004F40E8" w:rsidP="004F40E8">
            <w:pPr>
              <w:jc w:val="center"/>
              <w:rPr>
                <w:rFonts w:ascii="Arial Narrow" w:hAnsi="Arial Narrow"/>
                <w:b/>
                <w:bCs/>
                <w:color w:val="000000"/>
                <w:sz w:val="15"/>
                <w:szCs w:val="15"/>
              </w:rPr>
            </w:pPr>
          </w:p>
        </w:tc>
        <w:tc>
          <w:tcPr>
            <w:tcW w:w="4992"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sz w:val="15"/>
                <w:szCs w:val="15"/>
              </w:rPr>
            </w:pPr>
            <w:r w:rsidRPr="004F40E8">
              <w:rPr>
                <w:rFonts w:ascii="Arial Narrow" w:hAnsi="Arial Narrow"/>
                <w:sz w:val="15"/>
                <w:szCs w:val="15"/>
              </w:rPr>
              <w:t>Μεταφορά εσόδων από ANFA και SMP (σε δεδουλευμένη βάση)</w:t>
            </w:r>
          </w:p>
        </w:tc>
        <w:tc>
          <w:tcPr>
            <w:tcW w:w="851"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-375</w:t>
            </w:r>
          </w:p>
        </w:tc>
        <w:tc>
          <w:tcPr>
            <w:tcW w:w="708"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-345</w:t>
            </w:r>
          </w:p>
        </w:tc>
        <w:tc>
          <w:tcPr>
            <w:tcW w:w="709"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-345</w:t>
            </w:r>
          </w:p>
        </w:tc>
        <w:tc>
          <w:tcPr>
            <w:tcW w:w="776"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-314</w:t>
            </w:r>
          </w:p>
        </w:tc>
        <w:tc>
          <w:tcPr>
            <w:tcW w:w="708" w:type="dxa"/>
            <w:tcBorders>
              <w:top w:val="nil"/>
              <w:left w:val="nil"/>
              <w:bottom w:val="nil"/>
              <w:right w:val="single" w:sz="4" w:space="0" w:color="auto"/>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-314</w:t>
            </w:r>
          </w:p>
        </w:tc>
      </w:tr>
      <w:tr w:rsidR="004F40E8" w:rsidRPr="004F40E8" w:rsidTr="003B594D">
        <w:trPr>
          <w:trHeight w:val="52"/>
        </w:trPr>
        <w:tc>
          <w:tcPr>
            <w:tcW w:w="320" w:type="dxa"/>
            <w:tcBorders>
              <w:top w:val="nil"/>
              <w:left w:val="single" w:sz="4" w:space="0" w:color="auto"/>
              <w:bottom w:val="nil"/>
              <w:right w:val="nil"/>
            </w:tcBorders>
            <w:shd w:val="clear" w:color="000000" w:fill="FFFFFF"/>
            <w:hideMark/>
          </w:tcPr>
          <w:p w:rsidR="004F40E8" w:rsidRPr="004F40E8" w:rsidRDefault="004F40E8" w:rsidP="004F40E8">
            <w:pPr>
              <w:jc w:val="center"/>
              <w:rPr>
                <w:rFonts w:ascii="Arial Narrow" w:hAnsi="Arial Narrow"/>
                <w:b/>
                <w:bCs/>
                <w:color w:val="000000"/>
                <w:sz w:val="15"/>
                <w:szCs w:val="15"/>
              </w:rPr>
            </w:pPr>
          </w:p>
        </w:tc>
        <w:tc>
          <w:tcPr>
            <w:tcW w:w="4992"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sz w:val="15"/>
                <w:szCs w:val="15"/>
              </w:rPr>
            </w:pPr>
            <w:r w:rsidRPr="004F40E8">
              <w:rPr>
                <w:rFonts w:ascii="Arial Narrow" w:hAnsi="Arial Narrow"/>
                <w:sz w:val="15"/>
                <w:szCs w:val="15"/>
              </w:rPr>
              <w:t>Επιστροφές εσόδων</w:t>
            </w:r>
          </w:p>
        </w:tc>
        <w:tc>
          <w:tcPr>
            <w:tcW w:w="851"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847</w:t>
            </w:r>
          </w:p>
        </w:tc>
        <w:tc>
          <w:tcPr>
            <w:tcW w:w="708"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0</w:t>
            </w:r>
          </w:p>
        </w:tc>
        <w:tc>
          <w:tcPr>
            <w:tcW w:w="709"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0</w:t>
            </w:r>
          </w:p>
        </w:tc>
        <w:tc>
          <w:tcPr>
            <w:tcW w:w="776"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0</w:t>
            </w:r>
          </w:p>
        </w:tc>
        <w:tc>
          <w:tcPr>
            <w:tcW w:w="708" w:type="dxa"/>
            <w:tcBorders>
              <w:top w:val="nil"/>
              <w:left w:val="nil"/>
              <w:bottom w:val="nil"/>
              <w:right w:val="single" w:sz="4" w:space="0" w:color="auto"/>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0</w:t>
            </w:r>
          </w:p>
        </w:tc>
      </w:tr>
      <w:tr w:rsidR="004F40E8" w:rsidRPr="004F40E8" w:rsidTr="003B594D">
        <w:trPr>
          <w:trHeight w:val="20"/>
        </w:trPr>
        <w:tc>
          <w:tcPr>
            <w:tcW w:w="320" w:type="dxa"/>
            <w:tcBorders>
              <w:top w:val="nil"/>
              <w:left w:val="single" w:sz="4" w:space="0" w:color="auto"/>
              <w:bottom w:val="nil"/>
              <w:right w:val="nil"/>
            </w:tcBorders>
            <w:shd w:val="clear" w:color="000000" w:fill="FFFFFF"/>
            <w:hideMark/>
          </w:tcPr>
          <w:p w:rsidR="004F40E8" w:rsidRPr="004F40E8" w:rsidRDefault="004F40E8" w:rsidP="004F40E8">
            <w:pPr>
              <w:jc w:val="center"/>
              <w:rPr>
                <w:rFonts w:ascii="Arial Narrow" w:hAnsi="Arial Narrow"/>
                <w:b/>
                <w:bCs/>
                <w:color w:val="000000"/>
                <w:sz w:val="15"/>
                <w:szCs w:val="15"/>
              </w:rPr>
            </w:pPr>
          </w:p>
        </w:tc>
        <w:tc>
          <w:tcPr>
            <w:tcW w:w="4992"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sz w:val="15"/>
                <w:szCs w:val="15"/>
              </w:rPr>
            </w:pPr>
            <w:r w:rsidRPr="004F40E8">
              <w:rPr>
                <w:rFonts w:ascii="Arial Narrow" w:hAnsi="Arial Narrow"/>
                <w:sz w:val="15"/>
                <w:szCs w:val="15"/>
              </w:rPr>
              <w:t>Προσαρμογή για το πρόγραμμα στήριξης των χρηματοπιστωτικών ιδρυμάτων</w:t>
            </w:r>
          </w:p>
        </w:tc>
        <w:tc>
          <w:tcPr>
            <w:tcW w:w="851"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-57</w:t>
            </w:r>
          </w:p>
        </w:tc>
        <w:tc>
          <w:tcPr>
            <w:tcW w:w="708"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0</w:t>
            </w:r>
          </w:p>
        </w:tc>
        <w:tc>
          <w:tcPr>
            <w:tcW w:w="709"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0</w:t>
            </w:r>
          </w:p>
        </w:tc>
        <w:tc>
          <w:tcPr>
            <w:tcW w:w="776"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0</w:t>
            </w:r>
          </w:p>
        </w:tc>
        <w:tc>
          <w:tcPr>
            <w:tcW w:w="708" w:type="dxa"/>
            <w:tcBorders>
              <w:top w:val="nil"/>
              <w:left w:val="nil"/>
              <w:bottom w:val="nil"/>
              <w:right w:val="single" w:sz="4" w:space="0" w:color="auto"/>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0</w:t>
            </w:r>
          </w:p>
        </w:tc>
      </w:tr>
      <w:tr w:rsidR="004F40E8" w:rsidRPr="004F40E8" w:rsidTr="003B594D">
        <w:trPr>
          <w:trHeight w:val="20"/>
        </w:trPr>
        <w:tc>
          <w:tcPr>
            <w:tcW w:w="320" w:type="dxa"/>
            <w:tcBorders>
              <w:top w:val="nil"/>
              <w:left w:val="single" w:sz="4" w:space="0" w:color="auto"/>
              <w:bottom w:val="nil"/>
              <w:right w:val="nil"/>
            </w:tcBorders>
            <w:shd w:val="clear" w:color="000000" w:fill="FFFFFF"/>
            <w:hideMark/>
          </w:tcPr>
          <w:p w:rsidR="004F40E8" w:rsidRPr="004F40E8" w:rsidRDefault="004F40E8" w:rsidP="004F40E8">
            <w:pPr>
              <w:jc w:val="center"/>
              <w:rPr>
                <w:rFonts w:ascii="Arial Narrow" w:hAnsi="Arial Narrow"/>
                <w:b/>
                <w:bCs/>
                <w:color w:val="000000"/>
                <w:sz w:val="15"/>
                <w:szCs w:val="15"/>
              </w:rPr>
            </w:pPr>
          </w:p>
        </w:tc>
        <w:tc>
          <w:tcPr>
            <w:tcW w:w="4992"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sz w:val="15"/>
                <w:szCs w:val="15"/>
              </w:rPr>
            </w:pPr>
            <w:r w:rsidRPr="004F40E8">
              <w:rPr>
                <w:rFonts w:ascii="Arial Narrow" w:hAnsi="Arial Narrow"/>
                <w:sz w:val="15"/>
                <w:szCs w:val="15"/>
              </w:rPr>
              <w:t>Έσοδα αποκρατικοποιήσεων</w:t>
            </w:r>
          </w:p>
        </w:tc>
        <w:tc>
          <w:tcPr>
            <w:tcW w:w="851"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-25</w:t>
            </w:r>
          </w:p>
        </w:tc>
        <w:tc>
          <w:tcPr>
            <w:tcW w:w="708"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-52</w:t>
            </w:r>
          </w:p>
        </w:tc>
        <w:tc>
          <w:tcPr>
            <w:tcW w:w="709"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-16</w:t>
            </w:r>
          </w:p>
        </w:tc>
        <w:tc>
          <w:tcPr>
            <w:tcW w:w="776"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-507</w:t>
            </w:r>
          </w:p>
        </w:tc>
        <w:tc>
          <w:tcPr>
            <w:tcW w:w="708" w:type="dxa"/>
            <w:tcBorders>
              <w:top w:val="nil"/>
              <w:left w:val="nil"/>
              <w:bottom w:val="nil"/>
              <w:right w:val="single" w:sz="4" w:space="0" w:color="auto"/>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-537</w:t>
            </w:r>
          </w:p>
        </w:tc>
      </w:tr>
      <w:tr w:rsidR="004F40E8" w:rsidRPr="004F40E8" w:rsidTr="003B594D">
        <w:trPr>
          <w:trHeight w:val="20"/>
        </w:trPr>
        <w:tc>
          <w:tcPr>
            <w:tcW w:w="320" w:type="dxa"/>
            <w:tcBorders>
              <w:top w:val="nil"/>
              <w:left w:val="single" w:sz="4" w:space="0" w:color="auto"/>
              <w:bottom w:val="nil"/>
              <w:right w:val="nil"/>
            </w:tcBorders>
            <w:shd w:val="clear" w:color="000000" w:fill="FFFFFF"/>
            <w:hideMark/>
          </w:tcPr>
          <w:p w:rsidR="004F40E8" w:rsidRPr="004F40E8" w:rsidRDefault="004F40E8" w:rsidP="004F40E8">
            <w:pPr>
              <w:jc w:val="center"/>
              <w:rPr>
                <w:rFonts w:ascii="Arial Narrow" w:hAnsi="Arial Narrow"/>
                <w:b/>
                <w:bCs/>
                <w:color w:val="000000"/>
                <w:sz w:val="15"/>
                <w:szCs w:val="15"/>
              </w:rPr>
            </w:pPr>
          </w:p>
        </w:tc>
        <w:tc>
          <w:tcPr>
            <w:tcW w:w="4992"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sz w:val="15"/>
                <w:szCs w:val="15"/>
              </w:rPr>
            </w:pPr>
            <w:r w:rsidRPr="004F40E8">
              <w:rPr>
                <w:rFonts w:ascii="Arial Narrow" w:hAnsi="Arial Narrow"/>
                <w:sz w:val="15"/>
                <w:szCs w:val="15"/>
              </w:rPr>
              <w:t xml:space="preserve">Δαπάνες μεταναστευτικών ροών μη </w:t>
            </w:r>
            <w:proofErr w:type="spellStart"/>
            <w:r w:rsidRPr="004F40E8">
              <w:rPr>
                <w:rFonts w:ascii="Arial Narrow" w:hAnsi="Arial Narrow"/>
                <w:sz w:val="15"/>
                <w:szCs w:val="15"/>
              </w:rPr>
              <w:t>αντικρυζόμενες</w:t>
            </w:r>
            <w:proofErr w:type="spellEnd"/>
          </w:p>
        </w:tc>
        <w:tc>
          <w:tcPr>
            <w:tcW w:w="851"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30</w:t>
            </w:r>
          </w:p>
        </w:tc>
        <w:tc>
          <w:tcPr>
            <w:tcW w:w="708"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28</w:t>
            </w:r>
          </w:p>
        </w:tc>
        <w:tc>
          <w:tcPr>
            <w:tcW w:w="709"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50</w:t>
            </w:r>
          </w:p>
        </w:tc>
        <w:tc>
          <w:tcPr>
            <w:tcW w:w="776"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26</w:t>
            </w:r>
          </w:p>
        </w:tc>
        <w:tc>
          <w:tcPr>
            <w:tcW w:w="708" w:type="dxa"/>
            <w:tcBorders>
              <w:top w:val="nil"/>
              <w:left w:val="nil"/>
              <w:bottom w:val="nil"/>
              <w:right w:val="single" w:sz="4" w:space="0" w:color="auto"/>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30</w:t>
            </w:r>
          </w:p>
        </w:tc>
      </w:tr>
      <w:tr w:rsidR="004F40E8" w:rsidRPr="004F40E8" w:rsidTr="003B594D">
        <w:trPr>
          <w:trHeight w:val="20"/>
        </w:trPr>
        <w:tc>
          <w:tcPr>
            <w:tcW w:w="320" w:type="dxa"/>
            <w:tcBorders>
              <w:top w:val="nil"/>
              <w:left w:val="single" w:sz="4" w:space="0" w:color="auto"/>
              <w:bottom w:val="nil"/>
              <w:right w:val="nil"/>
            </w:tcBorders>
            <w:shd w:val="clear" w:color="000000" w:fill="FFFFFF"/>
            <w:hideMark/>
          </w:tcPr>
          <w:p w:rsidR="004F40E8" w:rsidRPr="004F40E8" w:rsidRDefault="004F40E8" w:rsidP="004F40E8">
            <w:pPr>
              <w:jc w:val="center"/>
              <w:rPr>
                <w:rFonts w:ascii="Arial Narrow" w:hAnsi="Arial Narrow"/>
                <w:b/>
                <w:bCs/>
                <w:color w:val="000000"/>
                <w:sz w:val="15"/>
                <w:szCs w:val="15"/>
              </w:rPr>
            </w:pPr>
          </w:p>
        </w:tc>
        <w:tc>
          <w:tcPr>
            <w:tcW w:w="4992"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sz w:val="15"/>
                <w:szCs w:val="15"/>
              </w:rPr>
            </w:pPr>
            <w:r w:rsidRPr="004F40E8">
              <w:rPr>
                <w:rFonts w:ascii="Arial Narrow" w:hAnsi="Arial Narrow"/>
                <w:sz w:val="15"/>
                <w:szCs w:val="15"/>
              </w:rPr>
              <w:t> </w:t>
            </w:r>
          </w:p>
        </w:tc>
        <w:tc>
          <w:tcPr>
            <w:tcW w:w="851"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08"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09"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76"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08" w:type="dxa"/>
            <w:tcBorders>
              <w:top w:val="nil"/>
              <w:left w:val="nil"/>
              <w:bottom w:val="nil"/>
              <w:right w:val="single" w:sz="4" w:space="0" w:color="auto"/>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r>
      <w:tr w:rsidR="004F40E8" w:rsidRPr="004F40E8" w:rsidTr="003B594D">
        <w:trPr>
          <w:trHeight w:val="20"/>
        </w:trPr>
        <w:tc>
          <w:tcPr>
            <w:tcW w:w="320" w:type="dxa"/>
            <w:tcBorders>
              <w:top w:val="nil"/>
              <w:left w:val="single" w:sz="4" w:space="0" w:color="auto"/>
              <w:bottom w:val="nil"/>
              <w:right w:val="nil"/>
            </w:tcBorders>
            <w:shd w:val="clear" w:color="000000" w:fill="D8D8D8"/>
            <w:hideMark/>
          </w:tcPr>
          <w:p w:rsidR="004F40E8" w:rsidRPr="004F40E8" w:rsidRDefault="004F40E8" w:rsidP="004F40E8">
            <w:pPr>
              <w:jc w:val="center"/>
              <w:rPr>
                <w:rFonts w:ascii="Arial Narrow" w:hAnsi="Arial Narrow"/>
                <w:b/>
                <w:bCs/>
                <w:sz w:val="15"/>
                <w:szCs w:val="15"/>
              </w:rPr>
            </w:pPr>
            <w:r w:rsidRPr="004F40E8">
              <w:rPr>
                <w:rFonts w:ascii="Arial Narrow" w:hAnsi="Arial Narrow"/>
                <w:b/>
                <w:bCs/>
                <w:sz w:val="15"/>
                <w:szCs w:val="15"/>
              </w:rPr>
              <w:t>2.</w:t>
            </w:r>
          </w:p>
        </w:tc>
        <w:tc>
          <w:tcPr>
            <w:tcW w:w="4992" w:type="dxa"/>
            <w:tcBorders>
              <w:top w:val="nil"/>
              <w:left w:val="nil"/>
              <w:bottom w:val="nil"/>
              <w:right w:val="nil"/>
            </w:tcBorders>
            <w:shd w:val="clear" w:color="000000" w:fill="D8D8D8"/>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Πρωτογενές αποτέλεσμα Γενικής Κυβέρνησης σύμφωνα  με τη μεθοδολογία της Σύμβασης Χρηματοδοτικής Διευκόλυνσης</w:t>
            </w:r>
          </w:p>
        </w:tc>
        <w:tc>
          <w:tcPr>
            <w:tcW w:w="851"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7.357</w:t>
            </w:r>
          </w:p>
        </w:tc>
        <w:tc>
          <w:tcPr>
            <w:tcW w:w="708"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3.445</w:t>
            </w:r>
          </w:p>
        </w:tc>
        <w:tc>
          <w:tcPr>
            <w:tcW w:w="709"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3.977</w:t>
            </w:r>
          </w:p>
        </w:tc>
        <w:tc>
          <w:tcPr>
            <w:tcW w:w="776"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6.625</w:t>
            </w:r>
          </w:p>
        </w:tc>
        <w:tc>
          <w:tcPr>
            <w:tcW w:w="708" w:type="dxa"/>
            <w:tcBorders>
              <w:top w:val="nil"/>
              <w:left w:val="nil"/>
              <w:bottom w:val="nil"/>
              <w:right w:val="single" w:sz="4" w:space="0" w:color="auto"/>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6.671</w:t>
            </w:r>
          </w:p>
        </w:tc>
      </w:tr>
      <w:tr w:rsidR="004F40E8" w:rsidRPr="004F40E8" w:rsidTr="003B594D">
        <w:trPr>
          <w:trHeight w:val="20"/>
        </w:trPr>
        <w:tc>
          <w:tcPr>
            <w:tcW w:w="320" w:type="dxa"/>
            <w:tcBorders>
              <w:top w:val="nil"/>
              <w:left w:val="single" w:sz="4" w:space="0" w:color="auto"/>
              <w:bottom w:val="nil"/>
              <w:right w:val="nil"/>
            </w:tcBorders>
            <w:shd w:val="clear" w:color="000000" w:fill="D8D8D8"/>
            <w:hideMark/>
          </w:tcPr>
          <w:p w:rsidR="004F40E8" w:rsidRPr="004F40E8" w:rsidRDefault="004F40E8" w:rsidP="004F40E8">
            <w:pPr>
              <w:jc w:val="center"/>
              <w:rPr>
                <w:rFonts w:ascii="Arial Narrow" w:hAnsi="Arial Narrow"/>
                <w:b/>
                <w:bCs/>
                <w:sz w:val="15"/>
                <w:szCs w:val="15"/>
              </w:rPr>
            </w:pPr>
          </w:p>
        </w:tc>
        <w:tc>
          <w:tcPr>
            <w:tcW w:w="4992" w:type="dxa"/>
            <w:tcBorders>
              <w:top w:val="nil"/>
              <w:left w:val="nil"/>
              <w:bottom w:val="nil"/>
              <w:right w:val="nil"/>
            </w:tcBorders>
            <w:shd w:val="clear" w:color="000000" w:fill="D8D8D8"/>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 ΑΕΠ</w:t>
            </w:r>
          </w:p>
        </w:tc>
        <w:tc>
          <w:tcPr>
            <w:tcW w:w="851"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4,18%</w:t>
            </w:r>
          </w:p>
        </w:tc>
        <w:tc>
          <w:tcPr>
            <w:tcW w:w="708"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1,90%</w:t>
            </w:r>
          </w:p>
        </w:tc>
        <w:tc>
          <w:tcPr>
            <w:tcW w:w="709"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2,21%</w:t>
            </w:r>
          </w:p>
        </w:tc>
        <w:tc>
          <w:tcPr>
            <w:tcW w:w="776"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3,53%</w:t>
            </w:r>
          </w:p>
        </w:tc>
        <w:tc>
          <w:tcPr>
            <w:tcW w:w="708" w:type="dxa"/>
            <w:tcBorders>
              <w:top w:val="nil"/>
              <w:left w:val="nil"/>
              <w:bottom w:val="nil"/>
              <w:right w:val="single" w:sz="4" w:space="0" w:color="auto"/>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3,57%</w:t>
            </w:r>
          </w:p>
        </w:tc>
      </w:tr>
      <w:tr w:rsidR="004F40E8" w:rsidRPr="004F40E8" w:rsidTr="003B594D">
        <w:trPr>
          <w:trHeight w:val="20"/>
        </w:trPr>
        <w:tc>
          <w:tcPr>
            <w:tcW w:w="320" w:type="dxa"/>
            <w:tcBorders>
              <w:top w:val="nil"/>
              <w:left w:val="single" w:sz="4" w:space="0" w:color="auto"/>
              <w:bottom w:val="nil"/>
              <w:right w:val="nil"/>
            </w:tcBorders>
            <w:shd w:val="clear" w:color="000000" w:fill="FFFFFF"/>
            <w:hideMark/>
          </w:tcPr>
          <w:p w:rsidR="004F40E8" w:rsidRPr="004F40E8" w:rsidRDefault="004F40E8" w:rsidP="004F40E8">
            <w:pPr>
              <w:jc w:val="center"/>
              <w:rPr>
                <w:rFonts w:ascii="Arial Narrow" w:hAnsi="Arial Narrow"/>
                <w:b/>
                <w:bCs/>
                <w:color w:val="000000"/>
                <w:sz w:val="15"/>
                <w:szCs w:val="15"/>
              </w:rPr>
            </w:pPr>
          </w:p>
        </w:tc>
        <w:tc>
          <w:tcPr>
            <w:tcW w:w="4992"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sz w:val="15"/>
                <w:szCs w:val="15"/>
              </w:rPr>
            </w:pPr>
            <w:r w:rsidRPr="004F40E8">
              <w:rPr>
                <w:rFonts w:ascii="Arial Narrow" w:hAnsi="Arial Narrow"/>
                <w:sz w:val="15"/>
                <w:szCs w:val="15"/>
              </w:rPr>
              <w:t> </w:t>
            </w:r>
          </w:p>
        </w:tc>
        <w:tc>
          <w:tcPr>
            <w:tcW w:w="851"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08"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color w:val="0000FF"/>
                <w:sz w:val="15"/>
                <w:szCs w:val="15"/>
              </w:rPr>
            </w:pPr>
            <w:r w:rsidRPr="004F40E8">
              <w:rPr>
                <w:rFonts w:ascii="Arial Narrow" w:hAnsi="Arial Narrow" w:cs="Segoe UI"/>
                <w:color w:val="0000FF"/>
                <w:sz w:val="15"/>
                <w:szCs w:val="15"/>
              </w:rPr>
              <w:t> </w:t>
            </w:r>
          </w:p>
        </w:tc>
        <w:tc>
          <w:tcPr>
            <w:tcW w:w="709"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76"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08" w:type="dxa"/>
            <w:tcBorders>
              <w:top w:val="nil"/>
              <w:left w:val="nil"/>
              <w:bottom w:val="nil"/>
              <w:right w:val="single" w:sz="4" w:space="0" w:color="auto"/>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r>
      <w:tr w:rsidR="004F40E8" w:rsidRPr="004F40E8" w:rsidTr="003B594D">
        <w:trPr>
          <w:trHeight w:val="20"/>
        </w:trPr>
        <w:tc>
          <w:tcPr>
            <w:tcW w:w="320" w:type="dxa"/>
            <w:tcBorders>
              <w:top w:val="nil"/>
              <w:left w:val="single" w:sz="4" w:space="0" w:color="auto"/>
              <w:bottom w:val="nil"/>
              <w:right w:val="nil"/>
            </w:tcBorders>
            <w:shd w:val="clear" w:color="000000" w:fill="D8D8D8"/>
            <w:hideMark/>
          </w:tcPr>
          <w:p w:rsidR="004F40E8" w:rsidRPr="004F40E8" w:rsidRDefault="004F40E8" w:rsidP="004F40E8">
            <w:pPr>
              <w:jc w:val="center"/>
              <w:rPr>
                <w:rFonts w:ascii="Arial Narrow" w:hAnsi="Arial Narrow"/>
                <w:b/>
                <w:bCs/>
                <w:sz w:val="15"/>
                <w:szCs w:val="15"/>
              </w:rPr>
            </w:pPr>
            <w:r w:rsidRPr="004F40E8">
              <w:rPr>
                <w:rFonts w:ascii="Arial Narrow" w:hAnsi="Arial Narrow"/>
                <w:b/>
                <w:bCs/>
                <w:sz w:val="15"/>
                <w:szCs w:val="15"/>
              </w:rPr>
              <w:t>3.</w:t>
            </w:r>
          </w:p>
        </w:tc>
        <w:tc>
          <w:tcPr>
            <w:tcW w:w="4992" w:type="dxa"/>
            <w:tcBorders>
              <w:top w:val="nil"/>
              <w:left w:val="nil"/>
              <w:bottom w:val="nil"/>
              <w:right w:val="nil"/>
            </w:tcBorders>
            <w:shd w:val="clear" w:color="000000" w:fill="D8D8D8"/>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Στόχος Σύμβασης Χρηματοδοτικής Διευκόλυνσης</w:t>
            </w:r>
          </w:p>
        </w:tc>
        <w:tc>
          <w:tcPr>
            <w:tcW w:w="851"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879</w:t>
            </w:r>
          </w:p>
        </w:tc>
        <w:tc>
          <w:tcPr>
            <w:tcW w:w="708"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3.171</w:t>
            </w:r>
          </w:p>
        </w:tc>
        <w:tc>
          <w:tcPr>
            <w:tcW w:w="709"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3.154</w:t>
            </w:r>
          </w:p>
        </w:tc>
        <w:tc>
          <w:tcPr>
            <w:tcW w:w="776"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6.571</w:t>
            </w:r>
          </w:p>
        </w:tc>
        <w:tc>
          <w:tcPr>
            <w:tcW w:w="708" w:type="dxa"/>
            <w:tcBorders>
              <w:top w:val="nil"/>
              <w:left w:val="nil"/>
              <w:bottom w:val="nil"/>
              <w:right w:val="single" w:sz="4" w:space="0" w:color="auto"/>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6.536</w:t>
            </w:r>
          </w:p>
        </w:tc>
      </w:tr>
      <w:tr w:rsidR="004F40E8" w:rsidRPr="004F40E8" w:rsidTr="003B594D">
        <w:trPr>
          <w:trHeight w:val="20"/>
        </w:trPr>
        <w:tc>
          <w:tcPr>
            <w:tcW w:w="320" w:type="dxa"/>
            <w:tcBorders>
              <w:top w:val="nil"/>
              <w:left w:val="single" w:sz="4" w:space="0" w:color="auto"/>
              <w:bottom w:val="nil"/>
              <w:right w:val="nil"/>
            </w:tcBorders>
            <w:shd w:val="clear" w:color="000000" w:fill="D8D8D8"/>
            <w:hideMark/>
          </w:tcPr>
          <w:p w:rsidR="004F40E8" w:rsidRPr="004F40E8" w:rsidRDefault="004F40E8" w:rsidP="004F40E8">
            <w:pPr>
              <w:jc w:val="center"/>
              <w:rPr>
                <w:rFonts w:ascii="Arial Narrow" w:hAnsi="Arial Narrow"/>
                <w:b/>
                <w:bCs/>
                <w:sz w:val="15"/>
                <w:szCs w:val="15"/>
              </w:rPr>
            </w:pPr>
          </w:p>
        </w:tc>
        <w:tc>
          <w:tcPr>
            <w:tcW w:w="4992" w:type="dxa"/>
            <w:tcBorders>
              <w:top w:val="nil"/>
              <w:left w:val="nil"/>
              <w:bottom w:val="nil"/>
              <w:right w:val="nil"/>
            </w:tcBorders>
            <w:shd w:val="clear" w:color="000000" w:fill="D8D8D8"/>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 ΑΕΠ</w:t>
            </w:r>
          </w:p>
        </w:tc>
        <w:tc>
          <w:tcPr>
            <w:tcW w:w="851"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0,50%</w:t>
            </w:r>
          </w:p>
        </w:tc>
        <w:tc>
          <w:tcPr>
            <w:tcW w:w="708"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1,75%</w:t>
            </w:r>
          </w:p>
        </w:tc>
        <w:tc>
          <w:tcPr>
            <w:tcW w:w="709"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1,75%</w:t>
            </w:r>
          </w:p>
        </w:tc>
        <w:tc>
          <w:tcPr>
            <w:tcW w:w="776"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3,50%</w:t>
            </w:r>
          </w:p>
        </w:tc>
        <w:tc>
          <w:tcPr>
            <w:tcW w:w="708" w:type="dxa"/>
            <w:tcBorders>
              <w:top w:val="nil"/>
              <w:left w:val="nil"/>
              <w:bottom w:val="nil"/>
              <w:right w:val="single" w:sz="4" w:space="0" w:color="auto"/>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3,50%</w:t>
            </w:r>
          </w:p>
        </w:tc>
      </w:tr>
      <w:tr w:rsidR="004F40E8" w:rsidRPr="004F40E8" w:rsidTr="003B594D">
        <w:trPr>
          <w:trHeight w:val="20"/>
        </w:trPr>
        <w:tc>
          <w:tcPr>
            <w:tcW w:w="320" w:type="dxa"/>
            <w:tcBorders>
              <w:top w:val="nil"/>
              <w:left w:val="single" w:sz="4" w:space="0" w:color="auto"/>
              <w:bottom w:val="nil"/>
              <w:right w:val="nil"/>
            </w:tcBorders>
            <w:shd w:val="clear" w:color="000000" w:fill="FFFFFF"/>
            <w:hideMark/>
          </w:tcPr>
          <w:p w:rsidR="004F40E8" w:rsidRPr="004F40E8" w:rsidRDefault="004F40E8" w:rsidP="004F40E8">
            <w:pPr>
              <w:jc w:val="center"/>
              <w:rPr>
                <w:rFonts w:ascii="Arial Narrow" w:hAnsi="Arial Narrow"/>
                <w:b/>
                <w:bCs/>
                <w:color w:val="000000"/>
                <w:sz w:val="15"/>
                <w:szCs w:val="15"/>
              </w:rPr>
            </w:pPr>
          </w:p>
        </w:tc>
        <w:tc>
          <w:tcPr>
            <w:tcW w:w="4992" w:type="dxa"/>
            <w:tcBorders>
              <w:top w:val="nil"/>
              <w:left w:val="nil"/>
              <w:bottom w:val="nil"/>
              <w:right w:val="nil"/>
            </w:tcBorders>
            <w:shd w:val="clear" w:color="000000" w:fill="FFFFFF"/>
            <w:vAlign w:val="center"/>
            <w:hideMark/>
          </w:tcPr>
          <w:p w:rsidR="004F40E8" w:rsidRPr="004F40E8" w:rsidRDefault="004F40E8" w:rsidP="004F40E8">
            <w:pPr>
              <w:rPr>
                <w:rFonts w:ascii="Arial Narrow" w:hAnsi="Arial Narrow"/>
                <w:sz w:val="15"/>
                <w:szCs w:val="15"/>
              </w:rPr>
            </w:pPr>
            <w:r w:rsidRPr="004F40E8">
              <w:rPr>
                <w:rFonts w:ascii="Arial Narrow" w:hAnsi="Arial Narrow"/>
                <w:sz w:val="15"/>
                <w:szCs w:val="15"/>
              </w:rPr>
              <w:t> </w:t>
            </w:r>
          </w:p>
        </w:tc>
        <w:tc>
          <w:tcPr>
            <w:tcW w:w="851"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08"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color w:val="0000FF"/>
                <w:sz w:val="15"/>
                <w:szCs w:val="15"/>
              </w:rPr>
            </w:pPr>
            <w:r w:rsidRPr="004F40E8">
              <w:rPr>
                <w:rFonts w:ascii="Arial Narrow" w:hAnsi="Arial Narrow" w:cs="Segoe UI"/>
                <w:color w:val="0000FF"/>
                <w:sz w:val="15"/>
                <w:szCs w:val="15"/>
              </w:rPr>
              <w:t> </w:t>
            </w:r>
          </w:p>
        </w:tc>
        <w:tc>
          <w:tcPr>
            <w:tcW w:w="709"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76" w:type="dxa"/>
            <w:tcBorders>
              <w:top w:val="nil"/>
              <w:left w:val="nil"/>
              <w:bottom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08" w:type="dxa"/>
            <w:tcBorders>
              <w:top w:val="nil"/>
              <w:left w:val="nil"/>
              <w:bottom w:val="nil"/>
              <w:right w:val="single" w:sz="4" w:space="0" w:color="auto"/>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r>
      <w:tr w:rsidR="004F40E8" w:rsidRPr="004F40E8" w:rsidTr="003B594D">
        <w:trPr>
          <w:trHeight w:val="20"/>
        </w:trPr>
        <w:tc>
          <w:tcPr>
            <w:tcW w:w="320" w:type="dxa"/>
            <w:tcBorders>
              <w:top w:val="nil"/>
              <w:left w:val="single" w:sz="4" w:space="0" w:color="auto"/>
              <w:bottom w:val="nil"/>
              <w:right w:val="nil"/>
            </w:tcBorders>
            <w:shd w:val="clear" w:color="000000" w:fill="D8D8D8"/>
            <w:hideMark/>
          </w:tcPr>
          <w:p w:rsidR="004F40E8" w:rsidRPr="004F40E8" w:rsidRDefault="004F40E8" w:rsidP="004F40E8">
            <w:pPr>
              <w:jc w:val="center"/>
              <w:rPr>
                <w:rFonts w:ascii="Arial Narrow" w:hAnsi="Arial Narrow"/>
                <w:b/>
                <w:bCs/>
                <w:sz w:val="15"/>
                <w:szCs w:val="15"/>
              </w:rPr>
            </w:pPr>
            <w:r w:rsidRPr="004F40E8">
              <w:rPr>
                <w:rFonts w:ascii="Arial Narrow" w:hAnsi="Arial Narrow"/>
                <w:b/>
                <w:bCs/>
                <w:sz w:val="15"/>
                <w:szCs w:val="15"/>
              </w:rPr>
              <w:t>4.</w:t>
            </w:r>
          </w:p>
        </w:tc>
        <w:tc>
          <w:tcPr>
            <w:tcW w:w="4992" w:type="dxa"/>
            <w:tcBorders>
              <w:top w:val="nil"/>
              <w:left w:val="nil"/>
              <w:bottom w:val="nil"/>
              <w:right w:val="nil"/>
            </w:tcBorders>
            <w:shd w:val="clear" w:color="000000" w:fill="D8D8D8"/>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Δημοσιονομικό Πλεόνασμα (+) ή Κενό (-) Σύμβασης Χρηματοδοτικής Διευκόλυνσης</w:t>
            </w:r>
          </w:p>
        </w:tc>
        <w:tc>
          <w:tcPr>
            <w:tcW w:w="851"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6.478</w:t>
            </w:r>
          </w:p>
        </w:tc>
        <w:tc>
          <w:tcPr>
            <w:tcW w:w="708"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274</w:t>
            </w:r>
          </w:p>
        </w:tc>
        <w:tc>
          <w:tcPr>
            <w:tcW w:w="709"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823</w:t>
            </w:r>
          </w:p>
        </w:tc>
        <w:tc>
          <w:tcPr>
            <w:tcW w:w="776" w:type="dxa"/>
            <w:tcBorders>
              <w:top w:val="nil"/>
              <w:left w:val="nil"/>
              <w:bottom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54</w:t>
            </w:r>
          </w:p>
        </w:tc>
        <w:tc>
          <w:tcPr>
            <w:tcW w:w="708" w:type="dxa"/>
            <w:tcBorders>
              <w:top w:val="nil"/>
              <w:left w:val="nil"/>
              <w:bottom w:val="nil"/>
              <w:right w:val="single" w:sz="4" w:space="0" w:color="auto"/>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135</w:t>
            </w:r>
          </w:p>
        </w:tc>
      </w:tr>
      <w:tr w:rsidR="004F40E8" w:rsidRPr="004F40E8" w:rsidTr="003B594D">
        <w:trPr>
          <w:trHeight w:val="20"/>
        </w:trPr>
        <w:tc>
          <w:tcPr>
            <w:tcW w:w="320" w:type="dxa"/>
            <w:tcBorders>
              <w:top w:val="nil"/>
              <w:left w:val="single" w:sz="4" w:space="0" w:color="auto"/>
              <w:right w:val="nil"/>
            </w:tcBorders>
            <w:shd w:val="clear" w:color="000000" w:fill="D8D8D8"/>
            <w:hideMark/>
          </w:tcPr>
          <w:p w:rsidR="004F40E8" w:rsidRPr="004F40E8" w:rsidRDefault="004F40E8" w:rsidP="004F40E8">
            <w:pPr>
              <w:jc w:val="center"/>
              <w:rPr>
                <w:rFonts w:ascii="Arial Narrow" w:hAnsi="Arial Narrow"/>
                <w:b/>
                <w:bCs/>
                <w:sz w:val="15"/>
                <w:szCs w:val="15"/>
              </w:rPr>
            </w:pPr>
          </w:p>
        </w:tc>
        <w:tc>
          <w:tcPr>
            <w:tcW w:w="4992" w:type="dxa"/>
            <w:tcBorders>
              <w:top w:val="nil"/>
              <w:left w:val="nil"/>
              <w:right w:val="nil"/>
            </w:tcBorders>
            <w:shd w:val="clear" w:color="000000" w:fill="D8D8D8"/>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 ΑΕΠ</w:t>
            </w:r>
          </w:p>
        </w:tc>
        <w:tc>
          <w:tcPr>
            <w:tcW w:w="851" w:type="dxa"/>
            <w:tcBorders>
              <w:top w:val="nil"/>
              <w:left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3,68%</w:t>
            </w:r>
          </w:p>
        </w:tc>
        <w:tc>
          <w:tcPr>
            <w:tcW w:w="708" w:type="dxa"/>
            <w:tcBorders>
              <w:top w:val="nil"/>
              <w:left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0,15%</w:t>
            </w:r>
          </w:p>
        </w:tc>
        <w:tc>
          <w:tcPr>
            <w:tcW w:w="709" w:type="dxa"/>
            <w:tcBorders>
              <w:top w:val="nil"/>
              <w:left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0,46%</w:t>
            </w:r>
          </w:p>
        </w:tc>
        <w:tc>
          <w:tcPr>
            <w:tcW w:w="776" w:type="dxa"/>
            <w:tcBorders>
              <w:top w:val="nil"/>
              <w:left w:val="nil"/>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0,03%</w:t>
            </w:r>
          </w:p>
        </w:tc>
        <w:tc>
          <w:tcPr>
            <w:tcW w:w="708" w:type="dxa"/>
            <w:tcBorders>
              <w:top w:val="nil"/>
              <w:left w:val="nil"/>
              <w:right w:val="single" w:sz="4" w:space="0" w:color="auto"/>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0,07%</w:t>
            </w:r>
          </w:p>
        </w:tc>
      </w:tr>
      <w:tr w:rsidR="004F40E8" w:rsidRPr="004F40E8" w:rsidTr="003B594D">
        <w:trPr>
          <w:trHeight w:val="20"/>
        </w:trPr>
        <w:tc>
          <w:tcPr>
            <w:tcW w:w="320" w:type="dxa"/>
            <w:tcBorders>
              <w:top w:val="nil"/>
              <w:left w:val="single" w:sz="4" w:space="0" w:color="auto"/>
              <w:right w:val="nil"/>
            </w:tcBorders>
            <w:shd w:val="clear" w:color="000000" w:fill="FFFFFF"/>
            <w:vAlign w:val="center"/>
            <w:hideMark/>
          </w:tcPr>
          <w:p w:rsidR="004F40E8" w:rsidRPr="004F40E8" w:rsidRDefault="004F40E8" w:rsidP="004F40E8">
            <w:pPr>
              <w:jc w:val="center"/>
              <w:rPr>
                <w:rFonts w:ascii="Arial Narrow" w:hAnsi="Arial Narrow"/>
                <w:b/>
                <w:bCs/>
                <w:color w:val="000000"/>
                <w:sz w:val="15"/>
                <w:szCs w:val="15"/>
              </w:rPr>
            </w:pPr>
          </w:p>
        </w:tc>
        <w:tc>
          <w:tcPr>
            <w:tcW w:w="4992" w:type="dxa"/>
            <w:tcBorders>
              <w:top w:val="nil"/>
              <w:left w:val="nil"/>
              <w:right w:val="nil"/>
            </w:tcBorders>
            <w:shd w:val="clear" w:color="000000" w:fill="FFFFFF"/>
            <w:vAlign w:val="center"/>
            <w:hideMark/>
          </w:tcPr>
          <w:p w:rsidR="004F40E8" w:rsidRPr="004F40E8" w:rsidRDefault="004F40E8" w:rsidP="004F40E8">
            <w:pPr>
              <w:rPr>
                <w:rFonts w:ascii="Arial Narrow" w:hAnsi="Arial Narrow"/>
                <w:sz w:val="15"/>
                <w:szCs w:val="15"/>
              </w:rPr>
            </w:pPr>
            <w:r w:rsidRPr="004F40E8">
              <w:rPr>
                <w:rFonts w:ascii="Arial Narrow" w:hAnsi="Arial Narrow"/>
                <w:sz w:val="15"/>
                <w:szCs w:val="15"/>
              </w:rPr>
              <w:t> </w:t>
            </w:r>
          </w:p>
        </w:tc>
        <w:tc>
          <w:tcPr>
            <w:tcW w:w="851" w:type="dxa"/>
            <w:tcBorders>
              <w:top w:val="nil"/>
              <w:left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08" w:type="dxa"/>
            <w:tcBorders>
              <w:top w:val="nil"/>
              <w:left w:val="nil"/>
              <w:right w:val="nil"/>
            </w:tcBorders>
            <w:shd w:val="clear" w:color="000000" w:fill="FFFFFF"/>
            <w:hideMark/>
          </w:tcPr>
          <w:p w:rsidR="004F40E8" w:rsidRPr="004F40E8" w:rsidRDefault="004F40E8" w:rsidP="004F40E8">
            <w:pPr>
              <w:ind w:right="170"/>
              <w:jc w:val="right"/>
              <w:rPr>
                <w:rFonts w:ascii="Arial Narrow" w:hAnsi="Arial Narrow" w:cs="Segoe UI"/>
                <w:color w:val="0000FF"/>
                <w:sz w:val="15"/>
                <w:szCs w:val="15"/>
              </w:rPr>
            </w:pPr>
            <w:r w:rsidRPr="004F40E8">
              <w:rPr>
                <w:rFonts w:ascii="Arial Narrow" w:hAnsi="Arial Narrow" w:cs="Segoe UI"/>
                <w:color w:val="0000FF"/>
                <w:sz w:val="15"/>
                <w:szCs w:val="15"/>
              </w:rPr>
              <w:t> </w:t>
            </w:r>
          </w:p>
        </w:tc>
        <w:tc>
          <w:tcPr>
            <w:tcW w:w="709" w:type="dxa"/>
            <w:tcBorders>
              <w:top w:val="nil"/>
              <w:left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76" w:type="dxa"/>
            <w:tcBorders>
              <w:top w:val="nil"/>
              <w:left w:val="nil"/>
              <w:right w:val="nil"/>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c>
          <w:tcPr>
            <w:tcW w:w="708" w:type="dxa"/>
            <w:tcBorders>
              <w:top w:val="nil"/>
              <w:left w:val="nil"/>
              <w:right w:val="single" w:sz="4" w:space="0" w:color="auto"/>
            </w:tcBorders>
            <w:shd w:val="clear" w:color="000000" w:fill="FFFFFF"/>
            <w:hideMark/>
          </w:tcPr>
          <w:p w:rsidR="004F40E8" w:rsidRPr="004F40E8" w:rsidRDefault="004F40E8" w:rsidP="004F40E8">
            <w:pPr>
              <w:ind w:right="170"/>
              <w:jc w:val="right"/>
              <w:rPr>
                <w:rFonts w:ascii="Arial Narrow" w:hAnsi="Arial Narrow" w:cs="Segoe UI"/>
                <w:sz w:val="15"/>
                <w:szCs w:val="15"/>
              </w:rPr>
            </w:pPr>
            <w:r w:rsidRPr="004F40E8">
              <w:rPr>
                <w:rFonts w:ascii="Arial Narrow" w:hAnsi="Arial Narrow" w:cs="Segoe UI"/>
                <w:sz w:val="15"/>
                <w:szCs w:val="15"/>
              </w:rPr>
              <w:t> </w:t>
            </w:r>
          </w:p>
        </w:tc>
      </w:tr>
      <w:tr w:rsidR="004F40E8" w:rsidRPr="004F40E8" w:rsidTr="003B594D">
        <w:trPr>
          <w:trHeight w:val="20"/>
        </w:trPr>
        <w:tc>
          <w:tcPr>
            <w:tcW w:w="320" w:type="dxa"/>
            <w:tcBorders>
              <w:left w:val="single" w:sz="4" w:space="0" w:color="auto"/>
              <w:bottom w:val="single" w:sz="4" w:space="0" w:color="auto"/>
              <w:right w:val="nil"/>
            </w:tcBorders>
            <w:shd w:val="clear" w:color="000000" w:fill="D8D8D8"/>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 </w:t>
            </w:r>
          </w:p>
        </w:tc>
        <w:tc>
          <w:tcPr>
            <w:tcW w:w="4992" w:type="dxa"/>
            <w:tcBorders>
              <w:left w:val="nil"/>
              <w:bottom w:val="single" w:sz="4" w:space="0" w:color="auto"/>
              <w:right w:val="nil"/>
            </w:tcBorders>
            <w:shd w:val="clear" w:color="000000" w:fill="D8D8D8"/>
            <w:vAlign w:val="center"/>
            <w:hideMark/>
          </w:tcPr>
          <w:p w:rsidR="004F40E8" w:rsidRPr="004F40E8" w:rsidRDefault="004F40E8" w:rsidP="004F40E8">
            <w:pPr>
              <w:rPr>
                <w:rFonts w:ascii="Arial Narrow" w:hAnsi="Arial Narrow"/>
                <w:b/>
                <w:bCs/>
                <w:sz w:val="15"/>
                <w:szCs w:val="15"/>
              </w:rPr>
            </w:pPr>
            <w:r w:rsidRPr="004F40E8">
              <w:rPr>
                <w:rFonts w:ascii="Arial Narrow" w:hAnsi="Arial Narrow"/>
                <w:b/>
                <w:bCs/>
                <w:sz w:val="15"/>
                <w:szCs w:val="15"/>
              </w:rPr>
              <w:t>ΑΕΠ</w:t>
            </w:r>
          </w:p>
        </w:tc>
        <w:tc>
          <w:tcPr>
            <w:tcW w:w="851" w:type="dxa"/>
            <w:tcBorders>
              <w:left w:val="nil"/>
              <w:bottom w:val="single" w:sz="4" w:space="0" w:color="auto"/>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175.888</w:t>
            </w:r>
          </w:p>
        </w:tc>
        <w:tc>
          <w:tcPr>
            <w:tcW w:w="708" w:type="dxa"/>
            <w:tcBorders>
              <w:left w:val="nil"/>
              <w:bottom w:val="single" w:sz="4" w:space="0" w:color="auto"/>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181.204</w:t>
            </w:r>
          </w:p>
        </w:tc>
        <w:tc>
          <w:tcPr>
            <w:tcW w:w="709" w:type="dxa"/>
            <w:tcBorders>
              <w:left w:val="nil"/>
              <w:bottom w:val="single" w:sz="4" w:space="0" w:color="auto"/>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180.236</w:t>
            </w:r>
          </w:p>
        </w:tc>
        <w:tc>
          <w:tcPr>
            <w:tcW w:w="776" w:type="dxa"/>
            <w:tcBorders>
              <w:left w:val="nil"/>
              <w:bottom w:val="single" w:sz="4" w:space="0" w:color="auto"/>
              <w:right w:val="nil"/>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187.745</w:t>
            </w:r>
          </w:p>
        </w:tc>
        <w:tc>
          <w:tcPr>
            <w:tcW w:w="708" w:type="dxa"/>
            <w:tcBorders>
              <w:left w:val="nil"/>
              <w:bottom w:val="single" w:sz="4" w:space="0" w:color="auto"/>
              <w:right w:val="single" w:sz="4" w:space="0" w:color="auto"/>
            </w:tcBorders>
            <w:shd w:val="clear" w:color="000000" w:fill="D8D8D8"/>
            <w:hideMark/>
          </w:tcPr>
          <w:p w:rsidR="004F40E8" w:rsidRPr="004F40E8" w:rsidRDefault="004F40E8" w:rsidP="004F40E8">
            <w:pPr>
              <w:ind w:right="170"/>
              <w:jc w:val="right"/>
              <w:rPr>
                <w:rFonts w:ascii="Arial Narrow" w:hAnsi="Arial Narrow" w:cs="Segoe UI"/>
                <w:b/>
                <w:bCs/>
                <w:sz w:val="15"/>
                <w:szCs w:val="15"/>
              </w:rPr>
            </w:pPr>
            <w:r w:rsidRPr="004F40E8">
              <w:rPr>
                <w:rFonts w:ascii="Arial Narrow" w:hAnsi="Arial Narrow" w:cs="Segoe UI"/>
                <w:b/>
                <w:bCs/>
                <w:sz w:val="15"/>
                <w:szCs w:val="15"/>
              </w:rPr>
              <w:t>186.742</w:t>
            </w:r>
          </w:p>
        </w:tc>
      </w:tr>
    </w:tbl>
    <w:p w:rsidR="004F40E8" w:rsidRPr="004F40E8" w:rsidRDefault="004F40E8" w:rsidP="004F40E8">
      <w:pPr>
        <w:rPr>
          <w:rFonts w:ascii="Arial Narrow" w:hAnsi="Arial Narrow"/>
          <w:b/>
          <w:i/>
          <w:color w:val="000080"/>
          <w:sz w:val="22"/>
        </w:rPr>
      </w:pPr>
    </w:p>
    <w:p w:rsidR="004F40E8" w:rsidRPr="004F40E8" w:rsidRDefault="004F40E8" w:rsidP="004F40E8">
      <w:pPr>
        <w:contextualSpacing/>
        <w:rPr>
          <w:rFonts w:ascii="Arial Narrow" w:hAnsi="Arial Narrow"/>
          <w:b/>
          <w:bCs/>
          <w:color w:val="000080"/>
          <w:szCs w:val="22"/>
        </w:rPr>
      </w:pPr>
    </w:p>
    <w:p w:rsidR="004F40E8" w:rsidRPr="004F40E8" w:rsidRDefault="004F40E8" w:rsidP="004F40E8">
      <w:pPr>
        <w:contextualSpacing/>
        <w:rPr>
          <w:rFonts w:ascii="Arial Narrow" w:hAnsi="Arial Narrow"/>
          <w:b/>
          <w:i/>
          <w:color w:val="000080"/>
          <w:sz w:val="22"/>
        </w:rPr>
      </w:pPr>
      <w:r w:rsidRPr="004F40E8">
        <w:rPr>
          <w:rFonts w:ascii="Arial Narrow" w:hAnsi="Arial Narrow"/>
          <w:b/>
          <w:i/>
          <w:color w:val="000080"/>
          <w:sz w:val="22"/>
        </w:rPr>
        <w:t>Μη φορολογικά έσοδα</w:t>
      </w:r>
    </w:p>
    <w:p w:rsidR="004F40E8" w:rsidRPr="004F40E8" w:rsidRDefault="004F40E8" w:rsidP="004F40E8">
      <w:pPr>
        <w:contextualSpacing/>
        <w:jc w:val="both"/>
        <w:rPr>
          <w:sz w:val="22"/>
        </w:rPr>
      </w:pPr>
    </w:p>
    <w:p w:rsidR="004F40E8" w:rsidRPr="004F40E8" w:rsidRDefault="004F40E8" w:rsidP="004F40E8">
      <w:pPr>
        <w:ind w:right="67"/>
        <w:contextualSpacing/>
        <w:jc w:val="both"/>
        <w:rPr>
          <w:szCs w:val="22"/>
        </w:rPr>
      </w:pPr>
      <w:r w:rsidRPr="004F40E8">
        <w:rPr>
          <w:szCs w:val="22"/>
        </w:rPr>
        <w:t>Τα μη φορολογικά έσοδα εκτιμάται ότι θα διαμορφωθούν στα 4.238 εκατ. ευρώ, εμφανίζο</w:t>
      </w:r>
      <w:r w:rsidRPr="004F40E8">
        <w:rPr>
          <w:szCs w:val="22"/>
        </w:rPr>
        <w:t>ν</w:t>
      </w:r>
      <w:r w:rsidRPr="004F40E8">
        <w:rPr>
          <w:szCs w:val="22"/>
        </w:rPr>
        <w:t>τας αύξηση κατά 259 εκατ. ευρώ ή 6,5% έναντι του στόχου του ΜΠΔΣ 2018-2021. Η αύξ</w:t>
      </w:r>
      <w:r w:rsidRPr="004F40E8">
        <w:rPr>
          <w:szCs w:val="22"/>
        </w:rPr>
        <w:t>η</w:t>
      </w:r>
      <w:r w:rsidRPr="004F40E8">
        <w:rPr>
          <w:szCs w:val="22"/>
        </w:rPr>
        <w:t>ση αυτή οφείλεται, κυρίως, στους εξής παράγοντες:</w:t>
      </w:r>
    </w:p>
    <w:p w:rsidR="004F40E8" w:rsidRPr="004F40E8" w:rsidRDefault="004F40E8" w:rsidP="004F40E8">
      <w:pPr>
        <w:ind w:right="67"/>
        <w:contextualSpacing/>
        <w:jc w:val="both"/>
        <w:rPr>
          <w:szCs w:val="22"/>
        </w:rPr>
      </w:pPr>
    </w:p>
    <w:p w:rsidR="004F40E8" w:rsidRPr="004F40E8" w:rsidRDefault="004F40E8" w:rsidP="00C42D86">
      <w:pPr>
        <w:numPr>
          <w:ilvl w:val="0"/>
          <w:numId w:val="9"/>
        </w:numPr>
        <w:ind w:left="284" w:right="67" w:hanging="284"/>
        <w:contextualSpacing/>
        <w:jc w:val="both"/>
        <w:rPr>
          <w:szCs w:val="22"/>
        </w:rPr>
      </w:pPr>
      <w:r w:rsidRPr="004F40E8">
        <w:rPr>
          <w:szCs w:val="22"/>
        </w:rPr>
        <w:t>στα αυξημένα, κατά 115 εκατ. ευρώ, έσοδα από μερίσματα λόγω της συμμετοχής του Δ</w:t>
      </w:r>
      <w:r w:rsidRPr="004F40E8">
        <w:rPr>
          <w:szCs w:val="22"/>
        </w:rPr>
        <w:t>η</w:t>
      </w:r>
      <w:r w:rsidRPr="004F40E8">
        <w:rPr>
          <w:szCs w:val="22"/>
        </w:rPr>
        <w:t>μοσίου στα κέρδη Δημοσίων Επιχειρήσεων και Οργανισμών,</w:t>
      </w:r>
    </w:p>
    <w:p w:rsidR="004F40E8" w:rsidRPr="004F40E8" w:rsidRDefault="004F40E8" w:rsidP="00C42D86">
      <w:pPr>
        <w:numPr>
          <w:ilvl w:val="0"/>
          <w:numId w:val="9"/>
        </w:numPr>
        <w:ind w:left="284" w:right="67" w:hanging="284"/>
        <w:contextualSpacing/>
        <w:jc w:val="both"/>
        <w:rPr>
          <w:szCs w:val="22"/>
        </w:rPr>
      </w:pPr>
      <w:r w:rsidRPr="004F40E8">
        <w:rPr>
          <w:szCs w:val="22"/>
        </w:rPr>
        <w:t>στα αυξημένα, κατά 108 εκατ. ευρώ, έσοδα από την είσπραξη φόρων με ταυτότητα οφε</w:t>
      </w:r>
      <w:r w:rsidRPr="004F40E8">
        <w:rPr>
          <w:szCs w:val="22"/>
        </w:rPr>
        <w:t>ι</w:t>
      </w:r>
      <w:r w:rsidRPr="004F40E8">
        <w:rPr>
          <w:szCs w:val="22"/>
        </w:rPr>
        <w:t>λής, μέσω πιστωτικών ιδρυμάτων, που καταχωρούνται προσωρινά σε μη φορολογικό κ</w:t>
      </w:r>
      <w:r w:rsidRPr="004F40E8">
        <w:rPr>
          <w:szCs w:val="22"/>
        </w:rPr>
        <w:t>ω</w:t>
      </w:r>
      <w:r w:rsidRPr="004F40E8">
        <w:rPr>
          <w:szCs w:val="22"/>
        </w:rPr>
        <w:t>δικό εσόδου.</w:t>
      </w:r>
    </w:p>
    <w:p w:rsidR="004F40E8" w:rsidRPr="004F40E8" w:rsidRDefault="004F40E8" w:rsidP="004F40E8">
      <w:pPr>
        <w:ind w:left="720" w:hanging="720"/>
        <w:contextualSpacing/>
        <w:rPr>
          <w:rFonts w:ascii="Arial Narrow" w:hAnsi="Arial Narrow"/>
          <w:b/>
          <w:i/>
          <w:color w:val="000080"/>
          <w:sz w:val="22"/>
        </w:rPr>
      </w:pPr>
    </w:p>
    <w:p w:rsidR="004F40E8" w:rsidRPr="004F40E8" w:rsidRDefault="004F40E8" w:rsidP="004F40E8">
      <w:pPr>
        <w:contextualSpacing/>
        <w:rPr>
          <w:rFonts w:ascii="Arial Narrow" w:hAnsi="Arial Narrow"/>
          <w:b/>
          <w:i/>
          <w:color w:val="000080"/>
          <w:sz w:val="22"/>
        </w:rPr>
      </w:pPr>
      <w:r w:rsidRPr="004F40E8">
        <w:rPr>
          <w:rFonts w:ascii="Arial Narrow" w:hAnsi="Arial Narrow"/>
          <w:b/>
          <w:i/>
          <w:color w:val="000080"/>
          <w:sz w:val="22"/>
        </w:rPr>
        <w:t xml:space="preserve">Μη τακτικά έσοδα </w:t>
      </w:r>
    </w:p>
    <w:p w:rsidR="004F40E8" w:rsidRPr="004F40E8" w:rsidRDefault="004F40E8" w:rsidP="004F40E8">
      <w:pPr>
        <w:contextualSpacing/>
        <w:jc w:val="both"/>
      </w:pPr>
    </w:p>
    <w:p w:rsidR="004F40E8" w:rsidRPr="004F40E8" w:rsidRDefault="004F40E8" w:rsidP="004F40E8">
      <w:pPr>
        <w:ind w:right="67"/>
        <w:contextualSpacing/>
        <w:jc w:val="both"/>
        <w:rPr>
          <w:szCs w:val="22"/>
        </w:rPr>
      </w:pPr>
      <w:r w:rsidRPr="004F40E8">
        <w:rPr>
          <w:szCs w:val="22"/>
        </w:rPr>
        <w:t>Τα μη τακτικά έσοδα εκτιμάται ότι θα διαμορφωθούν στο ποσό των 357 εκατ. ευρώ, παρο</w:t>
      </w:r>
      <w:r w:rsidRPr="004F40E8">
        <w:rPr>
          <w:szCs w:val="22"/>
        </w:rPr>
        <w:t>υ</w:t>
      </w:r>
      <w:r w:rsidRPr="004F40E8">
        <w:rPr>
          <w:szCs w:val="22"/>
        </w:rPr>
        <w:t>σιάζοντας αύξηση κατά 51 εκατ. ευρώ ή 16,6% έναντι του στόχου του ΜΠΔΣ 2018-2021, η οποία οφείλεται κυρίως στην αύξηση των εσόδων από:</w:t>
      </w:r>
    </w:p>
    <w:p w:rsidR="004F40E8" w:rsidRPr="004F40E8" w:rsidRDefault="004F40E8" w:rsidP="004F40E8">
      <w:pPr>
        <w:ind w:right="67"/>
        <w:contextualSpacing/>
        <w:jc w:val="both"/>
        <w:rPr>
          <w:szCs w:val="22"/>
        </w:rPr>
      </w:pPr>
    </w:p>
    <w:p w:rsidR="004F40E8" w:rsidRPr="004F40E8" w:rsidRDefault="004F40E8" w:rsidP="00C42D86">
      <w:pPr>
        <w:numPr>
          <w:ilvl w:val="0"/>
          <w:numId w:val="13"/>
        </w:numPr>
        <w:ind w:left="284" w:right="67" w:hanging="284"/>
        <w:contextualSpacing/>
        <w:jc w:val="both"/>
        <w:rPr>
          <w:szCs w:val="22"/>
        </w:rPr>
      </w:pPr>
      <w:r w:rsidRPr="004F40E8">
        <w:rPr>
          <w:szCs w:val="22"/>
        </w:rPr>
        <w:t>τους καταργηθέντες ειδικούς λογαριασμούς, κατά 31 εκατ. ευρώ και</w:t>
      </w:r>
    </w:p>
    <w:p w:rsidR="004F40E8" w:rsidRPr="004F40E8" w:rsidRDefault="004F40E8" w:rsidP="00C42D86">
      <w:pPr>
        <w:numPr>
          <w:ilvl w:val="0"/>
          <w:numId w:val="13"/>
        </w:numPr>
        <w:ind w:left="284" w:right="67" w:hanging="284"/>
        <w:contextualSpacing/>
        <w:jc w:val="both"/>
        <w:rPr>
          <w:szCs w:val="22"/>
        </w:rPr>
      </w:pPr>
      <w:r w:rsidRPr="004F40E8">
        <w:rPr>
          <w:szCs w:val="22"/>
        </w:rPr>
        <w:t xml:space="preserve">τα πιστωτικά ιδρύματα στο πλαίσιο του προγράμματος ενίσχυσης της ρευστότητας λόγω της χρηματοπιστωτικής κρίσης, κατά 12 εκατ. ευρώ. </w:t>
      </w:r>
    </w:p>
    <w:p w:rsidR="004F40E8" w:rsidRPr="004F40E8" w:rsidRDefault="004F40E8" w:rsidP="004F40E8">
      <w:pPr>
        <w:contextualSpacing/>
        <w:jc w:val="both"/>
        <w:rPr>
          <w:szCs w:val="22"/>
        </w:rPr>
      </w:pPr>
    </w:p>
    <w:p w:rsidR="004F40E8" w:rsidRPr="004F40E8" w:rsidRDefault="004F40E8" w:rsidP="004F40E8">
      <w:pPr>
        <w:contextualSpacing/>
        <w:jc w:val="both"/>
        <w:rPr>
          <w:rFonts w:ascii="Arial Narrow" w:hAnsi="Arial Narrow"/>
          <w:b/>
          <w:i/>
          <w:color w:val="000080"/>
          <w:sz w:val="22"/>
        </w:rPr>
      </w:pPr>
      <w:r w:rsidRPr="004F40E8">
        <w:rPr>
          <w:rFonts w:ascii="Arial Narrow" w:hAnsi="Arial Narrow"/>
          <w:b/>
          <w:i/>
          <w:color w:val="000080"/>
          <w:sz w:val="22"/>
        </w:rPr>
        <w:t xml:space="preserve">Μεταφορά </w:t>
      </w:r>
      <w:proofErr w:type="spellStart"/>
      <w:r w:rsidRPr="004F40E8">
        <w:rPr>
          <w:rFonts w:ascii="Arial Narrow" w:hAnsi="Arial Narrow"/>
          <w:b/>
          <w:i/>
          <w:color w:val="000080"/>
          <w:sz w:val="22"/>
        </w:rPr>
        <w:t>απoδόσεων</w:t>
      </w:r>
      <w:proofErr w:type="spellEnd"/>
      <w:r w:rsidRPr="004F40E8">
        <w:rPr>
          <w:rFonts w:ascii="Arial Narrow" w:hAnsi="Arial Narrow"/>
          <w:b/>
          <w:i/>
          <w:color w:val="000080"/>
          <w:sz w:val="22"/>
        </w:rPr>
        <w:t xml:space="preserve"> από τη </w:t>
      </w:r>
      <w:proofErr w:type="spellStart"/>
      <w:r w:rsidRPr="004F40E8">
        <w:rPr>
          <w:rFonts w:ascii="Arial Narrow" w:hAnsi="Arial Narrow"/>
          <w:b/>
          <w:i/>
          <w:color w:val="000080"/>
          <w:sz w:val="22"/>
        </w:rPr>
        <w:t>διακράτηση</w:t>
      </w:r>
      <w:proofErr w:type="spellEnd"/>
      <w:r w:rsidRPr="004F40E8">
        <w:rPr>
          <w:rFonts w:ascii="Arial Narrow" w:hAnsi="Arial Narrow"/>
          <w:b/>
          <w:i/>
          <w:color w:val="000080"/>
          <w:sz w:val="22"/>
        </w:rPr>
        <w:t xml:space="preserve"> ομολόγων του Ελληνικού Δημοσίου στα χαρτοφυλάκια Κε</w:t>
      </w:r>
      <w:r w:rsidRPr="004F40E8">
        <w:rPr>
          <w:rFonts w:ascii="Arial Narrow" w:hAnsi="Arial Narrow"/>
          <w:b/>
          <w:i/>
          <w:color w:val="000080"/>
          <w:sz w:val="22"/>
        </w:rPr>
        <w:t>ν</w:t>
      </w:r>
      <w:r w:rsidRPr="004F40E8">
        <w:rPr>
          <w:rFonts w:ascii="Arial Narrow" w:hAnsi="Arial Narrow"/>
          <w:b/>
          <w:i/>
          <w:color w:val="000080"/>
          <w:sz w:val="22"/>
        </w:rPr>
        <w:t xml:space="preserve">τρικών Τραπεζών του </w:t>
      </w:r>
      <w:proofErr w:type="spellStart"/>
      <w:r w:rsidRPr="004F40E8">
        <w:rPr>
          <w:rFonts w:ascii="Arial Narrow" w:hAnsi="Arial Narrow"/>
          <w:b/>
          <w:i/>
          <w:color w:val="000080"/>
          <w:sz w:val="22"/>
        </w:rPr>
        <w:t>Ευρωσυστήματος</w:t>
      </w:r>
      <w:proofErr w:type="spellEnd"/>
      <w:r w:rsidRPr="004F40E8">
        <w:rPr>
          <w:rFonts w:ascii="Arial Narrow" w:hAnsi="Arial Narrow"/>
          <w:b/>
          <w:i/>
          <w:color w:val="000080"/>
          <w:sz w:val="22"/>
        </w:rPr>
        <w:t xml:space="preserve"> (</w:t>
      </w:r>
      <w:r w:rsidRPr="004F40E8">
        <w:rPr>
          <w:rFonts w:ascii="Arial Narrow" w:hAnsi="Arial Narrow"/>
          <w:b/>
          <w:i/>
          <w:color w:val="000080"/>
          <w:sz w:val="22"/>
          <w:lang w:val="en-US"/>
        </w:rPr>
        <w:t>ANFA</w:t>
      </w:r>
      <w:r w:rsidRPr="004F40E8">
        <w:rPr>
          <w:rFonts w:ascii="Arial Narrow" w:hAnsi="Arial Narrow"/>
          <w:b/>
          <w:i/>
          <w:color w:val="000080"/>
          <w:sz w:val="22"/>
        </w:rPr>
        <w:t>)</w:t>
      </w:r>
    </w:p>
    <w:p w:rsidR="004F40E8" w:rsidRPr="004F40E8" w:rsidRDefault="004F40E8" w:rsidP="004F40E8">
      <w:pPr>
        <w:contextualSpacing/>
        <w:jc w:val="both"/>
        <w:rPr>
          <w:sz w:val="22"/>
        </w:rPr>
      </w:pPr>
    </w:p>
    <w:p w:rsidR="004F40E8" w:rsidRPr="004F40E8" w:rsidRDefault="004F40E8" w:rsidP="004F40E8">
      <w:pPr>
        <w:ind w:right="67"/>
        <w:contextualSpacing/>
        <w:jc w:val="both"/>
        <w:rPr>
          <w:szCs w:val="22"/>
        </w:rPr>
      </w:pPr>
      <w:r w:rsidRPr="004F40E8">
        <w:rPr>
          <w:szCs w:val="22"/>
        </w:rPr>
        <w:t xml:space="preserve">Από τη μεταφορά αποδόσεων λόγω της </w:t>
      </w:r>
      <w:proofErr w:type="spellStart"/>
      <w:r w:rsidRPr="004F40E8">
        <w:rPr>
          <w:szCs w:val="22"/>
        </w:rPr>
        <w:t>διακράτησης</w:t>
      </w:r>
      <w:proofErr w:type="spellEnd"/>
      <w:r w:rsidRPr="004F40E8">
        <w:rPr>
          <w:szCs w:val="22"/>
        </w:rPr>
        <w:t xml:space="preserve"> ομολόγων του Ελληνικού Δημοσίου στα χαρτοφυλάκια των Κεντρικών Τραπεζών του </w:t>
      </w:r>
      <w:proofErr w:type="spellStart"/>
      <w:r w:rsidRPr="004F40E8">
        <w:rPr>
          <w:szCs w:val="22"/>
        </w:rPr>
        <w:t>Ευρωσυστήματος</w:t>
      </w:r>
      <w:proofErr w:type="spellEnd"/>
      <w:r w:rsidRPr="004F40E8">
        <w:rPr>
          <w:szCs w:val="22"/>
        </w:rPr>
        <w:t xml:space="preserve"> (</w:t>
      </w:r>
      <w:proofErr w:type="spellStart"/>
      <w:r w:rsidRPr="004F40E8">
        <w:rPr>
          <w:szCs w:val="22"/>
        </w:rPr>
        <w:t>ANFAs</w:t>
      </w:r>
      <w:proofErr w:type="spellEnd"/>
      <w:r w:rsidRPr="004F40E8">
        <w:rPr>
          <w:szCs w:val="22"/>
        </w:rPr>
        <w:t>), καθώς και από το Πρόγραμμα Αγοράς Ομολόγων (</w:t>
      </w:r>
      <w:proofErr w:type="spellStart"/>
      <w:r w:rsidRPr="004F40E8">
        <w:rPr>
          <w:szCs w:val="22"/>
        </w:rPr>
        <w:t>SMPs</w:t>
      </w:r>
      <w:proofErr w:type="spellEnd"/>
      <w:r w:rsidRPr="004F40E8">
        <w:rPr>
          <w:szCs w:val="22"/>
        </w:rPr>
        <w:t>), της Ευρωπαϊκής Κεντρικής Τράπεζας (ΕΚΤ), προβλέπονται έσοδα ύψους 345 εκατ. ευρώ. Σημειώνεται ότι τα έσοδα αυτά κατατ</w:t>
      </w:r>
      <w:r w:rsidRPr="004F40E8">
        <w:rPr>
          <w:szCs w:val="22"/>
        </w:rPr>
        <w:t>ί</w:t>
      </w:r>
      <w:r w:rsidRPr="004F40E8">
        <w:rPr>
          <w:szCs w:val="22"/>
        </w:rPr>
        <w:lastRenderedPageBreak/>
        <w:t>θενται απευθείας στον ειδικό λογαριασμό εξυπηρέτησης του δημόσιου χρέους (</w:t>
      </w:r>
      <w:proofErr w:type="spellStart"/>
      <w:r w:rsidRPr="004F40E8">
        <w:rPr>
          <w:szCs w:val="22"/>
        </w:rPr>
        <w:t>Segregated</w:t>
      </w:r>
      <w:proofErr w:type="spellEnd"/>
      <w:r w:rsidRPr="004F40E8">
        <w:rPr>
          <w:szCs w:val="22"/>
        </w:rPr>
        <w:t xml:space="preserve"> </w:t>
      </w:r>
      <w:r w:rsidRPr="004F40E8">
        <w:rPr>
          <w:szCs w:val="22"/>
          <w:lang w:val="en-US"/>
        </w:rPr>
        <w:t>A</w:t>
      </w:r>
      <w:proofErr w:type="spellStart"/>
      <w:r w:rsidRPr="004F40E8">
        <w:rPr>
          <w:szCs w:val="22"/>
        </w:rPr>
        <w:t>ccount</w:t>
      </w:r>
      <w:proofErr w:type="spellEnd"/>
      <w:r w:rsidRPr="004F40E8">
        <w:rPr>
          <w:szCs w:val="22"/>
        </w:rPr>
        <w:t>) και δεν υπολογίζονται στο αποτέλεσμα της Γενικής Κυβέρνησης, σύμφωνα με τους όρους της Σύμβασης Οικονομικής Συμφωνίας.</w:t>
      </w:r>
    </w:p>
    <w:p w:rsidR="004F40E8" w:rsidRPr="004F40E8" w:rsidRDefault="004F40E8" w:rsidP="004F40E8">
      <w:pPr>
        <w:contextualSpacing/>
        <w:rPr>
          <w:rFonts w:ascii="Arial Narrow" w:hAnsi="Arial Narrow"/>
          <w:b/>
          <w:i/>
          <w:color w:val="000080"/>
          <w:sz w:val="22"/>
        </w:rPr>
      </w:pPr>
    </w:p>
    <w:p w:rsidR="004F40E8" w:rsidRPr="004F40E8" w:rsidRDefault="004F40E8" w:rsidP="004F40E8">
      <w:pPr>
        <w:contextualSpacing/>
        <w:rPr>
          <w:rFonts w:ascii="Arial Narrow" w:hAnsi="Arial Narrow"/>
          <w:b/>
          <w:i/>
          <w:color w:val="000080"/>
          <w:sz w:val="22"/>
        </w:rPr>
      </w:pPr>
      <w:r w:rsidRPr="004F40E8">
        <w:rPr>
          <w:rFonts w:ascii="Arial Narrow" w:hAnsi="Arial Narrow"/>
          <w:b/>
          <w:i/>
          <w:color w:val="000080"/>
          <w:sz w:val="22"/>
        </w:rPr>
        <w:t xml:space="preserve">Επιστροφές </w:t>
      </w:r>
      <w:proofErr w:type="spellStart"/>
      <w:r w:rsidRPr="004F40E8">
        <w:rPr>
          <w:rFonts w:ascii="Arial Narrow" w:hAnsi="Arial Narrow"/>
          <w:b/>
          <w:i/>
          <w:color w:val="000080"/>
          <w:sz w:val="22"/>
        </w:rPr>
        <w:t>αχρεωστήτως</w:t>
      </w:r>
      <w:proofErr w:type="spellEnd"/>
      <w:r w:rsidRPr="004F40E8">
        <w:rPr>
          <w:rFonts w:ascii="Arial Narrow" w:hAnsi="Arial Narrow"/>
          <w:b/>
          <w:i/>
          <w:color w:val="000080"/>
          <w:sz w:val="22"/>
        </w:rPr>
        <w:t xml:space="preserve"> εισπραχθέντων εσόδων</w:t>
      </w:r>
    </w:p>
    <w:p w:rsidR="004F40E8" w:rsidRPr="004F40E8" w:rsidRDefault="004F40E8" w:rsidP="004F40E8">
      <w:pPr>
        <w:contextualSpacing/>
        <w:jc w:val="both"/>
        <w:rPr>
          <w:szCs w:val="22"/>
        </w:rPr>
      </w:pPr>
    </w:p>
    <w:p w:rsidR="004F40E8" w:rsidRPr="004F40E8" w:rsidRDefault="004F40E8" w:rsidP="004F40E8">
      <w:pPr>
        <w:ind w:right="67"/>
        <w:contextualSpacing/>
        <w:jc w:val="both"/>
        <w:rPr>
          <w:szCs w:val="22"/>
        </w:rPr>
      </w:pPr>
      <w:r w:rsidRPr="004F40E8">
        <w:rPr>
          <w:szCs w:val="22"/>
        </w:rPr>
        <w:t xml:space="preserve">Οι ταμειακές επιστροφές </w:t>
      </w:r>
      <w:proofErr w:type="spellStart"/>
      <w:r w:rsidRPr="004F40E8">
        <w:rPr>
          <w:szCs w:val="22"/>
        </w:rPr>
        <w:t>αχρεωστήτως</w:t>
      </w:r>
      <w:proofErr w:type="spellEnd"/>
      <w:r w:rsidRPr="004F40E8">
        <w:rPr>
          <w:szCs w:val="22"/>
        </w:rPr>
        <w:t xml:space="preserve"> εισπραχθέντων εσόδων αναμένεται να διαμορφωθ</w:t>
      </w:r>
      <w:r w:rsidRPr="004F40E8">
        <w:rPr>
          <w:szCs w:val="22"/>
        </w:rPr>
        <w:t>ο</w:t>
      </w:r>
      <w:r w:rsidRPr="004F40E8">
        <w:rPr>
          <w:szCs w:val="22"/>
        </w:rPr>
        <w:t>ύν στα 4.686 εκατ. ευρώ, αυξημένες κατά 1.362 εκατ. ευρώ ή 41% έναντι των προβλέψεων του ΜΠΔΣ 2018-2021. Ωστόσο σε δημοσιονομική βάση η υπέρβαση θα περιοριστεί στο π</w:t>
      </w:r>
      <w:r w:rsidRPr="004F40E8">
        <w:rPr>
          <w:szCs w:val="22"/>
        </w:rPr>
        <w:t>ο</w:t>
      </w:r>
      <w:r w:rsidRPr="004F40E8">
        <w:rPr>
          <w:szCs w:val="22"/>
        </w:rPr>
        <w:t>σό των 406 εκατ. ευρώ, εκ των οποίων ποσό ύψους 296 εκατ. ευρώ αφορά την επιστροφή φόρου για την παραχώρηση των περιφερειακών αεροδρομίων, το οποίο έχει εμφανιστεί στα έσοδα από ΦΠΑ, όπως προαναφέρθηκε.</w:t>
      </w:r>
    </w:p>
    <w:p w:rsidR="004F40E8" w:rsidRPr="004F40E8" w:rsidRDefault="004F40E8" w:rsidP="004F40E8">
      <w:pPr>
        <w:ind w:right="67"/>
        <w:contextualSpacing/>
        <w:jc w:val="both"/>
        <w:rPr>
          <w:szCs w:val="22"/>
        </w:rPr>
      </w:pPr>
    </w:p>
    <w:p w:rsidR="004F40E8" w:rsidRPr="004F40E8" w:rsidRDefault="004F40E8" w:rsidP="004F40E8">
      <w:pPr>
        <w:contextualSpacing/>
        <w:rPr>
          <w:rFonts w:ascii="Arial Narrow" w:hAnsi="Arial Narrow"/>
          <w:b/>
          <w:i/>
          <w:color w:val="000080"/>
          <w:sz w:val="22"/>
        </w:rPr>
      </w:pPr>
      <w:r w:rsidRPr="004F40E8">
        <w:rPr>
          <w:rFonts w:ascii="Arial Narrow" w:hAnsi="Arial Narrow"/>
          <w:b/>
          <w:i/>
          <w:color w:val="000080"/>
          <w:sz w:val="22"/>
        </w:rPr>
        <w:t>Έσοδα ΠΔΕ</w:t>
      </w:r>
    </w:p>
    <w:p w:rsidR="004F40E8" w:rsidRPr="004F40E8" w:rsidRDefault="004F40E8" w:rsidP="004F40E8">
      <w:pPr>
        <w:ind w:right="67"/>
        <w:contextualSpacing/>
        <w:jc w:val="both"/>
        <w:rPr>
          <w:szCs w:val="22"/>
        </w:rPr>
      </w:pPr>
    </w:p>
    <w:p w:rsidR="004F40E8" w:rsidRPr="004F40E8" w:rsidRDefault="004F40E8" w:rsidP="004F40E8">
      <w:pPr>
        <w:contextualSpacing/>
        <w:jc w:val="both"/>
      </w:pPr>
      <w:r w:rsidRPr="004F40E8">
        <w:t>Τα έσοδα του ΠΔΕ, σε ταμειακή βάση, εκτιμάται ότι θα φθάσουν στα 3.427 εκατ. ευρώ, με</w:t>
      </w:r>
      <w:r w:rsidRPr="004F40E8">
        <w:t>ι</w:t>
      </w:r>
      <w:r w:rsidRPr="004F40E8">
        <w:t>ωμένα κατά 190 εκατ. ευρώ ή 5,3% σε σχέση με το στόχο του ΜΠΔΣ 2018-2021. Ωστόσο, σε δεδουλευμένη βάση τα έσοδα θα διαμορφωθούν στα 3.500 εκατ. ευρώ, χωρίς να παρουσιάζ</w:t>
      </w:r>
      <w:r w:rsidRPr="004F40E8">
        <w:t>ο</w:t>
      </w:r>
      <w:r w:rsidRPr="004F40E8">
        <w:t>υν απόκλιση έναντι του στόχου.</w:t>
      </w:r>
    </w:p>
    <w:p w:rsidR="004F40E8" w:rsidRPr="004F40E8" w:rsidRDefault="004F40E8" w:rsidP="004F40E8">
      <w:pPr>
        <w:contextualSpacing/>
        <w:jc w:val="both"/>
        <w:rPr>
          <w:dstrike/>
          <w:szCs w:val="22"/>
        </w:rPr>
      </w:pPr>
    </w:p>
    <w:p w:rsidR="004F40E8" w:rsidRPr="004F40E8" w:rsidRDefault="004F40E8" w:rsidP="004F40E8">
      <w:pPr>
        <w:contextualSpacing/>
        <w:jc w:val="both"/>
        <w:rPr>
          <w:rFonts w:ascii="Arial Narrow" w:hAnsi="Arial Narrow"/>
          <w:b/>
          <w:bCs/>
          <w:color w:val="000080"/>
          <w:szCs w:val="22"/>
        </w:rPr>
      </w:pPr>
      <w:r w:rsidRPr="004F40E8">
        <w:rPr>
          <w:rFonts w:ascii="Arial Narrow" w:hAnsi="Arial Narrow"/>
          <w:b/>
          <w:bCs/>
          <w:color w:val="000080"/>
          <w:szCs w:val="22"/>
        </w:rPr>
        <w:t>Δαπάνες</w:t>
      </w:r>
    </w:p>
    <w:p w:rsidR="004F40E8" w:rsidRPr="004F40E8" w:rsidRDefault="004F40E8" w:rsidP="004F40E8">
      <w:pPr>
        <w:jc w:val="both"/>
        <w:rPr>
          <w:bCs/>
          <w:szCs w:val="22"/>
        </w:rPr>
      </w:pPr>
    </w:p>
    <w:p w:rsidR="004F40E8" w:rsidRPr="004F40E8" w:rsidRDefault="004F40E8" w:rsidP="004F40E8">
      <w:pPr>
        <w:jc w:val="both"/>
        <w:rPr>
          <w:bCs/>
          <w:szCs w:val="22"/>
        </w:rPr>
      </w:pPr>
      <w:r w:rsidRPr="004F40E8">
        <w:rPr>
          <w:bCs/>
          <w:szCs w:val="22"/>
        </w:rPr>
        <w:t>Οι συνολικές δαπάνες του Τακτικού Προϋπολογισμού για το έτος 2017 εκτιμάται ότι θα δι</w:t>
      </w:r>
      <w:r w:rsidRPr="004F40E8">
        <w:rPr>
          <w:bCs/>
          <w:szCs w:val="22"/>
        </w:rPr>
        <w:t>α</w:t>
      </w:r>
      <w:r w:rsidRPr="004F40E8">
        <w:rPr>
          <w:bCs/>
          <w:szCs w:val="22"/>
        </w:rPr>
        <w:t>μορφωθούν (σε ταμειακή βάση) στα 49.251 εκατ. ευρώ, μειωμένες κατά 593 εκατ. ευρώ σε σχέση με το στόχο του ΜΠΔΣ 2018-2021 και κατά 1.432 εκατ. ευρώ σε σχέση με το 2016, εάν δεν ληφθούν υπόψη οι δαπάνες για την υλοποίηση του προγράμματος εξόφλησης ληξι</w:t>
      </w:r>
      <w:r w:rsidRPr="004F40E8">
        <w:rPr>
          <w:bCs/>
          <w:szCs w:val="22"/>
        </w:rPr>
        <w:t>π</w:t>
      </w:r>
      <w:r w:rsidRPr="004F40E8">
        <w:rPr>
          <w:bCs/>
          <w:szCs w:val="22"/>
        </w:rPr>
        <w:t>ρόθεσμων υποχρεώσεων του 2016, ύψους 2.824 εκατ. ευρώ.</w:t>
      </w:r>
    </w:p>
    <w:p w:rsidR="004F40E8" w:rsidRPr="004F40E8" w:rsidRDefault="004F40E8" w:rsidP="004F40E8">
      <w:pPr>
        <w:jc w:val="both"/>
        <w:rPr>
          <w:bCs/>
          <w:szCs w:val="22"/>
        </w:rPr>
      </w:pPr>
    </w:p>
    <w:p w:rsidR="004F40E8" w:rsidRPr="004F40E8" w:rsidRDefault="004F40E8" w:rsidP="004F40E8">
      <w:pPr>
        <w:jc w:val="both"/>
        <w:rPr>
          <w:bCs/>
          <w:szCs w:val="22"/>
        </w:rPr>
      </w:pPr>
      <w:r w:rsidRPr="004F40E8">
        <w:rPr>
          <w:bCs/>
          <w:szCs w:val="22"/>
        </w:rPr>
        <w:t>Οι πρωτογενείς δαπάνες του Τακτικού Προϋπολογισμού εκτιμάται ότι θα διαμορφωθούν στα 43.601 εκατ. ευρώ, μειωμένες επίσης κατά 593 εκατ. ευρώ έναντι του στόχου του ΜΠΔΣ 2018-2021.</w:t>
      </w:r>
    </w:p>
    <w:p w:rsidR="004F40E8" w:rsidRPr="004F40E8" w:rsidRDefault="004F40E8" w:rsidP="004F40E8">
      <w:pPr>
        <w:jc w:val="both"/>
        <w:rPr>
          <w:bCs/>
          <w:szCs w:val="22"/>
        </w:rPr>
      </w:pPr>
    </w:p>
    <w:p w:rsidR="004F40E8" w:rsidRPr="004F40E8" w:rsidRDefault="004F40E8" w:rsidP="004F40E8">
      <w:pPr>
        <w:jc w:val="both"/>
        <w:rPr>
          <w:rFonts w:ascii="Arial Narrow" w:hAnsi="Arial Narrow"/>
          <w:b/>
          <w:bCs/>
          <w:i/>
          <w:color w:val="000080"/>
          <w:sz w:val="22"/>
          <w:szCs w:val="22"/>
        </w:rPr>
      </w:pPr>
      <w:r w:rsidRPr="004F40E8">
        <w:rPr>
          <w:rFonts w:ascii="Arial Narrow" w:hAnsi="Arial Narrow"/>
          <w:b/>
          <w:bCs/>
          <w:i/>
          <w:color w:val="000080"/>
          <w:sz w:val="22"/>
          <w:szCs w:val="22"/>
        </w:rPr>
        <w:t>Ανάλυση δαπανών κατά κατηγορίες</w:t>
      </w:r>
    </w:p>
    <w:p w:rsidR="004F40E8" w:rsidRPr="004F40E8" w:rsidRDefault="004F40E8" w:rsidP="004F40E8">
      <w:pPr>
        <w:jc w:val="both"/>
        <w:rPr>
          <w:bCs/>
          <w:szCs w:val="22"/>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Μισθοί και συντάξεις</w:t>
      </w:r>
    </w:p>
    <w:p w:rsidR="004F40E8" w:rsidRPr="004F40E8" w:rsidRDefault="004F40E8" w:rsidP="004F40E8">
      <w:pPr>
        <w:contextualSpacing/>
        <w:jc w:val="both"/>
      </w:pPr>
    </w:p>
    <w:p w:rsidR="004F40E8" w:rsidRPr="004F40E8" w:rsidRDefault="004F40E8" w:rsidP="004F40E8">
      <w:pPr>
        <w:contextualSpacing/>
        <w:jc w:val="both"/>
      </w:pPr>
      <w:r w:rsidRPr="004F40E8">
        <w:t>Οι δαπάνες για μισθούς και συντάξεις εκτιμάται ότι θα διαμορφωθούν σε 12.393 εκατ. ευρώ, αυξημένες κατά 27 εκατ. ευρώ έναντι του στόχου του ΜΠΔΣ 2018-2021, κυρίως λόγω της αναμόρφωσης των ειδικών μισθολογίων και της μείωσης της εκτίμησης για τον αριθμό των αποχωρήσεων λόγω συνταξιοδότησης.</w:t>
      </w:r>
    </w:p>
    <w:p w:rsidR="004F40E8" w:rsidRPr="004F40E8" w:rsidRDefault="004F40E8" w:rsidP="004F40E8">
      <w:pPr>
        <w:contextualSpacing/>
        <w:jc w:val="both"/>
      </w:pPr>
    </w:p>
    <w:p w:rsidR="004F40E8" w:rsidRPr="004F40E8" w:rsidRDefault="004F40E8" w:rsidP="004F40E8">
      <w:pPr>
        <w:contextualSpacing/>
        <w:jc w:val="both"/>
        <w:rPr>
          <w:bCs/>
          <w:szCs w:val="22"/>
        </w:rPr>
      </w:pPr>
      <w:r w:rsidRPr="004F40E8">
        <w:t xml:space="preserve">Οι δαπάνες αυτές είναι μειωμένες κατά 5.672 εκατ. ευρώ </w:t>
      </w:r>
      <w:r w:rsidRPr="004F40E8">
        <w:rPr>
          <w:bCs/>
          <w:szCs w:val="22"/>
        </w:rPr>
        <w:t>σε σχέση με το 2016, κυρίως λόγω του γεγονότος ότι το σύνολο σχεδόν των συντάξεων Δημοσίου καταβάλλεται από 1/1/2017 από τον Ενιαίο Φορέα Κοινωνικής Ασφάλισης (ΕΦΚΑ), ο οποίος επιχορηγείται για τον σκ</w:t>
      </w:r>
      <w:r w:rsidRPr="004F40E8">
        <w:rPr>
          <w:bCs/>
          <w:szCs w:val="22"/>
        </w:rPr>
        <w:t>ο</w:t>
      </w:r>
      <w:r w:rsidRPr="004F40E8">
        <w:rPr>
          <w:bCs/>
          <w:szCs w:val="22"/>
        </w:rPr>
        <w:t>πό αυτό από τον κρατικό προϋπολογισμό. Η εν λόγω μείωση αντισταθμίστηκε μερικώς από την έναρξη της καταβολής από 1/1/2017 της δαπάνης για εργοδοτικές εισφορές από το κρ</w:t>
      </w:r>
      <w:r w:rsidRPr="004F40E8">
        <w:rPr>
          <w:bCs/>
          <w:szCs w:val="22"/>
        </w:rPr>
        <w:t>ά</w:t>
      </w:r>
      <w:r w:rsidRPr="004F40E8">
        <w:rPr>
          <w:bCs/>
          <w:szCs w:val="22"/>
        </w:rPr>
        <w:t>τος ως εργοδότη υπέρ του ΕΦΚΑ, για τους υπαλλήλους με σύμβαση δημοσίου δικαίου, κ</w:t>
      </w:r>
      <w:r w:rsidRPr="004F40E8">
        <w:rPr>
          <w:bCs/>
          <w:szCs w:val="22"/>
        </w:rPr>
        <w:t>α</w:t>
      </w:r>
      <w:r w:rsidRPr="004F40E8">
        <w:rPr>
          <w:bCs/>
          <w:szCs w:val="22"/>
        </w:rPr>
        <w:t>θώς και την αλλαγή του κανόνα προσλήψεων σε 1 προς 4 από 1 προς 5 που ίσχυε για το 2016.</w:t>
      </w:r>
    </w:p>
    <w:p w:rsidR="004F40E8" w:rsidRPr="004F40E8" w:rsidRDefault="004F40E8" w:rsidP="004F40E8">
      <w:pPr>
        <w:jc w:val="both"/>
        <w:rPr>
          <w:bCs/>
          <w:szCs w:val="22"/>
          <w:highlight w:val="yellow"/>
        </w:rPr>
      </w:pPr>
    </w:p>
    <w:p w:rsidR="004F40E8" w:rsidRPr="004F40E8" w:rsidRDefault="004F40E8" w:rsidP="004F40E8">
      <w:pPr>
        <w:jc w:val="both"/>
        <w:rPr>
          <w:bCs/>
          <w:szCs w:val="22"/>
          <w:highlight w:val="yellow"/>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lastRenderedPageBreak/>
        <w:t>Ασφάλιση, περίθαλψη και κοινωνική προστασία</w:t>
      </w:r>
    </w:p>
    <w:p w:rsidR="004F40E8" w:rsidRPr="004F40E8" w:rsidRDefault="004F40E8" w:rsidP="004F40E8">
      <w:pPr>
        <w:jc w:val="both"/>
        <w:rPr>
          <w:bCs/>
          <w:szCs w:val="22"/>
        </w:rPr>
      </w:pPr>
    </w:p>
    <w:p w:rsidR="004F40E8" w:rsidRPr="004F40E8" w:rsidRDefault="004F40E8" w:rsidP="004F40E8">
      <w:pPr>
        <w:jc w:val="both"/>
        <w:rPr>
          <w:bCs/>
          <w:szCs w:val="22"/>
        </w:rPr>
      </w:pPr>
      <w:r w:rsidRPr="004F40E8">
        <w:rPr>
          <w:bCs/>
          <w:szCs w:val="22"/>
        </w:rPr>
        <w:t>Οι δαπάνες της κατηγορίας αυτής εκτιμάται ότι θα διαμορφωθούν σε 20.008 εκατ. ευρώ, με</w:t>
      </w:r>
      <w:r w:rsidRPr="004F40E8">
        <w:rPr>
          <w:bCs/>
          <w:szCs w:val="22"/>
        </w:rPr>
        <w:t>ι</w:t>
      </w:r>
      <w:r w:rsidRPr="004F40E8">
        <w:rPr>
          <w:bCs/>
          <w:szCs w:val="22"/>
        </w:rPr>
        <w:t>ωμένες κατά 260 εκατ. ευρώ έναντι του στόχου, κυρίως λόγω:</w:t>
      </w:r>
    </w:p>
    <w:p w:rsidR="004F40E8" w:rsidRPr="004F40E8" w:rsidRDefault="004F40E8" w:rsidP="004F40E8">
      <w:pPr>
        <w:jc w:val="both"/>
        <w:rPr>
          <w:bCs/>
          <w:szCs w:val="22"/>
        </w:rPr>
      </w:pPr>
    </w:p>
    <w:p w:rsidR="004F40E8" w:rsidRPr="004F40E8" w:rsidRDefault="004F40E8" w:rsidP="00C42D86">
      <w:pPr>
        <w:numPr>
          <w:ilvl w:val="0"/>
          <w:numId w:val="5"/>
        </w:numPr>
        <w:jc w:val="both"/>
        <w:rPr>
          <w:bCs/>
          <w:szCs w:val="22"/>
        </w:rPr>
      </w:pPr>
      <w:r w:rsidRPr="004F40E8">
        <w:rPr>
          <w:bCs/>
          <w:szCs w:val="22"/>
        </w:rPr>
        <w:t>της χρονικής υστέρησης έναρξης, κατά δύο μήνες, του προγράμματος "Κοινωνικό Εισ</w:t>
      </w:r>
      <w:r w:rsidRPr="004F40E8">
        <w:rPr>
          <w:bCs/>
          <w:szCs w:val="22"/>
        </w:rPr>
        <w:t>ό</w:t>
      </w:r>
      <w:r w:rsidRPr="004F40E8">
        <w:rPr>
          <w:bCs/>
          <w:szCs w:val="22"/>
        </w:rPr>
        <w:t>δημα Αλληλεγγύης", με παράλληλη παράταση της πιλοτικής εφαρμογής του τους μήνες αυτούς, σε συγκεκριμένους δήμους της χώρας,</w:t>
      </w:r>
    </w:p>
    <w:p w:rsidR="004F40E8" w:rsidRPr="004F40E8" w:rsidRDefault="004F40E8" w:rsidP="00C42D86">
      <w:pPr>
        <w:numPr>
          <w:ilvl w:val="0"/>
          <w:numId w:val="5"/>
        </w:numPr>
        <w:jc w:val="both"/>
        <w:rPr>
          <w:rFonts w:ascii="Arial Narrow" w:hAnsi="Arial Narrow"/>
          <w:b/>
          <w:bCs/>
          <w:i/>
          <w:sz w:val="22"/>
          <w:szCs w:val="22"/>
        </w:rPr>
      </w:pPr>
      <w:r w:rsidRPr="004F40E8">
        <w:rPr>
          <w:bCs/>
          <w:szCs w:val="22"/>
        </w:rPr>
        <w:t>της μειωμένης εκτίμησης της συνεισφοράς του Ελληνικού Δημοσίου για την προστασία της κύριας κατοικίας των υπερχρεωμένων νοικοκυριών και</w:t>
      </w:r>
    </w:p>
    <w:p w:rsidR="004F40E8" w:rsidRPr="004F40E8" w:rsidRDefault="004F40E8" w:rsidP="00C42D86">
      <w:pPr>
        <w:numPr>
          <w:ilvl w:val="0"/>
          <w:numId w:val="5"/>
        </w:numPr>
        <w:jc w:val="both"/>
        <w:rPr>
          <w:rFonts w:ascii="Arial Narrow" w:hAnsi="Arial Narrow"/>
          <w:b/>
          <w:bCs/>
          <w:i/>
          <w:sz w:val="22"/>
          <w:szCs w:val="22"/>
        </w:rPr>
      </w:pPr>
      <w:r w:rsidRPr="004F40E8">
        <w:rPr>
          <w:bCs/>
          <w:szCs w:val="22"/>
        </w:rPr>
        <w:t>της μειωμένης επιχορήγησης στον ΕΦΚΑ, λόγω μειωμένης εκτίμησης της δαπάνης των συντάξεων των δημοσίων υπαλλήλων, η οποία οφείλεται, μεταξύ άλλων και στη συγκρ</w:t>
      </w:r>
      <w:r w:rsidRPr="004F40E8">
        <w:rPr>
          <w:bCs/>
          <w:szCs w:val="22"/>
        </w:rPr>
        <w:t>ά</w:t>
      </w:r>
      <w:r w:rsidRPr="004F40E8">
        <w:rPr>
          <w:bCs/>
          <w:szCs w:val="22"/>
        </w:rPr>
        <w:t>τηση των αποχωρήσεων προσωπικού για συνταξιοδότηση.</w:t>
      </w:r>
    </w:p>
    <w:p w:rsidR="004F40E8" w:rsidRPr="004F40E8" w:rsidRDefault="004F40E8" w:rsidP="004F40E8">
      <w:pPr>
        <w:ind w:left="348"/>
        <w:jc w:val="both"/>
        <w:rPr>
          <w:rFonts w:ascii="Arial Narrow" w:hAnsi="Arial Narrow"/>
          <w:b/>
          <w:bCs/>
          <w:i/>
          <w:sz w:val="22"/>
          <w:szCs w:val="22"/>
          <w:highlight w:val="yellow"/>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Λειτουργικές και άλλες δαπάνες (συμπεριλαμβανομένων και των επιχορηγήσεων)</w:t>
      </w:r>
    </w:p>
    <w:p w:rsidR="004F40E8" w:rsidRPr="004F40E8" w:rsidRDefault="004F40E8" w:rsidP="004F40E8">
      <w:pPr>
        <w:jc w:val="both"/>
        <w:rPr>
          <w:bCs/>
          <w:szCs w:val="22"/>
        </w:rPr>
      </w:pPr>
    </w:p>
    <w:p w:rsidR="004F40E8" w:rsidRPr="004F40E8" w:rsidRDefault="004F40E8" w:rsidP="004F40E8">
      <w:pPr>
        <w:jc w:val="both"/>
        <w:rPr>
          <w:bCs/>
          <w:szCs w:val="22"/>
        </w:rPr>
      </w:pPr>
      <w:r w:rsidRPr="004F40E8">
        <w:rPr>
          <w:bCs/>
          <w:szCs w:val="22"/>
        </w:rPr>
        <w:t>Οι δαπάνες αυτές εκτιμάται ότι θα διαμορφωθούν σε 6.071 εκατ. ευρώ, αυξημένες κατά 367 εκατ. ευρώ σε σχέση με τον στόχο του ΜΠΔΣ 2018-2021, με την ενίσχυση των σχετικών πι</w:t>
      </w:r>
      <w:r w:rsidRPr="004F40E8">
        <w:rPr>
          <w:bCs/>
          <w:szCs w:val="22"/>
        </w:rPr>
        <w:t>σ</w:t>
      </w:r>
      <w:r w:rsidRPr="004F40E8">
        <w:rPr>
          <w:bCs/>
          <w:szCs w:val="22"/>
        </w:rPr>
        <w:t xml:space="preserve">τώσεων από το αποθεματικό προκειμένου να αντιμετωπισθούν δαπάνες κυρίως για: </w:t>
      </w:r>
    </w:p>
    <w:p w:rsidR="004F40E8" w:rsidRPr="004F40E8" w:rsidRDefault="004F40E8" w:rsidP="004F40E8">
      <w:pPr>
        <w:jc w:val="both"/>
        <w:rPr>
          <w:bCs/>
          <w:szCs w:val="22"/>
        </w:rPr>
      </w:pPr>
    </w:p>
    <w:p w:rsidR="004F40E8" w:rsidRPr="004F40E8" w:rsidRDefault="004F40E8" w:rsidP="00C42D86">
      <w:pPr>
        <w:numPr>
          <w:ilvl w:val="0"/>
          <w:numId w:val="5"/>
        </w:numPr>
        <w:jc w:val="both"/>
        <w:rPr>
          <w:bCs/>
          <w:szCs w:val="22"/>
        </w:rPr>
      </w:pPr>
      <w:r w:rsidRPr="004F40E8">
        <w:rPr>
          <w:bCs/>
          <w:szCs w:val="22"/>
        </w:rPr>
        <w:t>την εκτέλεση τελεσίδικων και αμετάκλητων δικαστικών αποφάσεων,</w:t>
      </w:r>
    </w:p>
    <w:p w:rsidR="004F40E8" w:rsidRPr="004F40E8" w:rsidRDefault="004F40E8" w:rsidP="00C42D86">
      <w:pPr>
        <w:numPr>
          <w:ilvl w:val="0"/>
          <w:numId w:val="5"/>
        </w:numPr>
        <w:jc w:val="both"/>
        <w:rPr>
          <w:bCs/>
          <w:szCs w:val="22"/>
        </w:rPr>
      </w:pPr>
      <w:r w:rsidRPr="004F40E8">
        <w:rPr>
          <w:bCs/>
          <w:szCs w:val="22"/>
        </w:rPr>
        <w:t>την ενίσχυση της επιχορήγησης στην ΤΡΑΙΝΟΣΕ, λόγω μη απόδοσης του ποσού που α</w:t>
      </w:r>
      <w:r w:rsidRPr="004F40E8">
        <w:rPr>
          <w:bCs/>
          <w:szCs w:val="22"/>
        </w:rPr>
        <w:t>ν</w:t>
      </w:r>
      <w:r w:rsidRPr="004F40E8">
        <w:rPr>
          <w:bCs/>
          <w:szCs w:val="22"/>
        </w:rPr>
        <w:t xml:space="preserve">τιστοιχούσε στο 2016 από την παροχή δημόσιας υπηρεσίας, </w:t>
      </w:r>
    </w:p>
    <w:p w:rsidR="004F40E8" w:rsidRPr="004F40E8" w:rsidRDefault="004F40E8" w:rsidP="00C42D86">
      <w:pPr>
        <w:numPr>
          <w:ilvl w:val="0"/>
          <w:numId w:val="5"/>
        </w:numPr>
        <w:jc w:val="both"/>
        <w:rPr>
          <w:bCs/>
          <w:szCs w:val="22"/>
        </w:rPr>
      </w:pPr>
      <w:r w:rsidRPr="004F40E8">
        <w:rPr>
          <w:bCs/>
          <w:szCs w:val="22"/>
        </w:rPr>
        <w:t>τη διαχείριση των μεταναστευτικών ροών και</w:t>
      </w:r>
    </w:p>
    <w:p w:rsidR="004F40E8" w:rsidRPr="004F40E8" w:rsidRDefault="004F40E8" w:rsidP="00C42D86">
      <w:pPr>
        <w:numPr>
          <w:ilvl w:val="0"/>
          <w:numId w:val="5"/>
        </w:numPr>
        <w:ind w:left="346" w:hanging="346"/>
        <w:jc w:val="both"/>
        <w:rPr>
          <w:bCs/>
          <w:szCs w:val="22"/>
        </w:rPr>
      </w:pPr>
      <w:r w:rsidRPr="004F40E8">
        <w:rPr>
          <w:bCs/>
          <w:szCs w:val="22"/>
        </w:rPr>
        <w:t>την επιδότηση άγονων γραμμών.</w:t>
      </w:r>
    </w:p>
    <w:p w:rsidR="004F40E8" w:rsidRPr="004F40E8" w:rsidRDefault="004F40E8" w:rsidP="004F40E8">
      <w:pPr>
        <w:jc w:val="both"/>
        <w:rPr>
          <w:rFonts w:ascii="Arial Narrow" w:hAnsi="Arial Narrow"/>
          <w:b/>
          <w:bCs/>
          <w:i/>
          <w:sz w:val="22"/>
          <w:szCs w:val="22"/>
          <w:highlight w:val="yellow"/>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Αποδιδόμενοι πόροι</w:t>
      </w:r>
    </w:p>
    <w:p w:rsidR="004F40E8" w:rsidRPr="004F40E8" w:rsidRDefault="004F40E8" w:rsidP="004F40E8">
      <w:pPr>
        <w:jc w:val="both"/>
        <w:rPr>
          <w:bCs/>
          <w:szCs w:val="22"/>
        </w:rPr>
      </w:pPr>
    </w:p>
    <w:p w:rsidR="004F40E8" w:rsidRPr="004F40E8" w:rsidRDefault="004F40E8" w:rsidP="004F40E8">
      <w:pPr>
        <w:jc w:val="both"/>
        <w:rPr>
          <w:bCs/>
          <w:szCs w:val="22"/>
        </w:rPr>
      </w:pPr>
      <w:r w:rsidRPr="004F40E8">
        <w:rPr>
          <w:bCs/>
          <w:szCs w:val="22"/>
        </w:rPr>
        <w:t>Οι δαπάνες της κατηγορίας αυτής εκτιμάται ότι θα διαμορφωθούν στα 3.108 εκατ. ευρώ, με</w:t>
      </w:r>
      <w:r w:rsidRPr="004F40E8">
        <w:rPr>
          <w:bCs/>
          <w:szCs w:val="22"/>
        </w:rPr>
        <w:t>ι</w:t>
      </w:r>
      <w:r w:rsidRPr="004F40E8">
        <w:rPr>
          <w:bCs/>
          <w:szCs w:val="22"/>
        </w:rPr>
        <w:t>ωμένες κατά 11 εκατ. ευρώ, έναντι του στόχου.</w:t>
      </w:r>
    </w:p>
    <w:p w:rsidR="004F40E8" w:rsidRPr="004F40E8" w:rsidRDefault="004F40E8" w:rsidP="004F40E8">
      <w:pPr>
        <w:jc w:val="both"/>
        <w:rPr>
          <w:rFonts w:ascii="Arial Narrow" w:hAnsi="Arial Narrow"/>
          <w:b/>
          <w:bCs/>
          <w:i/>
          <w:sz w:val="22"/>
          <w:szCs w:val="22"/>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Αποθεματικό</w:t>
      </w:r>
    </w:p>
    <w:p w:rsidR="004F40E8" w:rsidRPr="004F40E8" w:rsidRDefault="004F40E8" w:rsidP="004F40E8">
      <w:pPr>
        <w:jc w:val="both"/>
        <w:rPr>
          <w:bCs/>
          <w:szCs w:val="22"/>
        </w:rPr>
      </w:pPr>
    </w:p>
    <w:p w:rsidR="004F40E8" w:rsidRPr="004F40E8" w:rsidRDefault="004F40E8" w:rsidP="004F40E8">
      <w:pPr>
        <w:jc w:val="both"/>
      </w:pPr>
      <w:r w:rsidRPr="004F40E8">
        <w:t>Στο 2017 είχαν προβλεφθεί πιστώσεις ύψους 1,0 δισ. ευρώ για την αντιμετώπιση έκτακτων και επειγουσών δαπανών. Από τις πιστώσεις αυτές έχουν ήδη κατανεμηθεί 612 εκατ. ευρώ, κυρίως για:</w:t>
      </w:r>
    </w:p>
    <w:p w:rsidR="004F40E8" w:rsidRPr="004F40E8" w:rsidRDefault="004F40E8" w:rsidP="004F40E8">
      <w:pPr>
        <w:jc w:val="both"/>
      </w:pPr>
    </w:p>
    <w:p w:rsidR="004F40E8" w:rsidRPr="004F40E8" w:rsidRDefault="004F40E8" w:rsidP="00C42D86">
      <w:pPr>
        <w:numPr>
          <w:ilvl w:val="0"/>
          <w:numId w:val="5"/>
        </w:numPr>
        <w:jc w:val="both"/>
        <w:rPr>
          <w:bCs/>
          <w:szCs w:val="22"/>
        </w:rPr>
      </w:pPr>
      <w:r w:rsidRPr="004F40E8">
        <w:rPr>
          <w:bCs/>
          <w:szCs w:val="22"/>
        </w:rPr>
        <w:t>την ενίσχυση με ποσό ύψους 220 εκατ. ευρώ για την κάλυψη μέρους της συμμετοχής στην αύξηση του μετοχικού κεφαλαίου της ΔΕΣ ΑΔΜΗΕ ΑΕ, της οποίας μοναδικός μ</w:t>
      </w:r>
      <w:r w:rsidRPr="004F40E8">
        <w:rPr>
          <w:bCs/>
          <w:szCs w:val="22"/>
        </w:rPr>
        <w:t>έ</w:t>
      </w:r>
      <w:r w:rsidRPr="004F40E8">
        <w:rPr>
          <w:bCs/>
          <w:szCs w:val="22"/>
        </w:rPr>
        <w:t>τοχος είναι το Ελληνικό Δημόσιο,</w:t>
      </w:r>
    </w:p>
    <w:p w:rsidR="004F40E8" w:rsidRPr="004F40E8" w:rsidRDefault="004F40E8" w:rsidP="00C42D86">
      <w:pPr>
        <w:numPr>
          <w:ilvl w:val="0"/>
          <w:numId w:val="5"/>
        </w:numPr>
        <w:jc w:val="both"/>
        <w:rPr>
          <w:bCs/>
          <w:szCs w:val="22"/>
        </w:rPr>
      </w:pPr>
      <w:r w:rsidRPr="004F40E8">
        <w:rPr>
          <w:bCs/>
          <w:szCs w:val="22"/>
        </w:rPr>
        <w:t>την κάλυψη δαπανών σε εκτέλεση δικαστικών αποφάσεων,</w:t>
      </w:r>
    </w:p>
    <w:p w:rsidR="004F40E8" w:rsidRPr="004F40E8" w:rsidRDefault="004F40E8" w:rsidP="00C42D86">
      <w:pPr>
        <w:numPr>
          <w:ilvl w:val="0"/>
          <w:numId w:val="5"/>
        </w:numPr>
        <w:jc w:val="both"/>
        <w:rPr>
          <w:bCs/>
          <w:szCs w:val="22"/>
        </w:rPr>
      </w:pPr>
      <w:r w:rsidRPr="004F40E8">
        <w:rPr>
          <w:bCs/>
          <w:szCs w:val="22"/>
        </w:rPr>
        <w:t>τις επιχορηγήσεις σε συγκοινωνιακούς φορείς,</w:t>
      </w:r>
    </w:p>
    <w:p w:rsidR="004F40E8" w:rsidRPr="004F40E8" w:rsidRDefault="004F40E8" w:rsidP="00C42D86">
      <w:pPr>
        <w:numPr>
          <w:ilvl w:val="0"/>
          <w:numId w:val="5"/>
        </w:numPr>
        <w:jc w:val="both"/>
        <w:rPr>
          <w:bCs/>
          <w:szCs w:val="22"/>
        </w:rPr>
      </w:pPr>
      <w:r w:rsidRPr="004F40E8">
        <w:rPr>
          <w:bCs/>
          <w:szCs w:val="22"/>
        </w:rPr>
        <w:t>τις επιστροφές στην ΕΕ από ανεκτέλεστα συγχρηματοδοτούμενα προγράμματα, λόγω μη επιλέξιμων δαπανών, διορθώσεων, ανακτήσεων κλπ. και</w:t>
      </w:r>
    </w:p>
    <w:p w:rsidR="004F40E8" w:rsidRPr="004F40E8" w:rsidRDefault="004F40E8" w:rsidP="00C42D86">
      <w:pPr>
        <w:numPr>
          <w:ilvl w:val="0"/>
          <w:numId w:val="5"/>
        </w:numPr>
        <w:jc w:val="both"/>
        <w:rPr>
          <w:bCs/>
          <w:szCs w:val="22"/>
        </w:rPr>
      </w:pPr>
      <w:r w:rsidRPr="004F40E8">
        <w:rPr>
          <w:bCs/>
          <w:szCs w:val="22"/>
        </w:rPr>
        <w:t>την καταβολή περιβαλλοντικών προστίμων που επιβάλλονται από το Ευρωπαϊκό Δικα</w:t>
      </w:r>
      <w:r w:rsidRPr="004F40E8">
        <w:rPr>
          <w:bCs/>
          <w:szCs w:val="22"/>
        </w:rPr>
        <w:t>σ</w:t>
      </w:r>
      <w:r w:rsidRPr="004F40E8">
        <w:rPr>
          <w:bCs/>
          <w:szCs w:val="22"/>
        </w:rPr>
        <w:t>τήριο, λόγω μη συμμόρφωσης του Ελληνικού Δημοσίου για τη δημιουργία σχετικών υπ</w:t>
      </w:r>
      <w:r w:rsidRPr="004F40E8">
        <w:rPr>
          <w:bCs/>
          <w:szCs w:val="22"/>
        </w:rPr>
        <w:t>ο</w:t>
      </w:r>
      <w:r w:rsidRPr="004F40E8">
        <w:rPr>
          <w:bCs/>
          <w:szCs w:val="22"/>
        </w:rPr>
        <w:t>δομών για τους χώρους ανεξέλεγκτης διάθεσης αποβλήτων (ΧΑΔΑ) και τα συστήματα συλλογής και επεξεργασίας των αστικών λυμάτων.</w:t>
      </w:r>
    </w:p>
    <w:p w:rsidR="004F40E8" w:rsidRPr="004F40E8" w:rsidRDefault="004F40E8" w:rsidP="004F40E8">
      <w:pPr>
        <w:jc w:val="both"/>
        <w:rPr>
          <w:rFonts w:ascii="Arial Narrow" w:hAnsi="Arial Narrow"/>
          <w:b/>
          <w:bCs/>
          <w:i/>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lastRenderedPageBreak/>
        <w:t>Δαπάνες τόκων και δαπάνες ανάληψης δανείων από τον Ευρωπαϊκό Μηχανισμό Στήριξης (ΕΜΣ) και π</w:t>
      </w:r>
      <w:r w:rsidRPr="004F40E8">
        <w:rPr>
          <w:rFonts w:ascii="Arial Narrow" w:hAnsi="Arial Narrow"/>
          <w:b/>
          <w:bCs/>
          <w:i/>
          <w:sz w:val="22"/>
          <w:szCs w:val="22"/>
        </w:rPr>
        <w:t>α</w:t>
      </w:r>
      <w:r w:rsidRPr="004F40E8">
        <w:rPr>
          <w:rFonts w:ascii="Arial Narrow" w:hAnsi="Arial Narrow"/>
          <w:b/>
          <w:bCs/>
          <w:i/>
          <w:sz w:val="22"/>
          <w:szCs w:val="22"/>
        </w:rPr>
        <w:t>ράλληλες δαπάνες εξυπηρέτησης δημοσίου χρέους</w:t>
      </w:r>
    </w:p>
    <w:p w:rsidR="004F40E8" w:rsidRPr="004F40E8" w:rsidRDefault="004F40E8" w:rsidP="004F40E8">
      <w:pPr>
        <w:jc w:val="both"/>
        <w:rPr>
          <w:bCs/>
        </w:rPr>
      </w:pPr>
    </w:p>
    <w:p w:rsidR="004F40E8" w:rsidRPr="004F40E8" w:rsidRDefault="004F40E8" w:rsidP="004F40E8">
      <w:pPr>
        <w:jc w:val="both"/>
        <w:rPr>
          <w:rFonts w:ascii="Arial Narrow" w:hAnsi="Arial Narrow"/>
          <w:bCs/>
          <w:sz w:val="22"/>
          <w:szCs w:val="22"/>
        </w:rPr>
      </w:pPr>
      <w:r w:rsidRPr="004F40E8">
        <w:rPr>
          <w:bCs/>
        </w:rPr>
        <w:t>Οι ταμειακές δαπάνες (σε καθαρή βάση) για την κάλυψη των τόκων εκτιμάται ότι θα διαμο</w:t>
      </w:r>
      <w:r w:rsidRPr="004F40E8">
        <w:rPr>
          <w:bCs/>
        </w:rPr>
        <w:t>ρ</w:t>
      </w:r>
      <w:r w:rsidRPr="004F40E8">
        <w:rPr>
          <w:bCs/>
        </w:rPr>
        <w:t>φωθούν σε 5.650 εκατ. ευρώ, ενώ οι δαπάνες ανάληψης δανείων από τον Ευρωπαϊκό Μηχ</w:t>
      </w:r>
      <w:r w:rsidRPr="004F40E8">
        <w:rPr>
          <w:bCs/>
        </w:rPr>
        <w:t>α</w:t>
      </w:r>
      <w:r w:rsidRPr="004F40E8">
        <w:rPr>
          <w:bCs/>
        </w:rPr>
        <w:t>νισμό Στήριξης και οι παράλληλες δαπάνες εξυπηρέτησης δημοσίου χρέους θα διαμορφωθ</w:t>
      </w:r>
      <w:r w:rsidRPr="004F40E8">
        <w:rPr>
          <w:bCs/>
        </w:rPr>
        <w:t>ο</w:t>
      </w:r>
      <w:r w:rsidRPr="004F40E8">
        <w:rPr>
          <w:bCs/>
        </w:rPr>
        <w:t xml:space="preserve">ύν σε 75 εκατ. ευρώ. </w:t>
      </w:r>
    </w:p>
    <w:p w:rsidR="004F40E8" w:rsidRPr="004F40E8" w:rsidRDefault="004F40E8" w:rsidP="004F40E8">
      <w:pPr>
        <w:jc w:val="both"/>
        <w:rPr>
          <w:rFonts w:ascii="Arial Narrow" w:hAnsi="Arial Narrow"/>
          <w:bCs/>
          <w:sz w:val="22"/>
          <w:szCs w:val="22"/>
          <w:highlight w:val="yellow"/>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 xml:space="preserve">Εξοπλιστικά προγράμματα </w:t>
      </w:r>
    </w:p>
    <w:p w:rsidR="004F40E8" w:rsidRPr="004F40E8" w:rsidRDefault="004F40E8" w:rsidP="004F40E8">
      <w:pPr>
        <w:jc w:val="both"/>
        <w:rPr>
          <w:bCs/>
        </w:rPr>
      </w:pPr>
    </w:p>
    <w:p w:rsidR="004F40E8" w:rsidRPr="004F40E8" w:rsidRDefault="004F40E8" w:rsidP="004F40E8">
      <w:pPr>
        <w:jc w:val="both"/>
      </w:pPr>
      <w:r w:rsidRPr="004F40E8">
        <w:rPr>
          <w:bCs/>
        </w:rPr>
        <w:t>Οι ταμειακές δαπάνες για την υλοποίηση εξοπλιστικών προγραμμάτων του Υπουργείου Ε</w:t>
      </w:r>
      <w:r w:rsidRPr="004F40E8">
        <w:rPr>
          <w:bCs/>
        </w:rPr>
        <w:t>θ</w:t>
      </w:r>
      <w:r w:rsidRPr="004F40E8">
        <w:rPr>
          <w:bCs/>
        </w:rPr>
        <w:t>νικής Άμυνας</w:t>
      </w:r>
      <w:r w:rsidRPr="004F40E8">
        <w:t xml:space="preserve"> εκτιμάται ότι θα διαμορφωθούν στα 475 εκατ. ευρώ, ενώ οι φυσικές παραλαβές (</w:t>
      </w:r>
      <w:proofErr w:type="spellStart"/>
      <w:r w:rsidRPr="004F40E8">
        <w:t>δημοσιολογιστική</w:t>
      </w:r>
      <w:proofErr w:type="spellEnd"/>
      <w:r w:rsidRPr="004F40E8">
        <w:t xml:space="preserve"> βάση) θα ανέλθουν σε 831 εκατ. ευρώ.</w:t>
      </w:r>
    </w:p>
    <w:p w:rsidR="004F40E8" w:rsidRPr="004F40E8" w:rsidRDefault="004F40E8" w:rsidP="004F40E8">
      <w:pPr>
        <w:jc w:val="both"/>
        <w:rPr>
          <w:highlight w:val="yellow"/>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Καταπτώσεις εγγυήσεων</w:t>
      </w:r>
    </w:p>
    <w:p w:rsidR="004F40E8" w:rsidRPr="004F40E8" w:rsidRDefault="004F40E8" w:rsidP="004F40E8">
      <w:pPr>
        <w:contextualSpacing/>
        <w:jc w:val="both"/>
      </w:pPr>
    </w:p>
    <w:p w:rsidR="004F40E8" w:rsidRPr="004F40E8" w:rsidRDefault="004F40E8" w:rsidP="004F40E8">
      <w:pPr>
        <w:contextualSpacing/>
        <w:jc w:val="both"/>
      </w:pPr>
      <w:r w:rsidRPr="004F40E8">
        <w:t>Το συνολικό ύψος των δαπανών για καταπτώσεις εγγυήσεων προς φορείς εντός (σε ακαθ</w:t>
      </w:r>
      <w:r w:rsidRPr="004F40E8">
        <w:t>ά</w:t>
      </w:r>
      <w:r w:rsidRPr="004F40E8">
        <w:t>ριστη βάση) και εκτός Γενικής Κυβέρνησης εκτιμάται ότι θα διαμορφωθεί στα 890 εκατ. ε</w:t>
      </w:r>
      <w:r w:rsidRPr="004F40E8">
        <w:t>υ</w:t>
      </w:r>
      <w:r w:rsidRPr="004F40E8">
        <w:t>ρώ, μειωμένο κατά 105 εκατ. ευρώ σε σχέση με το στόχο του ΜΠΔΣ, λόγω μειωμένης εκτ</w:t>
      </w:r>
      <w:r w:rsidRPr="004F40E8">
        <w:t>ί</w:t>
      </w:r>
      <w:r w:rsidRPr="004F40E8">
        <w:t>μησης των καταπτώσεων εγγυήσεων προς τους φορείς εκτός της Γενικής Κυβέρνησης.</w:t>
      </w:r>
    </w:p>
    <w:p w:rsidR="004F40E8" w:rsidRPr="004F40E8" w:rsidRDefault="004F40E8" w:rsidP="004F40E8">
      <w:pPr>
        <w:jc w:val="both"/>
        <w:rPr>
          <w:rFonts w:ascii="Arial Narrow" w:hAnsi="Arial Narrow"/>
          <w:b/>
          <w:bCs/>
          <w:i/>
          <w:sz w:val="22"/>
          <w:szCs w:val="22"/>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Αναλήψεις χρεών φορέων της Γενικής Κυβέρνησης</w:t>
      </w:r>
    </w:p>
    <w:p w:rsidR="004F40E8" w:rsidRPr="004F40E8" w:rsidRDefault="004F40E8" w:rsidP="004F40E8">
      <w:pPr>
        <w:contextualSpacing/>
        <w:jc w:val="both"/>
      </w:pPr>
    </w:p>
    <w:p w:rsidR="004F40E8" w:rsidRPr="004F40E8" w:rsidRDefault="004F40E8" w:rsidP="004F40E8">
      <w:pPr>
        <w:contextualSpacing/>
        <w:jc w:val="both"/>
        <w:rPr>
          <w:strike/>
        </w:rPr>
      </w:pPr>
      <w:r w:rsidRPr="004F40E8">
        <w:t xml:space="preserve">Οι δαπάνες της κατηγορίας αυτής εκτιμάται ότι θα διαμορφωθούν σε 193 εκατ. ευρώ και </w:t>
      </w:r>
      <w:r w:rsidRPr="004F40E8">
        <w:t>α</w:t>
      </w:r>
      <w:r w:rsidRPr="004F40E8">
        <w:t xml:space="preserve">φορούν στην ανάληψη χρέους του Μεγάρου Μουσικής Αθηνών. Η δαπάνη αυτή σε </w:t>
      </w:r>
      <w:proofErr w:type="spellStart"/>
      <w:r w:rsidRPr="004F40E8">
        <w:t>δημοσι</w:t>
      </w:r>
      <w:r w:rsidRPr="004F40E8">
        <w:t>ο</w:t>
      </w:r>
      <w:r w:rsidRPr="004F40E8">
        <w:t>λογιστική</w:t>
      </w:r>
      <w:proofErr w:type="spellEnd"/>
      <w:r w:rsidRPr="004F40E8">
        <w:t xml:space="preserve"> βάση είναι ουδέτερη στο πρωτογενές αποτέλεσμα της Γενικής Κυβέρνησης. </w:t>
      </w:r>
    </w:p>
    <w:p w:rsidR="004F40E8" w:rsidRPr="004F40E8" w:rsidRDefault="004F40E8" w:rsidP="004F40E8">
      <w:pPr>
        <w:contextualSpacing/>
        <w:jc w:val="both"/>
        <w:rPr>
          <w:dstrike/>
          <w:szCs w:val="22"/>
        </w:rPr>
      </w:pPr>
    </w:p>
    <w:p w:rsidR="004F40E8" w:rsidRPr="004F40E8" w:rsidRDefault="004F40E8" w:rsidP="004F40E8">
      <w:pPr>
        <w:contextualSpacing/>
        <w:jc w:val="both"/>
        <w:rPr>
          <w:rFonts w:ascii="Arial Narrow" w:hAnsi="Arial Narrow"/>
          <w:b/>
          <w:bCs/>
          <w:color w:val="000080"/>
          <w:szCs w:val="22"/>
        </w:rPr>
      </w:pPr>
      <w:r w:rsidRPr="004F40E8">
        <w:rPr>
          <w:rFonts w:ascii="Arial Narrow" w:hAnsi="Arial Narrow"/>
          <w:b/>
          <w:bCs/>
          <w:color w:val="000080"/>
          <w:szCs w:val="22"/>
        </w:rPr>
        <w:t>1.2</w:t>
      </w:r>
      <w:r w:rsidRPr="004F40E8">
        <w:rPr>
          <w:rFonts w:ascii="Arial Narrow" w:hAnsi="Arial Narrow"/>
          <w:b/>
          <w:bCs/>
          <w:color w:val="000080"/>
          <w:szCs w:val="22"/>
        </w:rPr>
        <w:tab/>
        <w:t>Πρόγραμμα Δημοσίων Επενδύσεων (ΠΔΕ)</w:t>
      </w:r>
    </w:p>
    <w:p w:rsidR="004F40E8" w:rsidRPr="004F40E8" w:rsidRDefault="004F40E8" w:rsidP="004F40E8">
      <w:pPr>
        <w:contextualSpacing/>
        <w:jc w:val="both"/>
      </w:pPr>
    </w:p>
    <w:p w:rsidR="004F40E8" w:rsidRPr="004F40E8" w:rsidRDefault="004F40E8" w:rsidP="004F40E8">
      <w:pPr>
        <w:contextualSpacing/>
        <w:jc w:val="both"/>
      </w:pPr>
      <w:r w:rsidRPr="004F40E8">
        <w:t>Στην παρούσα κρίσιμη φάση για την ελληνική οικονομία, η υλοποίηση του ΠΔΕ για το 2017 έχει ως στόχο να συνοδεύσει τη δημοσιονομική προσπάθεια με αναπτυξιακές δράσεις συ</w:t>
      </w:r>
      <w:r w:rsidRPr="004F40E8">
        <w:t>μ</w:t>
      </w:r>
      <w:r w:rsidRPr="004F40E8">
        <w:t>βάλλοντας στην ενίσχυση της οικονομίας και ταυτόχρονα τη στήριξη της κοινωνικής συν</w:t>
      </w:r>
      <w:r w:rsidRPr="004F40E8">
        <w:t>ο</w:t>
      </w:r>
      <w:r w:rsidRPr="004F40E8">
        <w:t>χής.</w:t>
      </w:r>
    </w:p>
    <w:p w:rsidR="004F40E8" w:rsidRPr="004F40E8" w:rsidRDefault="004F40E8" w:rsidP="004F40E8">
      <w:pPr>
        <w:contextualSpacing/>
        <w:jc w:val="both"/>
      </w:pPr>
    </w:p>
    <w:p w:rsidR="004F40E8" w:rsidRPr="004F40E8" w:rsidRDefault="004F40E8" w:rsidP="004F40E8">
      <w:pPr>
        <w:contextualSpacing/>
        <w:jc w:val="both"/>
      </w:pPr>
      <w:r w:rsidRPr="004F40E8">
        <w:t xml:space="preserve">Για το έτος 2017, προβλέπεται η υλοποίηση έργων και δράσεων συνολικού ύψους 6,75 δισ. ευρώ. Από αυτά, ποσό ύψους 5,75 δισ. ευρώ αφορά συγχρηματοδοτούμενα έργα, εκ των </w:t>
      </w:r>
      <w:r w:rsidRPr="004F40E8">
        <w:t>ο</w:t>
      </w:r>
      <w:r w:rsidRPr="004F40E8">
        <w:t>ποίων 3,95 δισ. ευρώ αφορούν πληρωμές δαπανών για την υλοποίηση έργων ΕΣΠΑ 2014-2020, 800 εκατ. ευρώ για την ολοκλήρωση έργων ΕΣΠΑ 2007-2013 και 1 δισ. ευρώ για πλ</w:t>
      </w:r>
      <w:r w:rsidRPr="004F40E8">
        <w:t>η</w:t>
      </w:r>
      <w:r w:rsidRPr="004F40E8">
        <w:t>ρωμές δαπανών λοιπών συγχρηματοδοτούμενων προγραμμάτων και των δύο περιόδων.</w:t>
      </w:r>
    </w:p>
    <w:p w:rsidR="004F40E8" w:rsidRPr="004F40E8" w:rsidRDefault="004F40E8" w:rsidP="004F40E8">
      <w:pPr>
        <w:contextualSpacing/>
        <w:jc w:val="both"/>
      </w:pPr>
    </w:p>
    <w:p w:rsidR="004F40E8" w:rsidRPr="004F40E8" w:rsidRDefault="004F40E8" w:rsidP="004F40E8">
      <w:pPr>
        <w:contextualSpacing/>
        <w:jc w:val="both"/>
        <w:rPr>
          <w:bCs/>
        </w:rPr>
      </w:pPr>
      <w:r w:rsidRPr="004F40E8">
        <w:rPr>
          <w:bCs/>
        </w:rPr>
        <w:t>Βασικός στόχος της</w:t>
      </w:r>
      <w:r w:rsidRPr="004F40E8">
        <w:t xml:space="preserve"> εκτέλεσης του συγχρηματοδοτούμενου σκέλους του ΠΔΕ και για το 2017 είναι η απορρόφηση των πόρων των συγχρηματοδοτούμενων προγραμμάτων και η </w:t>
      </w:r>
      <w:r w:rsidRPr="004F40E8">
        <w:t>ε</w:t>
      </w:r>
      <w:r w:rsidRPr="004F40E8">
        <w:t xml:space="preserve">ξασφάλιση της εισροής της κοινοτικής συνδρομής στο πλαίσιο των στόχων και υποχρεώσεων </w:t>
      </w:r>
      <w:r w:rsidRPr="004F40E8">
        <w:rPr>
          <w:bCs/>
        </w:rPr>
        <w:t xml:space="preserve">που απορρέουν από τις Συνθήκες της ΕΕ. </w:t>
      </w:r>
      <w:r w:rsidRPr="004F40E8">
        <w:t>Επιπρόσθετα, έργα της προηγούμενης περιόδου, εφόσον δεν καταστεί εφικτό να μεταφερθούν στα προγράμματα της νέας περιόδου, επιδιώκ</w:t>
      </w:r>
      <w:r w:rsidRPr="004F40E8">
        <w:t>ε</w:t>
      </w:r>
      <w:r w:rsidRPr="004F40E8">
        <w:t>ται να ολοκληρωθούν, ώστε να αποφευχθεί η απώλεια/επιστροφή εσόδων.</w:t>
      </w:r>
    </w:p>
    <w:p w:rsidR="004F40E8" w:rsidRPr="004F40E8" w:rsidRDefault="004F40E8" w:rsidP="004F40E8">
      <w:pPr>
        <w:contextualSpacing/>
        <w:jc w:val="both"/>
      </w:pPr>
    </w:p>
    <w:p w:rsidR="004F40E8" w:rsidRPr="004F40E8" w:rsidRDefault="004F40E8" w:rsidP="004F40E8">
      <w:pPr>
        <w:contextualSpacing/>
        <w:jc w:val="both"/>
      </w:pPr>
      <w:r w:rsidRPr="004F40E8">
        <w:t>Τέλος, ποσό ύψους 1 δισ. ευρώ εκτιμάται ότι θα διατεθεί για την υλοποίηση έργων χρηματ</w:t>
      </w:r>
      <w:r w:rsidRPr="004F40E8">
        <w:t>ο</w:t>
      </w:r>
      <w:r w:rsidRPr="004F40E8">
        <w:t>δοτούμενων από αμιγώς εθνικούς πόρους. Με τα έργα αυτά ενισχύονται πολιτικές και δράσ</w:t>
      </w:r>
      <w:r w:rsidRPr="004F40E8">
        <w:t>ε</w:t>
      </w:r>
      <w:r w:rsidRPr="004F40E8">
        <w:t>ις των Υπουργείων και των Περιφερειών και αντιμετωπίζονται έκτακτες ανάγκες.</w:t>
      </w:r>
    </w:p>
    <w:p w:rsidR="004F40E8" w:rsidRPr="004F40E8" w:rsidRDefault="004F40E8" w:rsidP="004F40E8">
      <w:pPr>
        <w:contextualSpacing/>
        <w:jc w:val="both"/>
      </w:pPr>
    </w:p>
    <w:p w:rsidR="004F40E8" w:rsidRPr="004F40E8" w:rsidRDefault="004F40E8" w:rsidP="004F40E8">
      <w:pPr>
        <w:contextualSpacing/>
        <w:jc w:val="both"/>
        <w:rPr>
          <w:rFonts w:ascii="Arial Narrow" w:hAnsi="Arial Narrow"/>
          <w:b/>
          <w:bCs/>
          <w:color w:val="000080"/>
          <w:szCs w:val="22"/>
        </w:rPr>
      </w:pPr>
      <w:r w:rsidRPr="004F40E8">
        <w:rPr>
          <w:rFonts w:ascii="Arial Narrow" w:hAnsi="Arial Narrow"/>
          <w:b/>
          <w:bCs/>
          <w:color w:val="000080"/>
          <w:szCs w:val="22"/>
        </w:rPr>
        <w:lastRenderedPageBreak/>
        <w:t>1.3</w:t>
      </w:r>
      <w:r w:rsidRPr="004F40E8">
        <w:rPr>
          <w:rFonts w:ascii="Arial Narrow" w:hAnsi="Arial Narrow"/>
          <w:b/>
          <w:bCs/>
          <w:color w:val="000080"/>
          <w:szCs w:val="22"/>
        </w:rPr>
        <w:tab/>
        <w:t>Λοιποί τομείς Γενικής Κυβέρνησης</w:t>
      </w:r>
    </w:p>
    <w:p w:rsidR="004F40E8" w:rsidRPr="004F40E8" w:rsidRDefault="004F40E8" w:rsidP="004F40E8">
      <w:pPr>
        <w:contextualSpacing/>
        <w:jc w:val="both"/>
      </w:pPr>
    </w:p>
    <w:p w:rsidR="004F40E8" w:rsidRPr="004F40E8" w:rsidRDefault="004F40E8" w:rsidP="004F40E8">
      <w:pPr>
        <w:tabs>
          <w:tab w:val="left" w:pos="360"/>
        </w:tabs>
        <w:contextualSpacing/>
        <w:jc w:val="both"/>
        <w:rPr>
          <w:rFonts w:ascii="Arial Narrow" w:hAnsi="Arial Narrow"/>
          <w:b/>
          <w:color w:val="000080"/>
          <w:sz w:val="22"/>
          <w:szCs w:val="22"/>
        </w:rPr>
      </w:pPr>
      <w:r w:rsidRPr="004F40E8">
        <w:rPr>
          <w:rFonts w:ascii="Arial Narrow" w:hAnsi="Arial Narrow"/>
          <w:b/>
          <w:color w:val="000080"/>
          <w:sz w:val="22"/>
          <w:szCs w:val="22"/>
        </w:rPr>
        <w:t>Νομικά Πρόσωπα Δημοσίου Δικαίου και Ιδιωτικού Δικαίου</w:t>
      </w:r>
    </w:p>
    <w:p w:rsidR="004F40E8" w:rsidRPr="004F40E8" w:rsidRDefault="004F40E8" w:rsidP="004F40E8">
      <w:pPr>
        <w:contextualSpacing/>
        <w:jc w:val="both"/>
      </w:pPr>
    </w:p>
    <w:p w:rsidR="004F40E8" w:rsidRPr="004F40E8" w:rsidRDefault="004F40E8" w:rsidP="004F40E8">
      <w:pPr>
        <w:contextualSpacing/>
        <w:jc w:val="both"/>
      </w:pPr>
      <w:r w:rsidRPr="004F40E8">
        <w:t>Το δημοσιονομικό αποτέλεσμα των νομικών προσώπων για το έτος 2017 εκτιμάται ότι θα δ</w:t>
      </w:r>
      <w:r w:rsidRPr="004F40E8">
        <w:t>ι</w:t>
      </w:r>
      <w:r w:rsidRPr="004F40E8">
        <w:t>αμορφωθεί στα 1.788 εκατ. ευρώ, βελτιωμένο κατά 154 εκατ. ευρώ σε σχέση με την εκτίμ</w:t>
      </w:r>
      <w:r w:rsidRPr="004F40E8">
        <w:t>η</w:t>
      </w:r>
      <w:r w:rsidRPr="004F40E8">
        <w:t>ση του ΜΠΔΣ 2018-2021. Η βελτίωση αυτή οφείλεται κατά κύριο λόγο στην αναθεώρηση της εκτίμησης για έσοδα από τόκους του Ταμείου Παρακαταθηκών και Δανείων και στις α</w:t>
      </w:r>
      <w:r w:rsidRPr="004F40E8">
        <w:t>υ</w:t>
      </w:r>
      <w:r w:rsidRPr="004F40E8">
        <w:t>ξημένες μεταβιβάσεις από τον κρατικό προϋπολογισμό.</w:t>
      </w:r>
    </w:p>
    <w:p w:rsidR="004F40E8" w:rsidRPr="004F40E8" w:rsidRDefault="004F40E8" w:rsidP="004F40E8">
      <w:pPr>
        <w:contextualSpacing/>
        <w:jc w:val="both"/>
      </w:pPr>
    </w:p>
    <w:p w:rsidR="004F40E8" w:rsidRPr="004F40E8" w:rsidRDefault="004F40E8" w:rsidP="004F40E8">
      <w:pPr>
        <w:tabs>
          <w:tab w:val="left" w:pos="360"/>
        </w:tabs>
        <w:contextualSpacing/>
        <w:jc w:val="both"/>
        <w:rPr>
          <w:rFonts w:ascii="Arial Narrow" w:hAnsi="Arial Narrow"/>
          <w:b/>
          <w:color w:val="000080"/>
          <w:sz w:val="22"/>
          <w:szCs w:val="22"/>
        </w:rPr>
      </w:pPr>
      <w:proofErr w:type="spellStart"/>
      <w:r w:rsidRPr="004F40E8">
        <w:rPr>
          <w:rFonts w:ascii="Arial Narrow" w:hAnsi="Arial Narrow"/>
          <w:b/>
          <w:color w:val="000080"/>
          <w:sz w:val="22"/>
          <w:szCs w:val="22"/>
        </w:rPr>
        <w:t>Επαναταξινομημένες</w:t>
      </w:r>
      <w:proofErr w:type="spellEnd"/>
      <w:r w:rsidRPr="004F40E8">
        <w:rPr>
          <w:rFonts w:ascii="Arial Narrow" w:hAnsi="Arial Narrow"/>
          <w:b/>
          <w:color w:val="000080"/>
          <w:sz w:val="22"/>
          <w:szCs w:val="22"/>
        </w:rPr>
        <w:t xml:space="preserve"> ΔΕΚΟ</w:t>
      </w:r>
    </w:p>
    <w:p w:rsidR="004F40E8" w:rsidRPr="004F40E8" w:rsidRDefault="004F40E8" w:rsidP="004F40E8">
      <w:pPr>
        <w:contextualSpacing/>
        <w:jc w:val="both"/>
      </w:pPr>
    </w:p>
    <w:p w:rsidR="004F40E8" w:rsidRPr="004F40E8" w:rsidRDefault="004F40E8" w:rsidP="004F40E8">
      <w:pPr>
        <w:contextualSpacing/>
        <w:jc w:val="both"/>
      </w:pPr>
      <w:r w:rsidRPr="004F40E8">
        <w:t xml:space="preserve">Το δημοσιονομικό αποτέλεσμα των </w:t>
      </w:r>
      <w:proofErr w:type="spellStart"/>
      <w:r w:rsidRPr="004F40E8">
        <w:t>επαναταξινομημένων</w:t>
      </w:r>
      <w:proofErr w:type="spellEnd"/>
      <w:r w:rsidRPr="004F40E8">
        <w:t xml:space="preserve"> ΔΕΚΟ για το έτος 2017 αναμένεται να διαμορφωθεί στα 455 εκατ. ευρώ, βελτιωμένο κατά 87 εκατ. ευρώ σε σχέση με την εκτ</w:t>
      </w:r>
      <w:r w:rsidRPr="004F40E8">
        <w:t>ί</w:t>
      </w:r>
      <w:r w:rsidRPr="004F40E8">
        <w:t>μηση του ΜΠΔΣ 2018-2021. Ωστόσο, η βελτίωση αυτή οφείλεται κατά κύριο λόγο σε μεθ</w:t>
      </w:r>
      <w:r w:rsidRPr="004F40E8">
        <w:t>ο</w:t>
      </w:r>
      <w:r w:rsidRPr="004F40E8">
        <w:t>δολογική αλλαγή (έχουν περιληφθεί και τα μεγέθη του ΕΛΕΓΕΠ)  που είναι δημοσιονομικά ουδέτερη στη Γενική Κυβέρνηση.</w:t>
      </w:r>
    </w:p>
    <w:p w:rsidR="004F40E8" w:rsidRPr="004F40E8" w:rsidRDefault="004F40E8" w:rsidP="004F40E8">
      <w:pPr>
        <w:contextualSpacing/>
        <w:jc w:val="both"/>
      </w:pPr>
    </w:p>
    <w:p w:rsidR="004F40E8" w:rsidRPr="004F40E8" w:rsidRDefault="004F40E8" w:rsidP="004F40E8">
      <w:pPr>
        <w:tabs>
          <w:tab w:val="left" w:pos="360"/>
        </w:tabs>
        <w:contextualSpacing/>
        <w:jc w:val="both"/>
        <w:rPr>
          <w:rFonts w:ascii="Arial Narrow" w:hAnsi="Arial Narrow"/>
          <w:b/>
          <w:color w:val="000080"/>
          <w:sz w:val="22"/>
          <w:szCs w:val="22"/>
        </w:rPr>
      </w:pPr>
      <w:r w:rsidRPr="004F40E8">
        <w:rPr>
          <w:rFonts w:ascii="Arial Narrow" w:hAnsi="Arial Narrow"/>
          <w:b/>
          <w:color w:val="000080"/>
          <w:sz w:val="22"/>
          <w:szCs w:val="22"/>
        </w:rPr>
        <w:t>Τοπική Αυτοδιοίκηση</w:t>
      </w:r>
    </w:p>
    <w:p w:rsidR="004F40E8" w:rsidRPr="004F40E8" w:rsidRDefault="004F40E8" w:rsidP="004F40E8">
      <w:pPr>
        <w:contextualSpacing/>
        <w:jc w:val="both"/>
      </w:pPr>
    </w:p>
    <w:p w:rsidR="004F40E8" w:rsidRPr="004F40E8" w:rsidRDefault="004F40E8" w:rsidP="004F40E8">
      <w:pPr>
        <w:contextualSpacing/>
        <w:jc w:val="both"/>
      </w:pPr>
      <w:r w:rsidRPr="004F40E8">
        <w:t>Το ισοζύγιο του ενοποιημένου Προϋπολογισμού της Τοπικής Αυτοδιοίκησης -το οποίο προ</w:t>
      </w:r>
      <w:r w:rsidRPr="004F40E8">
        <w:t>σ</w:t>
      </w:r>
      <w:r w:rsidRPr="004F40E8">
        <w:t>διορίζεται από το αποτέλεσμα των ΟΤΑ α’ και β’ βαθμού, των Νομικών Προσώπων αυτών, φορέων της Γενικής Κυβέρνησης και από τη μεταβολή των απλήρωτων υποχρεώσεών τους- εκτιμάται ότι θα διαμορφωθεί σε πλεόνασμα ύψους 129 εκατ. ευρώ για το 2017, χαμηλότερο κατά 71 εκατ. ευρώ, έναντι του στόχου που είχε τεθεί στο ΜΠΔΣ 2018-2021. Η επίπτωση α</w:t>
      </w:r>
      <w:r w:rsidRPr="004F40E8">
        <w:t>υ</w:t>
      </w:r>
      <w:r w:rsidRPr="004F40E8">
        <w:t>τή ειδικότερα εκτιμάται ότι θα προέλθει από:</w:t>
      </w:r>
    </w:p>
    <w:p w:rsidR="004F40E8" w:rsidRPr="004F40E8" w:rsidRDefault="004F40E8" w:rsidP="004F40E8">
      <w:pPr>
        <w:contextualSpacing/>
        <w:jc w:val="both"/>
      </w:pPr>
    </w:p>
    <w:p w:rsidR="004F40E8" w:rsidRPr="004F40E8" w:rsidRDefault="004F40E8" w:rsidP="00C42D86">
      <w:pPr>
        <w:numPr>
          <w:ilvl w:val="0"/>
          <w:numId w:val="11"/>
        </w:numPr>
        <w:ind w:left="284" w:hanging="284"/>
        <w:contextualSpacing/>
        <w:jc w:val="both"/>
      </w:pPr>
      <w:r w:rsidRPr="004F40E8">
        <w:t>το σκέλος των εσόδων και συγκεκριμένα από τα λοιπά ίδια έσοδα που είναι μειωμένα κ</w:t>
      </w:r>
      <w:r w:rsidRPr="004F40E8">
        <w:t>α</w:t>
      </w:r>
      <w:r w:rsidRPr="004F40E8">
        <w:t>τά 59 εκατ. ευρώ,</w:t>
      </w:r>
    </w:p>
    <w:p w:rsidR="004F40E8" w:rsidRPr="004F40E8" w:rsidRDefault="004F40E8" w:rsidP="00C42D86">
      <w:pPr>
        <w:numPr>
          <w:ilvl w:val="0"/>
          <w:numId w:val="11"/>
        </w:numPr>
        <w:ind w:left="284" w:hanging="284"/>
        <w:contextualSpacing/>
        <w:jc w:val="both"/>
      </w:pPr>
      <w:r w:rsidRPr="004F40E8">
        <w:t xml:space="preserve">το σκέλος των δαπανών και ιδίως από τις αμοιβές προσωπικού που είναι αυξημένες κατά 52 εκατ. ευρώ, κυρίως λόγω της ένταξης Νομικών Προσώπων Ιδιωτικού Δικαίου των ΟΤΑ στο μητρώο φορέων της Γενικής Κυβέρνησης. </w:t>
      </w:r>
    </w:p>
    <w:p w:rsidR="004F40E8" w:rsidRPr="004F40E8" w:rsidRDefault="004F40E8" w:rsidP="004F40E8">
      <w:pPr>
        <w:contextualSpacing/>
        <w:jc w:val="both"/>
      </w:pPr>
    </w:p>
    <w:p w:rsidR="004F40E8" w:rsidRPr="004F40E8" w:rsidRDefault="004F40E8" w:rsidP="004F40E8">
      <w:pPr>
        <w:contextualSpacing/>
        <w:jc w:val="both"/>
      </w:pPr>
      <w:r w:rsidRPr="004F40E8">
        <w:t>Επιπλέον, η εκτίμηση για αύξηση των απλήρωτων υποχρεώσεων κατά 66 εκατ. ευρώ θα έχει αρνητική επίδραση στο ισοζύγιο του ενοποιημένου Προϋπολογισμού των ΟΤΑ.</w:t>
      </w:r>
    </w:p>
    <w:p w:rsidR="004F40E8" w:rsidRPr="004F40E8" w:rsidRDefault="004F40E8" w:rsidP="004F40E8">
      <w:pPr>
        <w:contextualSpacing/>
        <w:jc w:val="both"/>
      </w:pPr>
    </w:p>
    <w:p w:rsidR="004F40E8" w:rsidRPr="004F40E8" w:rsidRDefault="004F40E8" w:rsidP="004F40E8">
      <w:pPr>
        <w:tabs>
          <w:tab w:val="left" w:pos="360"/>
        </w:tabs>
        <w:contextualSpacing/>
        <w:jc w:val="both"/>
        <w:rPr>
          <w:rFonts w:ascii="Arial Narrow" w:hAnsi="Arial Narrow"/>
          <w:b/>
          <w:color w:val="000080"/>
          <w:sz w:val="22"/>
          <w:szCs w:val="22"/>
        </w:rPr>
      </w:pPr>
      <w:r w:rsidRPr="004F40E8">
        <w:rPr>
          <w:rFonts w:ascii="Arial Narrow" w:hAnsi="Arial Narrow"/>
          <w:b/>
          <w:color w:val="000080"/>
          <w:sz w:val="22"/>
          <w:szCs w:val="22"/>
        </w:rPr>
        <w:t>Οργανισμοί Κοινωνικής Ασφάλισης (ΟΚΑ)</w:t>
      </w:r>
    </w:p>
    <w:p w:rsidR="004F40E8" w:rsidRPr="004F40E8" w:rsidRDefault="004F40E8" w:rsidP="004F40E8">
      <w:pPr>
        <w:tabs>
          <w:tab w:val="left" w:pos="360"/>
        </w:tabs>
        <w:contextualSpacing/>
        <w:jc w:val="both"/>
        <w:rPr>
          <w:szCs w:val="22"/>
        </w:rPr>
      </w:pPr>
    </w:p>
    <w:p w:rsidR="004F40E8" w:rsidRPr="004F40E8" w:rsidRDefault="004F40E8" w:rsidP="004F40E8">
      <w:pPr>
        <w:tabs>
          <w:tab w:val="left" w:pos="360"/>
        </w:tabs>
        <w:contextualSpacing/>
        <w:jc w:val="both"/>
      </w:pPr>
      <w:r w:rsidRPr="004F40E8">
        <w:t>Το ταμειακό ισοζύγιο των Οργανισμών Κοινωνικής Ασφάλισης (Ασφαλιστικά Ταμεία, Ο</w:t>
      </w:r>
      <w:r w:rsidRPr="004F40E8">
        <w:t>ρ</w:t>
      </w:r>
      <w:r w:rsidRPr="004F40E8">
        <w:t>γανισμοί Απασχόλησης και ΕΟΠΥΥ) αναμένεται να διαμορφωθεί σε πλεόνασμα ύψους 634 εκατ. ευρώ, βελτιωμένο κατά 1.948 εκατ. ευρώ σε σχέση με τις προβλέψεις που είχαν περ</w:t>
      </w:r>
      <w:r w:rsidRPr="004F40E8">
        <w:t>ι</w:t>
      </w:r>
      <w:r w:rsidRPr="004F40E8">
        <w:t>ληφθεί στο ΜΠΔΣ 2018-2021 (έλλειμμα ύψους 1.314 εκατ. ευρώ). Επιπλέον, το δημοσιον</w:t>
      </w:r>
      <w:r w:rsidRPr="004F40E8">
        <w:t>ο</w:t>
      </w:r>
      <w:r w:rsidRPr="004F40E8">
        <w:t xml:space="preserve">μικό αποτέλεσμα αναμένεται να διαμορφωθεί σε 378 εκατ. ευρώ, βελτιωμένο κατά 1.319 </w:t>
      </w:r>
      <w:r w:rsidRPr="004F40E8">
        <w:t>ε</w:t>
      </w:r>
      <w:r w:rsidRPr="004F40E8">
        <w:t>κατ. ευρώ.</w:t>
      </w:r>
    </w:p>
    <w:p w:rsidR="004F40E8" w:rsidRPr="004F40E8" w:rsidRDefault="004F40E8" w:rsidP="004F40E8">
      <w:pPr>
        <w:tabs>
          <w:tab w:val="left" w:pos="360"/>
        </w:tabs>
        <w:contextualSpacing/>
        <w:jc w:val="both"/>
      </w:pPr>
    </w:p>
    <w:p w:rsidR="004F40E8" w:rsidRPr="004F40E8" w:rsidRDefault="004F40E8" w:rsidP="004F40E8">
      <w:pPr>
        <w:jc w:val="both"/>
      </w:pPr>
      <w:r w:rsidRPr="004F40E8">
        <w:t>Η σημαντική διαφοροποίηση του ισοζυγίου των ΟΚΑ σε σχέση με τους στόχους του ΜΠΔΣ οφείλεται κυρίως:</w:t>
      </w:r>
    </w:p>
    <w:p w:rsidR="004F40E8" w:rsidRPr="004F40E8" w:rsidRDefault="004F40E8" w:rsidP="004F40E8">
      <w:pPr>
        <w:jc w:val="both"/>
      </w:pPr>
    </w:p>
    <w:p w:rsidR="004F40E8" w:rsidRPr="004F40E8" w:rsidRDefault="004F40E8" w:rsidP="00C42D86">
      <w:pPr>
        <w:numPr>
          <w:ilvl w:val="0"/>
          <w:numId w:val="11"/>
        </w:numPr>
        <w:ind w:left="284" w:hanging="284"/>
        <w:contextualSpacing/>
        <w:jc w:val="both"/>
      </w:pPr>
      <w:r w:rsidRPr="004F40E8">
        <w:lastRenderedPageBreak/>
        <w:t>στην ενσωμάτωση των στοιχείων εκτέλεσης του προϋπολογισμού τρέχοντος έτους που κ</w:t>
      </w:r>
      <w:r w:rsidRPr="004F40E8">
        <w:t>α</w:t>
      </w:r>
      <w:r w:rsidRPr="004F40E8">
        <w:t>ταδεικνύει μεγαλύτερη, από το αναμενόμενο, αύξηση εσόδων από τρέχουσες ασφαλιστ</w:t>
      </w:r>
      <w:r w:rsidRPr="004F40E8">
        <w:t>ι</w:t>
      </w:r>
      <w:r w:rsidRPr="004F40E8">
        <w:t>κές εισφορές κυρίως των μισθωτών και ρύθμιση οφειλών και</w:t>
      </w:r>
    </w:p>
    <w:p w:rsidR="004F40E8" w:rsidRPr="004F40E8" w:rsidRDefault="004F40E8" w:rsidP="00C42D86">
      <w:pPr>
        <w:numPr>
          <w:ilvl w:val="0"/>
          <w:numId w:val="11"/>
        </w:numPr>
        <w:ind w:left="284" w:hanging="284"/>
        <w:contextualSpacing/>
        <w:jc w:val="both"/>
      </w:pPr>
      <w:r w:rsidRPr="004F40E8">
        <w:t>στη μειωμένη συνταξιοδοτική δαπάνη λόγω της αναθεώρησης του αριθμού των εκκρεμών αιτήσεων συνταξιοδότησης βάσει εκκαθάρισης στοιχείων του νεοσύστατου ΕΦΚΑ, διαδ</w:t>
      </w:r>
      <w:r w:rsidRPr="004F40E8">
        <w:t>ι</w:t>
      </w:r>
      <w:r w:rsidRPr="004F40E8">
        <w:t>κασία η οποία βρίσκεται σε εξέλιξη.</w:t>
      </w:r>
    </w:p>
    <w:p w:rsidR="004F40E8" w:rsidRPr="004F40E8" w:rsidRDefault="004F40E8" w:rsidP="004F40E8">
      <w:pPr>
        <w:contextualSpacing/>
        <w:jc w:val="both"/>
      </w:pPr>
    </w:p>
    <w:p w:rsidR="004F40E8" w:rsidRPr="004F40E8" w:rsidRDefault="004F40E8" w:rsidP="004F40E8">
      <w:pPr>
        <w:contextualSpacing/>
        <w:jc w:val="both"/>
      </w:pPr>
      <w:r w:rsidRPr="004F40E8">
        <w:t>Προσαρμογές στα ανωτέρω στοιχεία είναι ενδεχόμενες, λαμβάνοντας υπόψη νεώτερα στοιχ</w:t>
      </w:r>
      <w:r w:rsidRPr="004F40E8">
        <w:t>ε</w:t>
      </w:r>
      <w:r w:rsidRPr="004F40E8">
        <w:t xml:space="preserve">ία του </w:t>
      </w:r>
      <w:proofErr w:type="spellStart"/>
      <w:r w:rsidRPr="004F40E8">
        <w:t>εννεαμήνου</w:t>
      </w:r>
      <w:proofErr w:type="spellEnd"/>
      <w:r w:rsidRPr="004F40E8">
        <w:t xml:space="preserve"> του 2017.</w:t>
      </w:r>
    </w:p>
    <w:p w:rsidR="004F40E8" w:rsidRPr="004F40E8" w:rsidRDefault="004F40E8" w:rsidP="004F40E8">
      <w:pPr>
        <w:tabs>
          <w:tab w:val="left" w:pos="360"/>
        </w:tabs>
        <w:contextualSpacing/>
        <w:jc w:val="both"/>
      </w:pPr>
    </w:p>
    <w:p w:rsidR="004F40E8" w:rsidRPr="004F40E8" w:rsidRDefault="004F40E8" w:rsidP="00C42D86">
      <w:pPr>
        <w:numPr>
          <w:ilvl w:val="0"/>
          <w:numId w:val="7"/>
        </w:numPr>
        <w:ind w:left="426" w:hanging="426"/>
        <w:contextualSpacing/>
        <w:jc w:val="both"/>
        <w:rPr>
          <w:rFonts w:ascii="Arial Narrow" w:hAnsi="Arial Narrow"/>
          <w:b/>
          <w:sz w:val="22"/>
        </w:rPr>
      </w:pPr>
      <w:r w:rsidRPr="004F40E8">
        <w:rPr>
          <w:rFonts w:ascii="Arial Narrow" w:hAnsi="Arial Narrow"/>
          <w:b/>
          <w:sz w:val="22"/>
        </w:rPr>
        <w:t>Ασφαλιστικά Ταμεία</w:t>
      </w:r>
    </w:p>
    <w:p w:rsidR="004F40E8" w:rsidRPr="004F40E8" w:rsidRDefault="004F40E8" w:rsidP="004F40E8">
      <w:pPr>
        <w:contextualSpacing/>
        <w:jc w:val="both"/>
      </w:pPr>
    </w:p>
    <w:p w:rsidR="004F40E8" w:rsidRPr="004F40E8" w:rsidRDefault="004F40E8" w:rsidP="004F40E8">
      <w:pPr>
        <w:tabs>
          <w:tab w:val="left" w:pos="360"/>
        </w:tabs>
        <w:contextualSpacing/>
        <w:jc w:val="both"/>
      </w:pPr>
      <w:r w:rsidRPr="004F40E8">
        <w:t xml:space="preserve">Το ταμειακό έλλειμμα των Ασφαλιστικών Ταμείων εκτιμάται ότι θα μειωθεί κατά 1.447 εκατ. ευρώ σε σχέση με το ΜΠΔΣ 2018-2021 και αναμένεται να διαμορφωθεί στα 110 εκατ. ευρώ. </w:t>
      </w:r>
    </w:p>
    <w:p w:rsidR="004F40E8" w:rsidRPr="004F40E8" w:rsidRDefault="004F40E8" w:rsidP="004F40E8">
      <w:pPr>
        <w:contextualSpacing/>
        <w:jc w:val="both"/>
      </w:pPr>
    </w:p>
    <w:p w:rsidR="004F40E8" w:rsidRPr="004F40E8" w:rsidRDefault="004F40E8" w:rsidP="004F40E8">
      <w:pPr>
        <w:contextualSpacing/>
        <w:jc w:val="both"/>
      </w:pPr>
      <w:r w:rsidRPr="004F40E8">
        <w:t>Η εξέλιξη αυτή οφείλεται κυρίως:</w:t>
      </w:r>
    </w:p>
    <w:p w:rsidR="004F40E8" w:rsidRPr="004F40E8" w:rsidRDefault="004F40E8" w:rsidP="004F40E8">
      <w:pPr>
        <w:contextualSpacing/>
        <w:jc w:val="both"/>
      </w:pPr>
    </w:p>
    <w:p w:rsidR="004F40E8" w:rsidRPr="004F40E8" w:rsidRDefault="004F40E8" w:rsidP="00C42D86">
      <w:pPr>
        <w:numPr>
          <w:ilvl w:val="0"/>
          <w:numId w:val="6"/>
        </w:numPr>
        <w:ind w:left="284" w:hanging="284"/>
        <w:contextualSpacing/>
        <w:jc w:val="both"/>
      </w:pPr>
      <w:r w:rsidRPr="004F40E8">
        <w:t>στη μειωμένη κατά 1.076 εκατ. ευρώ εκτίμηση των δαπανών, χωρίς να λαμβάνονται υπ</w:t>
      </w:r>
      <w:r w:rsidRPr="004F40E8">
        <w:t>ό</w:t>
      </w:r>
      <w:r w:rsidRPr="004F40E8">
        <w:t>ψη οι αποδόσεις εισπράξεων υπέρ τρίτων. Ειδικότερα εκτιμάται ότι για το έτος 2017 η δ</w:t>
      </w:r>
      <w:r w:rsidRPr="004F40E8">
        <w:t>α</w:t>
      </w:r>
      <w:r w:rsidRPr="004F40E8">
        <w:t xml:space="preserve">πάνη για κύριες συντάξεις θα περιοριστεί κατά 446 εκατ. ευρώ, ενώ αντίστοιχα η δαπάνη για τις επικουρικές συντάξεις κατά 115 εκατ. ευρώ. Περαιτέρω, εκτιμάται μείωση κατά 515 εκατ. ευρώ των λοιπών δαπανών των ασφαλιστικών ταμείων. </w:t>
      </w:r>
    </w:p>
    <w:p w:rsidR="004F40E8" w:rsidRPr="004F40E8" w:rsidRDefault="004F40E8" w:rsidP="00C42D86">
      <w:pPr>
        <w:numPr>
          <w:ilvl w:val="0"/>
          <w:numId w:val="6"/>
        </w:numPr>
        <w:ind w:left="284" w:hanging="284"/>
        <w:contextualSpacing/>
        <w:jc w:val="both"/>
      </w:pPr>
      <w:r w:rsidRPr="004F40E8">
        <w:t>στα αυξημένα κατά 371 εκατ. ευρώ έσοδα έναντι των προβλέψεων του ΜΠΔΣ 2018-2021, χωρίς να λαμβάνονται υπόψη οι εισπράξεις υπέρ τρίτων. Ειδικότερα, εκτιμάται αύξηση των ασφαλιστικών εισφορών (κυρίως λόγω της μισθωτής εργασίας) κατά 235 εκατ. ευρώ, αύξηση των εισπράξεων λόγω ρυθμίσεων παλαιών οφειλών κατά 166 εκατ. ευρώ και με</w:t>
      </w:r>
      <w:r w:rsidRPr="004F40E8">
        <w:t>ί</w:t>
      </w:r>
      <w:r w:rsidRPr="004F40E8">
        <w:t xml:space="preserve">ωση κατά 30 εκατ. ευρώ των λοιπών εσόδων. </w:t>
      </w:r>
    </w:p>
    <w:p w:rsidR="004F40E8" w:rsidRPr="004F40E8" w:rsidRDefault="004F40E8" w:rsidP="004F40E8">
      <w:pPr>
        <w:contextualSpacing/>
        <w:jc w:val="both"/>
      </w:pPr>
    </w:p>
    <w:p w:rsidR="004F40E8" w:rsidRPr="004F40E8" w:rsidRDefault="004F40E8" w:rsidP="004F40E8">
      <w:pPr>
        <w:tabs>
          <w:tab w:val="left" w:pos="360"/>
        </w:tabs>
        <w:contextualSpacing/>
        <w:jc w:val="both"/>
      </w:pPr>
      <w:r w:rsidRPr="004F40E8">
        <w:t>Ωστόσο η αύξηση των απλήρωτων υποχρεώσεων κατά 703 εκατ. ευρώ αναμένεται να οδηγ</w:t>
      </w:r>
      <w:r w:rsidRPr="004F40E8">
        <w:t>ή</w:t>
      </w:r>
      <w:r w:rsidRPr="004F40E8">
        <w:t>σει το δημοσιονομικό αποτέλεσμα των ασφαλιστικών ταμείων σε έλλειμμα ύψους 813 εκατ. ευρώ, βελτιωμένο κατά 868 εκατ. ευρώ σε σχέση με το στόχο.</w:t>
      </w:r>
    </w:p>
    <w:p w:rsidR="004F40E8" w:rsidRPr="004F40E8" w:rsidRDefault="004F40E8" w:rsidP="004F40E8">
      <w:pPr>
        <w:contextualSpacing/>
        <w:jc w:val="both"/>
      </w:pPr>
    </w:p>
    <w:p w:rsidR="004F40E8" w:rsidRPr="004F40E8" w:rsidRDefault="004F40E8" w:rsidP="004F40E8">
      <w:pPr>
        <w:contextualSpacing/>
        <w:jc w:val="both"/>
        <w:rPr>
          <w:strike/>
        </w:rPr>
      </w:pPr>
      <w:r w:rsidRPr="004F40E8">
        <w:t xml:space="preserve">Ειδικότερα, η αύξηση αυτή οφείλεται αφενός στη μεταφορά ποσού ύψους 270 εκατ. ευρώ, που αφορά παλαιές υποχρεώσεις των κλάδων υγείας των Φορέων Κοινωνικής Ασφάλισης (ΦΚΑ), από τις ληξιπρόθεσμες υποχρεώσεις του ΕΟΠΥΥ στον ΕΦΚΑ και αφετέρου στις </w:t>
      </w:r>
      <w:r w:rsidRPr="004F40E8">
        <w:t>ε</w:t>
      </w:r>
      <w:r w:rsidRPr="004F40E8">
        <w:t xml:space="preserve">φάπαξ παροχές. </w:t>
      </w:r>
    </w:p>
    <w:p w:rsidR="004F40E8" w:rsidRPr="004F40E8" w:rsidRDefault="004F40E8" w:rsidP="004F40E8">
      <w:pPr>
        <w:contextualSpacing/>
        <w:jc w:val="both"/>
      </w:pPr>
    </w:p>
    <w:p w:rsidR="004F40E8" w:rsidRPr="004F40E8" w:rsidRDefault="004F40E8" w:rsidP="004F40E8">
      <w:pPr>
        <w:contextualSpacing/>
        <w:jc w:val="both"/>
      </w:pPr>
      <w:r w:rsidRPr="004F40E8">
        <w:t>Περαιτέρω, μετά την εφαρμογή του νέου ασφαλιστικού νόμου (ν. 4387/2016) και τον επαν</w:t>
      </w:r>
      <w:r w:rsidRPr="004F40E8">
        <w:t>α</w:t>
      </w:r>
      <w:r w:rsidRPr="004F40E8">
        <w:t>καθορισμό του τρόπου υπολογισμού των εφάπαξ παροχών αναμένεται η ταχύτερη διευθέτ</w:t>
      </w:r>
      <w:r w:rsidRPr="004F40E8">
        <w:t>η</w:t>
      </w:r>
      <w:r w:rsidRPr="004F40E8">
        <w:t>ση των σχετικών εκκρεμοτήτων ενώ, παράλληλα η μεταφορά των ληξιπρόθεσμων οφειλών στο Κέντρο Είσπραξης Ασφαλιστικών Οφειλών (ΚΕΑΟ) συμβάλλει στην αποτελεσματικότ</w:t>
      </w:r>
      <w:r w:rsidRPr="004F40E8">
        <w:t>ε</w:t>
      </w:r>
      <w:r w:rsidRPr="004F40E8">
        <w:t>ρη και με ενιαίους κανόνες διαχείριση των οφειλών προς τα ασφαλιστικά ταμεία και συνακ</w:t>
      </w:r>
      <w:r w:rsidRPr="004F40E8">
        <w:t>ό</w:t>
      </w:r>
      <w:r w:rsidRPr="004F40E8">
        <w:t>λουθα στην αύξηση των εισπράξεων από τις οφειλές αυτές.</w:t>
      </w:r>
    </w:p>
    <w:p w:rsidR="004F40E8" w:rsidRPr="004F40E8" w:rsidRDefault="004F40E8" w:rsidP="004F40E8">
      <w:pPr>
        <w:contextualSpacing/>
        <w:jc w:val="both"/>
      </w:pPr>
    </w:p>
    <w:p w:rsidR="004F40E8" w:rsidRPr="004F40E8" w:rsidRDefault="004F40E8" w:rsidP="00C42D86">
      <w:pPr>
        <w:numPr>
          <w:ilvl w:val="0"/>
          <w:numId w:val="7"/>
        </w:numPr>
        <w:ind w:left="426" w:hanging="426"/>
        <w:contextualSpacing/>
        <w:jc w:val="both"/>
        <w:rPr>
          <w:rFonts w:ascii="Arial Narrow" w:hAnsi="Arial Narrow"/>
          <w:b/>
          <w:sz w:val="22"/>
        </w:rPr>
      </w:pPr>
      <w:r w:rsidRPr="004F40E8">
        <w:rPr>
          <w:rFonts w:ascii="Arial Narrow" w:hAnsi="Arial Narrow"/>
          <w:b/>
          <w:sz w:val="22"/>
        </w:rPr>
        <w:t>Οργανισμοί Απασχόλησης</w:t>
      </w:r>
    </w:p>
    <w:p w:rsidR="004F40E8" w:rsidRPr="004F40E8" w:rsidRDefault="004F40E8" w:rsidP="004F40E8">
      <w:pPr>
        <w:contextualSpacing/>
        <w:jc w:val="both"/>
      </w:pPr>
    </w:p>
    <w:p w:rsidR="004F40E8" w:rsidRPr="004F40E8" w:rsidRDefault="004F40E8" w:rsidP="004F40E8">
      <w:pPr>
        <w:contextualSpacing/>
        <w:jc w:val="both"/>
      </w:pPr>
      <w:r w:rsidRPr="004F40E8">
        <w:t xml:space="preserve">Ο προϋπολογισμός του Οργανισμού Απασχόλησης Εργατικού Δυναμικού (ΟΑΕΔ) για το </w:t>
      </w:r>
      <w:r w:rsidRPr="004F40E8">
        <w:t>έ</w:t>
      </w:r>
      <w:r w:rsidRPr="004F40E8">
        <w:t>τος 2017 εκτιμάται ότι θα παρουσιάσει θετικό ταμειακό ισοζύγιο ύψους 649 εκατ. ευρώ, βε</w:t>
      </w:r>
      <w:r w:rsidRPr="004F40E8">
        <w:t>λ</w:t>
      </w:r>
      <w:r w:rsidRPr="004F40E8">
        <w:t>τιωμένο κατά 291 εκατ. ευρώ έναντι του στόχου. Σε δημοσιονομική βάση το ισοζύγιο εκτιμ</w:t>
      </w:r>
      <w:r w:rsidRPr="004F40E8">
        <w:t>ά</w:t>
      </w:r>
      <w:r w:rsidRPr="004F40E8">
        <w:t>ται να διαμορφωθεί στα 659 εκατ. ευρώ.</w:t>
      </w:r>
    </w:p>
    <w:p w:rsidR="004F40E8" w:rsidRPr="004F40E8" w:rsidRDefault="004F40E8" w:rsidP="004F40E8">
      <w:pPr>
        <w:contextualSpacing/>
        <w:jc w:val="both"/>
      </w:pPr>
    </w:p>
    <w:p w:rsidR="004F40E8" w:rsidRPr="004F40E8" w:rsidRDefault="004F40E8" w:rsidP="004F40E8">
      <w:pPr>
        <w:contextualSpacing/>
        <w:jc w:val="both"/>
      </w:pPr>
      <w:r w:rsidRPr="004F40E8">
        <w:t>Η βελτίωση οφείλεται στην αύξηση κατά 51 εκατ. ευρώ των εσόδων του από ασφαλιστικές εισφορές και ρυθμίσεις παλαιών οφειλών και στη μείωση κατά 220 εκατ. ευρώ των δαπανών του.</w:t>
      </w:r>
    </w:p>
    <w:p w:rsidR="004F40E8" w:rsidRPr="004F40E8" w:rsidRDefault="004F40E8" w:rsidP="004F40E8">
      <w:pPr>
        <w:contextualSpacing/>
        <w:jc w:val="both"/>
        <w:rPr>
          <w:highlight w:val="lightGray"/>
        </w:rPr>
      </w:pPr>
    </w:p>
    <w:p w:rsidR="004F40E8" w:rsidRPr="004F40E8" w:rsidRDefault="004F40E8" w:rsidP="004F40E8">
      <w:pPr>
        <w:contextualSpacing/>
        <w:jc w:val="both"/>
      </w:pPr>
      <w:r w:rsidRPr="004F40E8">
        <w:t xml:space="preserve">Ειδικότερα, για τη χορήγηση των επιδομάτων ανεργίας που υλοποιούνται μέσω του ΟΑΕΔ, για το έτος 2017 εκτιμώνται δαπάνες ύψους 988 εκατ. ευρώ, ενώ παράλληλα η εφαρμογή των ενεργητικών πολιτικών απασχόλησης μέσω των προγραμμάτων ενίσχυσης, κατάρτισης και επανένταξης στην αγορά εργασίας, εκτιμάται ότι θα ανέλθει σε 350 εκατ. ευρώ. </w:t>
      </w:r>
    </w:p>
    <w:p w:rsidR="004F40E8" w:rsidRPr="004F40E8" w:rsidRDefault="004F40E8" w:rsidP="004F40E8">
      <w:pPr>
        <w:contextualSpacing/>
        <w:jc w:val="both"/>
      </w:pPr>
    </w:p>
    <w:p w:rsidR="004F40E8" w:rsidRPr="004F40E8" w:rsidRDefault="004F40E8" w:rsidP="00C42D86">
      <w:pPr>
        <w:numPr>
          <w:ilvl w:val="0"/>
          <w:numId w:val="7"/>
        </w:numPr>
        <w:ind w:left="426" w:hanging="426"/>
        <w:contextualSpacing/>
        <w:jc w:val="both"/>
        <w:rPr>
          <w:rFonts w:ascii="Arial Narrow" w:hAnsi="Arial Narrow"/>
          <w:b/>
          <w:sz w:val="22"/>
        </w:rPr>
      </w:pPr>
      <w:r w:rsidRPr="004F40E8">
        <w:rPr>
          <w:rFonts w:ascii="Arial Narrow" w:hAnsi="Arial Narrow"/>
          <w:b/>
          <w:sz w:val="22"/>
        </w:rPr>
        <w:t>Εθνικός Οργανισμός Παροχής Υπηρεσιών Υγείας (ΕΟΠΥΥ)</w:t>
      </w:r>
    </w:p>
    <w:p w:rsidR="004F40E8" w:rsidRPr="004F40E8" w:rsidRDefault="004F40E8" w:rsidP="004F40E8">
      <w:pPr>
        <w:contextualSpacing/>
        <w:jc w:val="both"/>
        <w:rPr>
          <w:rFonts w:ascii="Arial Narrow" w:hAnsi="Arial Narrow"/>
          <w:b/>
          <w:sz w:val="22"/>
        </w:rPr>
      </w:pPr>
    </w:p>
    <w:p w:rsidR="004F40E8" w:rsidRPr="004F40E8" w:rsidRDefault="004F40E8" w:rsidP="004F40E8">
      <w:pPr>
        <w:contextualSpacing/>
        <w:jc w:val="both"/>
      </w:pPr>
      <w:r w:rsidRPr="004F40E8">
        <w:t>Το δημοσιονομικό αποτέλεσμα του προϋπολογισμού του ΕΟΠΥΥ για το 2017 εκτιμάται ότι θα διαμορφωθεί σε πλεόνασμα ύψους 444 εκατ. ευρώ βελτιωμένο κατά 67 εκατ. ευρώ σε σχέση με το στόχο του ΜΠΔΣ. Η εξέλιξη αυτή οφείλεται κατά κύριο λόγο στην αύξηση των εσόδων από ασφαλιστικές εισφορές.</w:t>
      </w:r>
    </w:p>
    <w:p w:rsidR="004F40E8" w:rsidRPr="004F40E8" w:rsidRDefault="004F40E8" w:rsidP="004F40E8">
      <w:pPr>
        <w:contextualSpacing/>
        <w:jc w:val="both"/>
      </w:pPr>
    </w:p>
    <w:p w:rsidR="004F40E8" w:rsidRPr="004F40E8" w:rsidRDefault="004F40E8" w:rsidP="004F40E8">
      <w:pPr>
        <w:contextualSpacing/>
        <w:jc w:val="both"/>
        <w:rPr>
          <w:color w:val="000000" w:themeColor="text1"/>
        </w:rPr>
      </w:pPr>
      <w:r w:rsidRPr="004F40E8">
        <w:t xml:space="preserve">Ταυτόχρονα, ο Οργανισμός καταβάλλει σημαντική προσπάθεια επιτάχυνσης των πληρωμών </w:t>
      </w:r>
      <w:r w:rsidRPr="004F40E8">
        <w:rPr>
          <w:color w:val="000000" w:themeColor="text1"/>
        </w:rPr>
        <w:t xml:space="preserve">στοχεύοντας στην παράλληλη μείωση των απλήρωτων υποχρεώσεων. </w:t>
      </w:r>
    </w:p>
    <w:p w:rsidR="004F40E8" w:rsidRPr="004F40E8" w:rsidRDefault="004F40E8" w:rsidP="004F40E8">
      <w:pPr>
        <w:contextualSpacing/>
        <w:jc w:val="both"/>
      </w:pPr>
    </w:p>
    <w:p w:rsidR="004F40E8" w:rsidRPr="004F40E8" w:rsidRDefault="004F40E8" w:rsidP="004F40E8">
      <w:pPr>
        <w:contextualSpacing/>
        <w:jc w:val="both"/>
      </w:pPr>
      <w:r w:rsidRPr="004F40E8">
        <w:t xml:space="preserve">Παράλληλα, υλοποιούνται δράσεις, τόσο για τη συγκράτηση της φαρμακευτικής δαπάνης και της δαπάνης για τους </w:t>
      </w:r>
      <w:proofErr w:type="spellStart"/>
      <w:r w:rsidRPr="004F40E8">
        <w:t>παρόχους</w:t>
      </w:r>
      <w:proofErr w:type="spellEnd"/>
      <w:r w:rsidRPr="004F40E8">
        <w:t xml:space="preserve"> υγείας, όσο επίσης και για την απρόσκοπτη και έγκαιρη εί</w:t>
      </w:r>
      <w:r w:rsidRPr="004F40E8">
        <w:t>σ</w:t>
      </w:r>
      <w:r w:rsidRPr="004F40E8">
        <w:t xml:space="preserve">πραξη των οφειλόμενων επιστροφών από </w:t>
      </w:r>
      <w:r w:rsidRPr="004F40E8">
        <w:rPr>
          <w:lang w:val="en-US"/>
        </w:rPr>
        <w:t>rebate</w:t>
      </w:r>
      <w:r w:rsidRPr="004F40E8">
        <w:t xml:space="preserve"> και </w:t>
      </w:r>
      <w:proofErr w:type="spellStart"/>
      <w:r w:rsidRPr="004F40E8">
        <w:rPr>
          <w:lang w:val="en-US"/>
        </w:rPr>
        <w:t>clawback</w:t>
      </w:r>
      <w:proofErr w:type="spellEnd"/>
      <w:r w:rsidRPr="004F40E8">
        <w:t xml:space="preserve">. </w:t>
      </w:r>
    </w:p>
    <w:p w:rsidR="004F40E8" w:rsidRPr="004F40E8" w:rsidRDefault="004F40E8" w:rsidP="004F40E8">
      <w:pPr>
        <w:contextualSpacing/>
        <w:jc w:val="both"/>
      </w:pPr>
    </w:p>
    <w:p w:rsidR="004F40E8" w:rsidRPr="004F40E8" w:rsidRDefault="004F40E8" w:rsidP="004F40E8">
      <w:pPr>
        <w:contextualSpacing/>
        <w:jc w:val="both"/>
      </w:pPr>
      <w:r w:rsidRPr="004F40E8">
        <w:t>Ειδικότερα, το 2017 επεκτάθηκε η εφαρμογή του μηχανισμού αυτόματων επιστροφών (</w:t>
      </w:r>
      <w:proofErr w:type="spellStart"/>
      <w:r w:rsidRPr="004F40E8">
        <w:rPr>
          <w:lang w:val="en-US"/>
        </w:rPr>
        <w:t>cla</w:t>
      </w:r>
      <w:r w:rsidRPr="004F40E8">
        <w:rPr>
          <w:lang w:val="en-US"/>
        </w:rPr>
        <w:t>w</w:t>
      </w:r>
      <w:r w:rsidRPr="004F40E8">
        <w:rPr>
          <w:lang w:val="en-US"/>
        </w:rPr>
        <w:t>back</w:t>
      </w:r>
      <w:proofErr w:type="spellEnd"/>
      <w:r w:rsidRPr="004F40E8">
        <w:t xml:space="preserve">) και σε λοιπές κατηγορίες </w:t>
      </w:r>
      <w:proofErr w:type="spellStart"/>
      <w:r w:rsidRPr="004F40E8">
        <w:t>παρόχων</w:t>
      </w:r>
      <w:proofErr w:type="spellEnd"/>
      <w:r w:rsidRPr="004F40E8">
        <w:t xml:space="preserve"> υπηρεσιών υγείας (υπηρεσίες ειδικής αγωγής, ιατρ</w:t>
      </w:r>
      <w:r w:rsidRPr="004F40E8">
        <w:t>ι</w:t>
      </w:r>
      <w:r w:rsidRPr="004F40E8">
        <w:t xml:space="preserve">κές υπηρεσίες, πρόσθετη περίθαλψη) καθώς και σε συμβεβλημένους </w:t>
      </w:r>
      <w:proofErr w:type="spellStart"/>
      <w:r w:rsidRPr="004F40E8">
        <w:t>παρόχους</w:t>
      </w:r>
      <w:proofErr w:type="spellEnd"/>
      <w:r w:rsidRPr="004F40E8">
        <w:t xml:space="preserve"> </w:t>
      </w:r>
      <w:proofErr w:type="spellStart"/>
      <w:r w:rsidRPr="004F40E8">
        <w:t>ιατροτεχνολ</w:t>
      </w:r>
      <w:r w:rsidRPr="004F40E8">
        <w:t>ο</w:t>
      </w:r>
      <w:r w:rsidRPr="004F40E8">
        <w:t>γικών</w:t>
      </w:r>
      <w:proofErr w:type="spellEnd"/>
      <w:r w:rsidRPr="004F40E8">
        <w:t xml:space="preserve"> προϊόντων και συμπληρωμάτων ειδικής διατροφής. </w:t>
      </w:r>
    </w:p>
    <w:p w:rsidR="004F40E8" w:rsidRPr="004F40E8" w:rsidRDefault="004F40E8" w:rsidP="004F40E8">
      <w:pPr>
        <w:contextualSpacing/>
        <w:jc w:val="both"/>
      </w:pPr>
    </w:p>
    <w:p w:rsidR="004F40E8" w:rsidRPr="004F40E8" w:rsidRDefault="004F40E8" w:rsidP="004F40E8">
      <w:pPr>
        <w:contextualSpacing/>
        <w:jc w:val="both"/>
      </w:pPr>
      <w:r w:rsidRPr="004F40E8">
        <w:t xml:space="preserve">Με τον τρόπο αυτό, παρά το γεγονός ότι από τα στοιχεία εκτέλεσης του προϋπολογισμού, η δεδουλευμένη προ </w:t>
      </w:r>
      <w:proofErr w:type="spellStart"/>
      <w:r w:rsidRPr="004F40E8">
        <w:t>clawback</w:t>
      </w:r>
      <w:proofErr w:type="spellEnd"/>
      <w:r w:rsidRPr="004F40E8">
        <w:t>/</w:t>
      </w:r>
      <w:proofErr w:type="spellStart"/>
      <w:r w:rsidRPr="004F40E8">
        <w:t>rebate</w:t>
      </w:r>
      <w:proofErr w:type="spellEnd"/>
      <w:r w:rsidRPr="004F40E8">
        <w:t xml:space="preserve"> δαπάνη για φάρμακα και παροχές ασθένειας εμφανίζεται αυξημένη σε σχέση με το προηγούμενο έτος, αναμένεται να διασφαλιστεί η τήρηση των μετά </w:t>
      </w:r>
      <w:proofErr w:type="spellStart"/>
      <w:r w:rsidRPr="004F40E8">
        <w:t>clawback</w:t>
      </w:r>
      <w:proofErr w:type="spellEnd"/>
      <w:r w:rsidRPr="004F40E8">
        <w:t>/</w:t>
      </w:r>
      <w:proofErr w:type="spellStart"/>
      <w:r w:rsidRPr="004F40E8">
        <w:t>rebate</w:t>
      </w:r>
      <w:proofErr w:type="spellEnd"/>
      <w:r w:rsidRPr="004F40E8">
        <w:t xml:space="preserve"> ορίων που έχουν προσδιοριστεί στο ΜΠΔΣ 2018-2021, δηλαδή στα 2.003 εκατ. ευρώ για τη φαρμακευτική δαπάνη και στα 1.525 εκατ. ευρώ για τις διάφορες κατηγ</w:t>
      </w:r>
      <w:r w:rsidRPr="004F40E8">
        <w:t>ο</w:t>
      </w:r>
      <w:r w:rsidRPr="004F40E8">
        <w:t>ρίες παροχών ασθένειας.</w:t>
      </w:r>
    </w:p>
    <w:p w:rsidR="004F40E8" w:rsidRPr="004F40E8" w:rsidRDefault="004F40E8" w:rsidP="004F40E8">
      <w:pPr>
        <w:contextualSpacing/>
        <w:jc w:val="both"/>
      </w:pPr>
    </w:p>
    <w:p w:rsidR="004F40E8" w:rsidRPr="004F40E8" w:rsidRDefault="004F40E8" w:rsidP="004F40E8">
      <w:pPr>
        <w:tabs>
          <w:tab w:val="left" w:pos="360"/>
        </w:tabs>
        <w:contextualSpacing/>
        <w:jc w:val="both"/>
        <w:rPr>
          <w:rFonts w:ascii="Arial Narrow" w:hAnsi="Arial Narrow"/>
          <w:b/>
          <w:color w:val="000080"/>
          <w:sz w:val="22"/>
          <w:szCs w:val="22"/>
        </w:rPr>
      </w:pPr>
      <w:r w:rsidRPr="004F40E8">
        <w:rPr>
          <w:rFonts w:ascii="Arial Narrow" w:hAnsi="Arial Narrow"/>
          <w:b/>
          <w:color w:val="000080"/>
          <w:sz w:val="22"/>
          <w:szCs w:val="22"/>
        </w:rPr>
        <w:t>Νοσοκομεία – Πρωτοβάθμιο Εθνικό Δίκτυο Υγείας (ΠΕΔΥ)</w:t>
      </w:r>
    </w:p>
    <w:p w:rsidR="004F40E8" w:rsidRPr="004F40E8" w:rsidRDefault="004F40E8" w:rsidP="004F40E8">
      <w:pPr>
        <w:contextualSpacing/>
        <w:jc w:val="both"/>
      </w:pPr>
    </w:p>
    <w:p w:rsidR="004F40E8" w:rsidRPr="004F40E8" w:rsidRDefault="004F40E8" w:rsidP="004F40E8">
      <w:pPr>
        <w:contextualSpacing/>
        <w:jc w:val="both"/>
      </w:pPr>
      <w:r w:rsidRPr="004F40E8">
        <w:t>Ο προϋπολογισμός των δημόσιων νοσοκομείων και των ΥΠΕ-ΠΕΔΥ, ως προς το σκέλος των εσόδων, αναμένεται να διαμορφωθεί εντός των στόχων του ΜΠΔΣ 2018-2021. Σημειώνεται ότι, η αύξηση των μεταβιβάσεων από τον Τακτικό Προϋπολογισμό, οφείλεται στις νομοθετ</w:t>
      </w:r>
      <w:r w:rsidRPr="004F40E8">
        <w:t>ι</w:t>
      </w:r>
      <w:r w:rsidRPr="004F40E8">
        <w:t xml:space="preserve">κές παρεμβάσεις, με τις οποίες προβλέπεται αύξηση της αποζημίωσης των εφημεριών και των λοιπών παροχών του νοσηλευτικού προσωπικού. </w:t>
      </w:r>
    </w:p>
    <w:p w:rsidR="004F40E8" w:rsidRPr="004F40E8" w:rsidRDefault="004F40E8" w:rsidP="004F40E8">
      <w:pPr>
        <w:contextualSpacing/>
        <w:jc w:val="both"/>
      </w:pPr>
    </w:p>
    <w:p w:rsidR="004F40E8" w:rsidRPr="004F40E8" w:rsidRDefault="004F40E8" w:rsidP="004F40E8">
      <w:pPr>
        <w:contextualSpacing/>
        <w:jc w:val="both"/>
      </w:pPr>
      <w:r w:rsidRPr="004F40E8">
        <w:t>Ως προς το σκέλος των εξόδων, εκτιμάται ότι το συνολικό ύψος των πληρωμών θα είναι με</w:t>
      </w:r>
      <w:r w:rsidRPr="004F40E8">
        <w:t>ι</w:t>
      </w:r>
      <w:r w:rsidRPr="004F40E8">
        <w:t xml:space="preserve">ωμένο κατά 91 εκατ. ευρώ σε σχέση με τους στόχους που είχαν τεθεί στο ΜΠΔΣ 2018-2021, εξέλιξη που συνδέεται και με μείωση της μεταβολής των απλήρωτων υποχρεώσεων κατά 114 εκατ. ευρώ. </w:t>
      </w:r>
    </w:p>
    <w:p w:rsidR="004F40E8" w:rsidRPr="004F40E8" w:rsidRDefault="004F40E8" w:rsidP="004F40E8">
      <w:pPr>
        <w:contextualSpacing/>
        <w:jc w:val="both"/>
      </w:pPr>
    </w:p>
    <w:p w:rsidR="004F40E8" w:rsidRPr="004F40E8" w:rsidRDefault="004F40E8" w:rsidP="004F40E8">
      <w:pPr>
        <w:contextualSpacing/>
        <w:jc w:val="both"/>
      </w:pPr>
      <w:r w:rsidRPr="004F40E8">
        <w:lastRenderedPageBreak/>
        <w:t xml:space="preserve">Το δημοσιονομικό αποτέλεσμα εκτιμάται ότι θα διαμορφωθεί στα 476 εκατ. ευρώ, ελαφρώς επιδεινωμένο ως προς τις αντίστοιχες εκτιμήσεις, όπως αυτές αποτυπώθηκαν στο ΜΠΔΣ. </w:t>
      </w:r>
    </w:p>
    <w:p w:rsidR="004F40E8" w:rsidRPr="004F40E8" w:rsidRDefault="004F40E8" w:rsidP="004F40E8">
      <w:pPr>
        <w:contextualSpacing/>
        <w:jc w:val="both"/>
      </w:pPr>
    </w:p>
    <w:p w:rsidR="004F40E8" w:rsidRPr="004F40E8" w:rsidRDefault="004F40E8" w:rsidP="004F40E8">
      <w:pPr>
        <w:contextualSpacing/>
        <w:jc w:val="both"/>
      </w:pPr>
      <w:r w:rsidRPr="004F40E8">
        <w:t xml:space="preserve">Επισημαίνεται ότι, εντός του τρέχοντος </w:t>
      </w:r>
      <w:proofErr w:type="spellStart"/>
      <w:r w:rsidRPr="004F40E8">
        <w:t>οικ</w:t>
      </w:r>
      <w:proofErr w:type="spellEnd"/>
      <w:r w:rsidRPr="004F40E8">
        <w:rPr>
          <w:lang w:val="en-US"/>
        </w:rPr>
        <w:t>o</w:t>
      </w:r>
      <w:r w:rsidRPr="004F40E8">
        <w:t>νομικού έτους και στο πλαίσιο εφαρμογής των διατάξεων για το μηχανισμό αυτόματων επιστροφών για τη νοσοκομειακή φαρμακευτική δ</w:t>
      </w:r>
      <w:r w:rsidRPr="004F40E8">
        <w:t>α</w:t>
      </w:r>
      <w:r w:rsidRPr="004F40E8">
        <w:t>πάνη (</w:t>
      </w:r>
      <w:proofErr w:type="spellStart"/>
      <w:r w:rsidRPr="004F40E8">
        <w:t>clawback</w:t>
      </w:r>
      <w:proofErr w:type="spellEnd"/>
      <w:r w:rsidRPr="004F40E8">
        <w:t>), για πρώτη φορά το Υπουργείο Υγείας προχώρησε στην ενεργοποίηση του εν λόγω μηχανισμού για τη φαρμακευτική δαπάνη του 2016. Ειδικότερα, το καταλογισθέν ποσό στις φαρμακευτικές εταιρείες ανήλθε συνολικά στα 160 εκατ. ευρώ περίπου, το μεγαλ</w:t>
      </w:r>
      <w:r w:rsidRPr="004F40E8">
        <w:t>ύ</w:t>
      </w:r>
      <w:r w:rsidRPr="004F40E8">
        <w:t>τερο μέρος του οποίου έχει ήδη συμψηφιστεί με ισόποσες οφειλές των νοσοκομείων προς τις φαρμακευτικές εταιρείες. Για τα έτη 2017 και 2018, αναμένεται εκ νέου η εφαρμογή του μ</w:t>
      </w:r>
      <w:r w:rsidRPr="004F40E8">
        <w:t>η</w:t>
      </w:r>
      <w:r w:rsidRPr="004F40E8">
        <w:t>χανισμού των αυτόματων επιστροφών (</w:t>
      </w:r>
      <w:proofErr w:type="spellStart"/>
      <w:r w:rsidRPr="004F40E8">
        <w:t>clawback</w:t>
      </w:r>
      <w:proofErr w:type="spellEnd"/>
      <w:r w:rsidRPr="004F40E8">
        <w:t>), στην περίπτωση που η φαρμακευτική δ</w:t>
      </w:r>
      <w:r w:rsidRPr="004F40E8">
        <w:t>α</w:t>
      </w:r>
      <w:r w:rsidRPr="004F40E8">
        <w:t>πάνη υπερβεί τα προκαθορισθέντα όρια. Σημειώνεται ότι ο τρόπος υπολογισμού του μηχ</w:t>
      </w:r>
      <w:r w:rsidRPr="004F40E8">
        <w:t>α</w:t>
      </w:r>
      <w:r w:rsidRPr="004F40E8">
        <w:t xml:space="preserve">νισμού των αυτόματων επιστροφών έχει τροποποιηθεί και λαμβάνει πλέον υπόψη και την </w:t>
      </w:r>
      <w:r w:rsidRPr="004F40E8">
        <w:t>α</w:t>
      </w:r>
      <w:r w:rsidRPr="004F40E8">
        <w:t xml:space="preserve">νάπτυξη του μεριδίου αγοράς κάθε εταιρείας, καθιστώντας με τον τρόπο αυτό δικαιότερη την εφαρμογή του. </w:t>
      </w:r>
    </w:p>
    <w:p w:rsidR="004F40E8" w:rsidRPr="004F40E8" w:rsidRDefault="004F40E8" w:rsidP="004F40E8">
      <w:pPr>
        <w:contextualSpacing/>
        <w:jc w:val="both"/>
      </w:pPr>
    </w:p>
    <w:p w:rsidR="004F40E8" w:rsidRPr="004F40E8" w:rsidRDefault="004F40E8" w:rsidP="004F40E8">
      <w:pPr>
        <w:contextualSpacing/>
        <w:jc w:val="both"/>
      </w:pPr>
      <w:r w:rsidRPr="004F40E8">
        <w:t xml:space="preserve">Τέλος, με τη σύσταση της Εθνικής Κεντρικής Αρχής Προμηθειών Υγείας (ν.4472/2017), </w:t>
      </w:r>
      <w:r w:rsidRPr="004F40E8">
        <w:t>α</w:t>
      </w:r>
      <w:r w:rsidRPr="004F40E8">
        <w:t>ναμένεται σύντομα η έναρξη λειτουργίας ενός κεντρικού συστήματος προμηθειών που θα αναφέρεται στο σύνολο των νοσοκομείων του ΕΣΥ και των ΥΠΕ-ΠΕΔΥ.</w:t>
      </w:r>
    </w:p>
    <w:p w:rsidR="004F40E8" w:rsidRPr="004F40E8" w:rsidRDefault="004F40E8" w:rsidP="004F40E8">
      <w:pPr>
        <w:contextualSpacing/>
        <w:jc w:val="both"/>
      </w:pPr>
    </w:p>
    <w:p w:rsidR="004F40E8" w:rsidRPr="004F40E8" w:rsidRDefault="004F40E8" w:rsidP="004F40E8">
      <w:pPr>
        <w:contextualSpacing/>
        <w:jc w:val="both"/>
        <w:rPr>
          <w:rFonts w:ascii="Arial Narrow" w:hAnsi="Arial Narrow"/>
          <w:b/>
          <w:bCs/>
          <w:color w:val="000080"/>
          <w:szCs w:val="22"/>
        </w:rPr>
      </w:pPr>
      <w:r w:rsidRPr="004F40E8">
        <w:rPr>
          <w:rFonts w:ascii="Arial Narrow" w:hAnsi="Arial Narrow"/>
          <w:b/>
          <w:bCs/>
          <w:color w:val="000080"/>
          <w:szCs w:val="22"/>
        </w:rPr>
        <w:t>1.4</w:t>
      </w:r>
      <w:r w:rsidRPr="004F40E8">
        <w:rPr>
          <w:rFonts w:ascii="Arial Narrow" w:hAnsi="Arial Narrow"/>
          <w:b/>
          <w:bCs/>
          <w:color w:val="000080"/>
          <w:szCs w:val="22"/>
        </w:rPr>
        <w:tab/>
        <w:t>Λοιπές παρεμβάσεις κοινωνικής προστασίας</w:t>
      </w:r>
    </w:p>
    <w:p w:rsidR="004F40E8" w:rsidRPr="004F40E8" w:rsidRDefault="004F40E8" w:rsidP="004F40E8">
      <w:pPr>
        <w:contextualSpacing/>
        <w:jc w:val="both"/>
      </w:pPr>
    </w:p>
    <w:p w:rsidR="004F40E8" w:rsidRPr="004F40E8" w:rsidRDefault="004F40E8" w:rsidP="004F40E8">
      <w:pPr>
        <w:tabs>
          <w:tab w:val="left" w:pos="360"/>
        </w:tabs>
        <w:contextualSpacing/>
        <w:jc w:val="both"/>
        <w:rPr>
          <w:rFonts w:ascii="Arial Narrow" w:hAnsi="Arial Narrow"/>
          <w:b/>
          <w:color w:val="000080"/>
          <w:sz w:val="22"/>
          <w:szCs w:val="22"/>
        </w:rPr>
      </w:pPr>
      <w:r w:rsidRPr="004F40E8">
        <w:rPr>
          <w:rFonts w:ascii="Arial Narrow" w:hAnsi="Arial Narrow"/>
          <w:b/>
          <w:color w:val="000080"/>
          <w:sz w:val="22"/>
          <w:szCs w:val="22"/>
        </w:rPr>
        <w:t>Κοινωνικό Εισόδημα Αλληλεγγύης (ΚΕΑ)</w:t>
      </w:r>
    </w:p>
    <w:p w:rsidR="004F40E8" w:rsidRPr="004F40E8" w:rsidRDefault="004F40E8" w:rsidP="004F40E8">
      <w:pPr>
        <w:contextualSpacing/>
        <w:jc w:val="both"/>
        <w:rPr>
          <w:rFonts w:ascii="Verdana" w:hAnsi="Verdana"/>
          <w:b/>
          <w:sz w:val="20"/>
          <w:szCs w:val="20"/>
          <w:u w:val="single"/>
        </w:rPr>
      </w:pPr>
    </w:p>
    <w:p w:rsidR="004F40E8" w:rsidRPr="004F40E8" w:rsidRDefault="004F40E8" w:rsidP="004F40E8">
      <w:pPr>
        <w:contextualSpacing/>
        <w:jc w:val="both"/>
      </w:pPr>
      <w:r w:rsidRPr="004F40E8">
        <w:t>Με τις διατάξεις του άρθρου 235 ν. 4389/2016 «Επείγουσες διατάξεις για την εφαρμογή της συμφωνίας δημοσιονομικών στόχων» (ΦΕΚ 94 Α΄) τέθηκε σε βαθμιαία εθνική εφαρμογή το πρόγραμμα με τίτλο «Κοινωνικό Εισόδημα Αλληλεγγύης», αρχικά σε τριάντα (30) μικρούς και μεσαίους δήμους και στη συνέχεια σε πανελλαδικό επίπεδο από το Φεβρουάριο 2017. Το ΚΕΑ αποσκοπεί στη δημιουργία ενός σύγχρονου συστήματος πρόνοιας και κοινωνικής προ</w:t>
      </w:r>
      <w:r w:rsidRPr="004F40E8">
        <w:t>σ</w:t>
      </w:r>
      <w:r w:rsidRPr="004F40E8">
        <w:t xml:space="preserve">τασίας σύμφωνα με τις βέλτιστες πρακτικές που εφαρμόζονται σε χώρες της ΕΕ.  </w:t>
      </w:r>
    </w:p>
    <w:p w:rsidR="004F40E8" w:rsidRPr="004F40E8" w:rsidRDefault="004F40E8" w:rsidP="004F40E8">
      <w:pPr>
        <w:contextualSpacing/>
        <w:jc w:val="both"/>
      </w:pPr>
    </w:p>
    <w:p w:rsidR="004F40E8" w:rsidRPr="004F40E8" w:rsidRDefault="004F40E8" w:rsidP="004F40E8">
      <w:pPr>
        <w:contextualSpacing/>
        <w:jc w:val="both"/>
      </w:pPr>
      <w:r w:rsidRPr="004F40E8">
        <w:t xml:space="preserve">Ειδικότερα  η εκτιμώμενη δαπάνη για την υλοποίηση του εν λόγω προγράμματος  ανέρχεται σε 620 εκατ. ευρώ έναντι στόχου 747 εκατ. ευρώ, δεδομένης της έναρξης υλοποίησης του προγράμματος από το Φεβρουάριο 2017. Για το έτος 2018 προβλέπεται ποσό ύψους 760 </w:t>
      </w:r>
      <w:r w:rsidRPr="004F40E8">
        <w:t>ε</w:t>
      </w:r>
      <w:r w:rsidRPr="004F40E8">
        <w:t>κατ. ευρώ για την απρόσκοπτη λειτουργία του προγράμματος.</w:t>
      </w:r>
    </w:p>
    <w:p w:rsidR="004F40E8" w:rsidRPr="004F40E8" w:rsidRDefault="004F40E8" w:rsidP="004F40E8">
      <w:pPr>
        <w:contextualSpacing/>
        <w:jc w:val="both"/>
        <w:rPr>
          <w:rFonts w:ascii="Verdana" w:hAnsi="Verdana"/>
          <w:sz w:val="20"/>
          <w:szCs w:val="20"/>
        </w:rPr>
      </w:pPr>
    </w:p>
    <w:p w:rsidR="004F40E8" w:rsidRPr="004F40E8" w:rsidRDefault="004F40E8" w:rsidP="004F40E8">
      <w:pPr>
        <w:tabs>
          <w:tab w:val="left" w:pos="360"/>
        </w:tabs>
        <w:contextualSpacing/>
        <w:jc w:val="both"/>
        <w:rPr>
          <w:rFonts w:ascii="Arial Narrow" w:hAnsi="Arial Narrow"/>
          <w:b/>
          <w:color w:val="000080"/>
          <w:sz w:val="22"/>
          <w:szCs w:val="22"/>
        </w:rPr>
      </w:pPr>
      <w:r w:rsidRPr="004F40E8">
        <w:rPr>
          <w:rFonts w:ascii="Arial Narrow" w:hAnsi="Arial Narrow"/>
          <w:b/>
          <w:color w:val="000080"/>
          <w:sz w:val="22"/>
          <w:szCs w:val="22"/>
        </w:rPr>
        <w:t>Αντισταθμιστικά μέτρα ΕΚΑΣ</w:t>
      </w:r>
    </w:p>
    <w:p w:rsidR="004F40E8" w:rsidRPr="004F40E8" w:rsidRDefault="004F40E8" w:rsidP="004F40E8">
      <w:pPr>
        <w:contextualSpacing/>
        <w:jc w:val="both"/>
      </w:pPr>
    </w:p>
    <w:p w:rsidR="004F40E8" w:rsidRPr="004F40E8" w:rsidRDefault="004F40E8" w:rsidP="004F4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40E8">
        <w:t>Προκειμένου να αμβλυνθούν οι συνέπειες από την απώλεια της παροχής ΕΚΑΣ,  το Υπου</w:t>
      </w:r>
      <w:r w:rsidRPr="004F40E8">
        <w:t>ρ</w:t>
      </w:r>
      <w:r w:rsidRPr="004F40E8">
        <w:t>γείο Εργασίας, Κοινωνικής Ασφάλισης και Κοινωνικής Αλληλεγγύης θεσμοθέτησε με το ν.4411/2016 σειρά αντισταθμιστικών μέτρων για τα έτη 2017 και 2018 και ειδικότερα:</w:t>
      </w:r>
    </w:p>
    <w:p w:rsidR="004F40E8" w:rsidRPr="004F40E8" w:rsidRDefault="004F40E8" w:rsidP="004F4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F40E8" w:rsidRPr="004F40E8" w:rsidRDefault="004F40E8" w:rsidP="00C42D86">
      <w:pPr>
        <w:numPr>
          <w:ilvl w:val="0"/>
          <w:numId w:val="7"/>
        </w:numPr>
        <w:tabs>
          <w:tab w:val="left" w:pos="10992"/>
          <w:tab w:val="left" w:pos="11908"/>
          <w:tab w:val="left" w:pos="12824"/>
          <w:tab w:val="left" w:pos="13740"/>
          <w:tab w:val="left" w:pos="14656"/>
        </w:tabs>
        <w:spacing w:after="200"/>
        <w:ind w:left="284" w:hanging="284"/>
        <w:contextualSpacing/>
        <w:jc w:val="both"/>
      </w:pPr>
      <w:r w:rsidRPr="004F40E8">
        <w:t xml:space="preserve">την πλήρη απαλλαγή από τη φαρμακευτική δαπάνη σε όσους δικαιούχους απώλεσαν την παροχή, </w:t>
      </w:r>
    </w:p>
    <w:p w:rsidR="004F40E8" w:rsidRPr="004F40E8" w:rsidRDefault="004F40E8" w:rsidP="00C42D86">
      <w:pPr>
        <w:numPr>
          <w:ilvl w:val="0"/>
          <w:numId w:val="7"/>
        </w:numPr>
        <w:tabs>
          <w:tab w:val="left" w:pos="10992"/>
          <w:tab w:val="left" w:pos="11908"/>
          <w:tab w:val="left" w:pos="12824"/>
          <w:tab w:val="left" w:pos="13740"/>
          <w:tab w:val="left" w:pos="14656"/>
        </w:tabs>
        <w:spacing w:after="200"/>
        <w:ind w:left="284" w:hanging="284"/>
        <w:contextualSpacing/>
        <w:jc w:val="both"/>
      </w:pPr>
      <w:r w:rsidRPr="004F40E8">
        <w:t>έκτακτη μηνιαία οικονομική ενίσχυση ισόποση με την παροχή που καταργήθηκε σε πρώην δικαιούχους με ποσοστό αναπηρίας άνω του 80%,</w:t>
      </w:r>
    </w:p>
    <w:p w:rsidR="004F40E8" w:rsidRPr="004F40E8" w:rsidRDefault="004F40E8" w:rsidP="00C42D86">
      <w:pPr>
        <w:numPr>
          <w:ilvl w:val="0"/>
          <w:numId w:val="7"/>
        </w:numPr>
        <w:tabs>
          <w:tab w:val="left" w:pos="10992"/>
          <w:tab w:val="left" w:pos="11908"/>
          <w:tab w:val="left" w:pos="12824"/>
          <w:tab w:val="left" w:pos="13740"/>
          <w:tab w:val="left" w:pos="14656"/>
        </w:tabs>
        <w:spacing w:after="200"/>
        <w:ind w:left="284" w:hanging="284"/>
        <w:contextualSpacing/>
        <w:jc w:val="both"/>
      </w:pPr>
      <w:r w:rsidRPr="004F40E8">
        <w:t>έκτακτη μηνιαία οικονομική ενίσχυση στο/στη σύζυγο με το μικρότερο ατομικό εισόδημα σε περίπτωση απώλειας του ΕΚΑΣ και από τους δύο συζύγους.</w:t>
      </w:r>
    </w:p>
    <w:p w:rsidR="004F40E8" w:rsidRDefault="004F40E8" w:rsidP="004F40E8">
      <w:pPr>
        <w:tabs>
          <w:tab w:val="left" w:pos="10992"/>
          <w:tab w:val="left" w:pos="11908"/>
          <w:tab w:val="left" w:pos="12824"/>
          <w:tab w:val="left" w:pos="13740"/>
          <w:tab w:val="left" w:pos="14656"/>
        </w:tabs>
        <w:spacing w:after="200"/>
        <w:ind w:left="284"/>
        <w:contextualSpacing/>
        <w:jc w:val="both"/>
      </w:pPr>
    </w:p>
    <w:p w:rsidR="004F40E8" w:rsidRPr="004F40E8" w:rsidRDefault="004F40E8" w:rsidP="004F40E8">
      <w:pPr>
        <w:tabs>
          <w:tab w:val="left" w:pos="10992"/>
          <w:tab w:val="left" w:pos="11908"/>
          <w:tab w:val="left" w:pos="12824"/>
          <w:tab w:val="left" w:pos="13740"/>
          <w:tab w:val="left" w:pos="14656"/>
        </w:tabs>
        <w:spacing w:after="200"/>
        <w:ind w:left="284"/>
        <w:contextualSpacing/>
        <w:jc w:val="both"/>
      </w:pPr>
    </w:p>
    <w:p w:rsidR="004F40E8" w:rsidRPr="004F40E8" w:rsidRDefault="004F40E8" w:rsidP="004F40E8">
      <w:pPr>
        <w:tabs>
          <w:tab w:val="left" w:pos="10992"/>
          <w:tab w:val="left" w:pos="11908"/>
          <w:tab w:val="left" w:pos="12824"/>
          <w:tab w:val="left" w:pos="13740"/>
          <w:tab w:val="left" w:pos="14656"/>
        </w:tabs>
        <w:spacing w:after="200"/>
        <w:ind w:left="284"/>
        <w:contextualSpacing/>
        <w:jc w:val="both"/>
      </w:pPr>
    </w:p>
    <w:p w:rsidR="004F40E8" w:rsidRPr="004F40E8" w:rsidRDefault="004F40E8" w:rsidP="004F40E8">
      <w:pPr>
        <w:tabs>
          <w:tab w:val="left" w:pos="360"/>
        </w:tabs>
        <w:contextualSpacing/>
        <w:jc w:val="both"/>
        <w:rPr>
          <w:rFonts w:ascii="Arial Narrow" w:hAnsi="Arial Narrow"/>
          <w:b/>
          <w:color w:val="000080"/>
          <w:sz w:val="22"/>
          <w:szCs w:val="22"/>
        </w:rPr>
      </w:pPr>
      <w:r w:rsidRPr="004F40E8">
        <w:rPr>
          <w:rFonts w:ascii="Arial Narrow" w:hAnsi="Arial Narrow"/>
          <w:b/>
          <w:color w:val="000080"/>
          <w:sz w:val="22"/>
          <w:szCs w:val="22"/>
        </w:rPr>
        <w:t>Μεταναστευτικές ροές</w:t>
      </w:r>
    </w:p>
    <w:p w:rsidR="004F40E8" w:rsidRPr="004F40E8" w:rsidRDefault="004F40E8" w:rsidP="004F40E8">
      <w:pPr>
        <w:contextualSpacing/>
        <w:jc w:val="both"/>
      </w:pPr>
    </w:p>
    <w:p w:rsidR="004F40E8" w:rsidRPr="004F40E8" w:rsidRDefault="004F40E8" w:rsidP="004F40E8">
      <w:pPr>
        <w:contextualSpacing/>
        <w:jc w:val="both"/>
        <w:rPr>
          <w:bCs/>
        </w:rPr>
      </w:pPr>
      <w:r w:rsidRPr="004F40E8">
        <w:rPr>
          <w:bCs/>
        </w:rPr>
        <w:t>Στο πλαίσιο διαχείρισης της ροής προσφύγων και μεταναστών, έχουν προβλεφθεί στον τακτ</w:t>
      </w:r>
      <w:r w:rsidRPr="004F40E8">
        <w:rPr>
          <w:bCs/>
        </w:rPr>
        <w:t>ι</w:t>
      </w:r>
      <w:r w:rsidRPr="004F40E8">
        <w:rPr>
          <w:bCs/>
        </w:rPr>
        <w:t>κό προϋπολογισμό δαπάνες για την αντιμετώπισή τους ύψους 152 εκατ. ευρώ για το 2017 και 129 εκατ. ευρώ για το 2018, καθώς και εισροές από την Ευρωπαϊκή Ένωση (ΕΕ) ύψους 100 εκατ. ευρώ για κάθε έτος.</w:t>
      </w:r>
    </w:p>
    <w:p w:rsidR="004F40E8" w:rsidRPr="004F40E8" w:rsidRDefault="004F40E8" w:rsidP="004F40E8">
      <w:pPr>
        <w:contextualSpacing/>
        <w:jc w:val="both"/>
        <w:rPr>
          <w:bCs/>
        </w:rPr>
      </w:pPr>
    </w:p>
    <w:p w:rsidR="004F40E8" w:rsidRPr="004F40E8" w:rsidRDefault="004F40E8" w:rsidP="004F40E8">
      <w:pPr>
        <w:contextualSpacing/>
        <w:jc w:val="both"/>
        <w:rPr>
          <w:bCs/>
        </w:rPr>
      </w:pPr>
      <w:r w:rsidRPr="004F40E8">
        <w:rPr>
          <w:bCs/>
        </w:rPr>
        <w:t>Πέραν των ανωτέρω, οι δαπάνες λειτουργικού χαρακτήρα που έχουν προβλεφθεί για τον ίδιο σκοπό στον τακτικό προϋπολογισμό του Υπουργείου Μεταναστευτικής Πολιτικής, ανέρχο</w:t>
      </w:r>
      <w:r w:rsidRPr="004F40E8">
        <w:rPr>
          <w:bCs/>
        </w:rPr>
        <w:t>ν</w:t>
      </w:r>
      <w:r w:rsidRPr="004F40E8">
        <w:rPr>
          <w:bCs/>
        </w:rPr>
        <w:t>ται σε 9 εκατ. ευρώ για το 2017 και σε 7 εκατ. ευρώ για το 2018.</w:t>
      </w:r>
    </w:p>
    <w:p w:rsidR="004F40E8" w:rsidRPr="004F40E8" w:rsidRDefault="004F40E8" w:rsidP="004F40E8">
      <w:pPr>
        <w:contextualSpacing/>
        <w:jc w:val="both"/>
      </w:pPr>
    </w:p>
    <w:p w:rsidR="004F40E8" w:rsidRPr="004F40E8" w:rsidRDefault="004F40E8" w:rsidP="004F40E8">
      <w:pPr>
        <w:contextualSpacing/>
        <w:jc w:val="both"/>
      </w:pPr>
      <w:r w:rsidRPr="004F40E8">
        <w:t>Σημειώνεται ότι η καθαρή επιβάρυνση του προϋπολογισμού (δαπάνες τακτικού προϋπολ</w:t>
      </w:r>
      <w:r w:rsidRPr="004F40E8">
        <w:t>ο</w:t>
      </w:r>
      <w:r w:rsidRPr="004F40E8">
        <w:t>γισμού μείον εισροές από ΕΕ) εξαιρείται από το πρωτογενές αποτέλεσμα της γενικής κυβέ</w:t>
      </w:r>
      <w:r w:rsidRPr="004F40E8">
        <w:t>ρ</w:t>
      </w:r>
      <w:r w:rsidRPr="004F40E8">
        <w:t>νησης σε όρους της Σύμβασης Χρηματοδοτικής Διευκόλυνσης.</w:t>
      </w:r>
    </w:p>
    <w:p w:rsidR="004F40E8" w:rsidRPr="004F40E8" w:rsidRDefault="004F40E8" w:rsidP="004F40E8">
      <w:pPr>
        <w:contextualSpacing/>
        <w:jc w:val="both"/>
      </w:pPr>
    </w:p>
    <w:p w:rsidR="004F40E8" w:rsidRPr="004F40E8" w:rsidRDefault="004F40E8" w:rsidP="004F40E8">
      <w:pPr>
        <w:contextualSpacing/>
        <w:jc w:val="both"/>
        <w:rPr>
          <w:rFonts w:ascii="Arial Narrow" w:hAnsi="Arial Narrow"/>
          <w:b/>
          <w:bCs/>
          <w:color w:val="000080"/>
          <w:szCs w:val="22"/>
        </w:rPr>
      </w:pPr>
      <w:r w:rsidRPr="004F40E8">
        <w:rPr>
          <w:rFonts w:ascii="Arial Narrow" w:hAnsi="Arial Narrow"/>
          <w:b/>
          <w:bCs/>
          <w:color w:val="000080"/>
          <w:szCs w:val="22"/>
        </w:rPr>
        <w:t>1.5</w:t>
      </w:r>
      <w:r w:rsidRPr="004F40E8">
        <w:rPr>
          <w:rFonts w:ascii="Arial Narrow" w:hAnsi="Arial Narrow"/>
          <w:b/>
          <w:bCs/>
          <w:color w:val="000080"/>
          <w:szCs w:val="22"/>
        </w:rPr>
        <w:tab/>
        <w:t>Εξόφληση ληξιπρόθεσμων οφειλών</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r w:rsidRPr="004F40E8">
        <w:rPr>
          <w:bCs/>
          <w:szCs w:val="22"/>
        </w:rPr>
        <w:t>Στους στόχους της Σύμβασης Χρηματοδοτικής Διευκόλυνσης από τον Ευρωπαϊκό Μηχανι</w:t>
      </w:r>
      <w:r w:rsidRPr="004F40E8">
        <w:rPr>
          <w:bCs/>
          <w:szCs w:val="22"/>
        </w:rPr>
        <w:t>σ</w:t>
      </w:r>
      <w:r w:rsidRPr="004F40E8">
        <w:rPr>
          <w:bCs/>
          <w:szCs w:val="22"/>
        </w:rPr>
        <w:t>μό Σταθερότητας (ΕΜΣ) περιλαμβάνεται και η αποπληρωμή των ληξιπρόθεσμων υποχρε</w:t>
      </w:r>
      <w:r w:rsidRPr="004F40E8">
        <w:rPr>
          <w:bCs/>
          <w:szCs w:val="22"/>
        </w:rPr>
        <w:t>ώ</w:t>
      </w:r>
      <w:r w:rsidRPr="004F40E8">
        <w:rPr>
          <w:bCs/>
          <w:szCs w:val="22"/>
        </w:rPr>
        <w:t>σεων της Γενικής Κυβέρνησης προς τρίτους, καθώς και η εκκαθάριση και αποπληρωμή των εκκρεμών αιτήσεων επιστροφής φόρων και συνταξιοδότησης. Για το σκοπό αυτό προβλέπ</w:t>
      </w:r>
      <w:r w:rsidRPr="004F40E8">
        <w:rPr>
          <w:bCs/>
          <w:szCs w:val="22"/>
        </w:rPr>
        <w:t>ε</w:t>
      </w:r>
      <w:r w:rsidRPr="004F40E8">
        <w:rPr>
          <w:bCs/>
          <w:szCs w:val="22"/>
        </w:rPr>
        <w:t>ται ειδική χρηματοδότηση από τον ΕΜΣ ως και το πρώτο εξάμηνο του 2018, με κύριο στόχο τη μείωση των ληξιπρόθεσμων υποχρεώσεων του Δημοσίου και την ενίσχυση της ρευστότ</w:t>
      </w:r>
      <w:r w:rsidRPr="004F40E8">
        <w:rPr>
          <w:bCs/>
          <w:szCs w:val="22"/>
        </w:rPr>
        <w:t>η</w:t>
      </w:r>
      <w:r w:rsidRPr="004F40E8">
        <w:rPr>
          <w:bCs/>
          <w:szCs w:val="22"/>
        </w:rPr>
        <w:t>τας της οικονομίας.</w:t>
      </w:r>
    </w:p>
    <w:p w:rsidR="004F40E8" w:rsidRPr="004F40E8" w:rsidRDefault="004F40E8" w:rsidP="004F40E8">
      <w:pPr>
        <w:contextualSpacing/>
        <w:jc w:val="both"/>
        <w:rPr>
          <w:bCs/>
          <w:szCs w:val="22"/>
        </w:rPr>
      </w:pPr>
      <w:r w:rsidRPr="004F40E8">
        <w:rPr>
          <w:bCs/>
          <w:szCs w:val="22"/>
        </w:rPr>
        <w:t xml:space="preserve"> </w:t>
      </w:r>
    </w:p>
    <w:p w:rsidR="004F40E8" w:rsidRPr="004F40E8" w:rsidRDefault="004F40E8" w:rsidP="004F40E8">
      <w:pPr>
        <w:contextualSpacing/>
        <w:jc w:val="both"/>
        <w:rPr>
          <w:bCs/>
          <w:szCs w:val="22"/>
        </w:rPr>
      </w:pPr>
      <w:r w:rsidRPr="004F40E8">
        <w:rPr>
          <w:bCs/>
          <w:szCs w:val="22"/>
        </w:rPr>
        <w:t>Σε εφαρμογή των ανωτέρω, υλοποιείται από τον Ιούλιο του 2016 πρόγραμμα εκκαθάρισης ληξιπρόθεσμων υποχρεώσεων. Ειδικότερα, το Υπουργείο Οικονομικών προέβλεψε την ενί</w:t>
      </w:r>
      <w:r w:rsidRPr="004F40E8">
        <w:rPr>
          <w:bCs/>
          <w:szCs w:val="22"/>
        </w:rPr>
        <w:t>σ</w:t>
      </w:r>
      <w:r w:rsidRPr="004F40E8">
        <w:rPr>
          <w:bCs/>
          <w:szCs w:val="22"/>
        </w:rPr>
        <w:t xml:space="preserve">χυση των προϋπολογισμών των φορέων της Γενικής Κυβέρνησης, αποκλειστικά για την </w:t>
      </w:r>
      <w:r w:rsidRPr="004F40E8">
        <w:rPr>
          <w:bCs/>
          <w:szCs w:val="22"/>
        </w:rPr>
        <w:t>ε</w:t>
      </w:r>
      <w:r w:rsidRPr="004F40E8">
        <w:rPr>
          <w:bCs/>
          <w:szCs w:val="22"/>
        </w:rPr>
        <w:t>ξόφληση ληξιπρόθεσμων υποχρεώσεών τους προς τρίτους και μέχρι το ύψος αυτών κατά την 30/4/2016. Επιπλέον, προβλέφθηκε η ενίσχυση του προϋπολογισμού των Οργανισμών Κο</w:t>
      </w:r>
      <w:r w:rsidRPr="004F40E8">
        <w:rPr>
          <w:bCs/>
          <w:szCs w:val="22"/>
        </w:rPr>
        <w:t>ι</w:t>
      </w:r>
      <w:r w:rsidRPr="004F40E8">
        <w:rPr>
          <w:bCs/>
          <w:szCs w:val="22"/>
        </w:rPr>
        <w:t>νωνικής Ασφάλισης για την εκκαθάριση και εξόφληση των εκκρεμών αιτήσεων συνταξιοδ</w:t>
      </w:r>
      <w:r w:rsidRPr="004F40E8">
        <w:rPr>
          <w:bCs/>
          <w:szCs w:val="22"/>
        </w:rPr>
        <w:t>ό</w:t>
      </w:r>
      <w:r w:rsidRPr="004F40E8">
        <w:rPr>
          <w:bCs/>
          <w:szCs w:val="22"/>
        </w:rPr>
        <w:t xml:space="preserve">τησης. </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r w:rsidRPr="004F40E8">
        <w:rPr>
          <w:bCs/>
          <w:szCs w:val="22"/>
        </w:rPr>
        <w:t>Οι διαδικασίες, οι προϋποθέσεις και οι λεπτομέρειες καθορίστηκαν με την αριθ. 2/57103/ΔΠΓΚ/23.6.2016 (Β΄1932) απόφαση του Αναπληρωτή Υπουργού Οικονομικών και την αριθ. 2/3872/ΔΠΓΚ/13.1.2017 (Β΄54) κοινή απόφαση της Υπουργού Εργασίας, Κοινων</w:t>
      </w:r>
      <w:r w:rsidRPr="004F40E8">
        <w:rPr>
          <w:bCs/>
          <w:szCs w:val="22"/>
        </w:rPr>
        <w:t>ι</w:t>
      </w:r>
      <w:r w:rsidRPr="004F40E8">
        <w:rPr>
          <w:bCs/>
          <w:szCs w:val="22"/>
        </w:rPr>
        <w:t xml:space="preserve">κής Ασφάλισης και Κοινωνικής Αλληλεγγύης και του Αναπληρωτή Υπουργού Οικονομικών, αντίστοιχα. </w:t>
      </w:r>
    </w:p>
    <w:p w:rsidR="004F40E8" w:rsidRPr="004F40E8" w:rsidRDefault="004F40E8" w:rsidP="004F40E8">
      <w:pPr>
        <w:jc w:val="both"/>
        <w:rPr>
          <w:bCs/>
          <w:szCs w:val="22"/>
        </w:rPr>
      </w:pPr>
    </w:p>
    <w:p w:rsidR="004F40E8" w:rsidRPr="004F40E8" w:rsidRDefault="004F40E8" w:rsidP="004F40E8">
      <w:pPr>
        <w:contextualSpacing/>
        <w:jc w:val="both"/>
        <w:rPr>
          <w:bCs/>
          <w:szCs w:val="22"/>
        </w:rPr>
      </w:pPr>
      <w:r w:rsidRPr="004F40E8">
        <w:rPr>
          <w:bCs/>
          <w:szCs w:val="22"/>
        </w:rPr>
        <w:t xml:space="preserve">Από τον Ιούνιο του 2016 εκταμιεύονται σταδιακά από τον ΕΜΣ ποσά προοριζόμενα για τον ανωτέρω σκοπό, σε ειδικό λογαριασμό στην Τράπεζα της Ελλάδος. Αναλυτικότερα, εντός του 2016 εκταμιεύθηκαν συνολικά 3.500 εκατ. ευρώ, ενώ τον Ιούλιο του 2017 εκταμιεύτηκαν επιπλέον 800 εκατ. ευρώ. </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r w:rsidRPr="004F40E8">
        <w:rPr>
          <w:bCs/>
          <w:szCs w:val="22"/>
        </w:rPr>
        <w:t>Η διάθεση των πόρων αυτών προς τους φορείς της Γενικής Κυβέρνησης ξεκίνησε τον Ιούλιο του 2016. Συνολικά ως και τον Σεπτέμβριο του 2017 έχουν μεταφερθεί πιστώσεις στους πρ</w:t>
      </w:r>
      <w:r w:rsidRPr="004F40E8">
        <w:rPr>
          <w:bCs/>
          <w:szCs w:val="22"/>
        </w:rPr>
        <w:t>ο</w:t>
      </w:r>
      <w:r w:rsidRPr="004F40E8">
        <w:rPr>
          <w:bCs/>
          <w:szCs w:val="22"/>
        </w:rPr>
        <w:t xml:space="preserve">ϋπολογισμούς των Υπουργείων και των φορέων της Γενικής Κυβέρνησης ύψους περίπου 3.719 εκατ. ευρώ. Επιπλέον, για την αποπληρωμή εκκρεμών επιστροφών φόρων έχει διατεθεί </w:t>
      </w:r>
      <w:r w:rsidRPr="004F40E8">
        <w:rPr>
          <w:bCs/>
          <w:szCs w:val="22"/>
        </w:rPr>
        <w:lastRenderedPageBreak/>
        <w:t>ρευστότητα ύψους 550 εκατ. ευρώ, ενώ για την εκκαθάριση και εξόφληση εκκρεμών αιτήσ</w:t>
      </w:r>
      <w:r w:rsidRPr="004F40E8">
        <w:rPr>
          <w:bCs/>
          <w:szCs w:val="22"/>
        </w:rPr>
        <w:t>ε</w:t>
      </w:r>
      <w:r w:rsidRPr="004F40E8">
        <w:rPr>
          <w:bCs/>
          <w:szCs w:val="22"/>
        </w:rPr>
        <w:t xml:space="preserve">ων συνταξιοδότησης έχουν διατεθεί 445 εκατ. ευρώ. </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r w:rsidRPr="004F40E8">
        <w:rPr>
          <w:bCs/>
          <w:szCs w:val="22"/>
        </w:rPr>
        <w:t>Η κατανομή των πιστώσεων και της διατεθείσας χρηματοδότησης ανά έτος και ανά υποτομέα της Γενικής Κυβέρνησης αποτυπώνεται στον πίνακα 2.3.</w:t>
      </w:r>
    </w:p>
    <w:p w:rsidR="004F40E8" w:rsidRPr="004F40E8" w:rsidRDefault="004F40E8" w:rsidP="004F40E8">
      <w:pPr>
        <w:contextualSpacing/>
        <w:jc w:val="both"/>
        <w:rPr>
          <w:bCs/>
          <w:szCs w:val="22"/>
        </w:rPr>
      </w:pPr>
    </w:p>
    <w:p w:rsidR="004F40E8" w:rsidRPr="004F40E8" w:rsidRDefault="004F40E8" w:rsidP="004F40E8">
      <w:pPr>
        <w:spacing w:line="228" w:lineRule="auto"/>
        <w:contextualSpacing/>
        <w:jc w:val="both"/>
        <w:rPr>
          <w:bCs/>
          <w:szCs w:val="22"/>
        </w:rPr>
      </w:pPr>
    </w:p>
    <w:tbl>
      <w:tblPr>
        <w:tblW w:w="8363" w:type="dxa"/>
        <w:tblInd w:w="392" w:type="dxa"/>
        <w:tblLook w:val="04A0"/>
      </w:tblPr>
      <w:tblGrid>
        <w:gridCol w:w="3557"/>
        <w:gridCol w:w="1546"/>
        <w:gridCol w:w="1559"/>
        <w:gridCol w:w="1701"/>
      </w:tblGrid>
      <w:tr w:rsidR="004F40E8" w:rsidRPr="004F40E8" w:rsidTr="003B594D">
        <w:trPr>
          <w:trHeight w:val="697"/>
        </w:trPr>
        <w:tc>
          <w:tcPr>
            <w:tcW w:w="836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4F40E8" w:rsidRPr="004F40E8" w:rsidRDefault="004F40E8" w:rsidP="004F40E8">
            <w:pPr>
              <w:spacing w:before="120" w:line="228" w:lineRule="auto"/>
              <w:contextualSpacing/>
              <w:jc w:val="center"/>
              <w:rPr>
                <w:rFonts w:ascii="Arial Narrow" w:hAnsi="Arial Narrow"/>
                <w:b/>
                <w:bCs/>
                <w:szCs w:val="22"/>
              </w:rPr>
            </w:pPr>
            <w:r w:rsidRPr="004F40E8">
              <w:rPr>
                <w:bCs/>
                <w:szCs w:val="22"/>
              </w:rPr>
              <w:br w:type="page"/>
            </w:r>
            <w:r w:rsidRPr="004F40E8">
              <w:rPr>
                <w:rFonts w:ascii="Arial Narrow" w:hAnsi="Arial Narrow"/>
                <w:b/>
                <w:bCs/>
                <w:szCs w:val="22"/>
              </w:rPr>
              <w:t>Πίνακας 2.3  Ενισχύσεις πιστώσεων – επιχορηγήσεις για την εξόφληση</w:t>
            </w:r>
          </w:p>
          <w:p w:rsidR="004F40E8" w:rsidRPr="004F40E8" w:rsidRDefault="004F40E8" w:rsidP="004F40E8">
            <w:pPr>
              <w:spacing w:line="228" w:lineRule="auto"/>
              <w:contextualSpacing/>
              <w:jc w:val="center"/>
              <w:rPr>
                <w:rFonts w:ascii="Arial Narrow" w:hAnsi="Arial Narrow"/>
                <w:b/>
                <w:bCs/>
                <w:szCs w:val="22"/>
              </w:rPr>
            </w:pPr>
            <w:r w:rsidRPr="004F40E8">
              <w:rPr>
                <w:rFonts w:ascii="Arial Narrow" w:hAnsi="Arial Narrow"/>
                <w:b/>
                <w:bCs/>
                <w:szCs w:val="22"/>
              </w:rPr>
              <w:t xml:space="preserve">ληξιπρόθεσμων υποχρεώσεων φορέων Γενικής Κυβέρνησης </w:t>
            </w:r>
          </w:p>
          <w:p w:rsidR="004F40E8" w:rsidRPr="004F40E8" w:rsidRDefault="004F40E8" w:rsidP="004F40E8">
            <w:pPr>
              <w:spacing w:line="228" w:lineRule="auto"/>
              <w:contextualSpacing/>
              <w:jc w:val="center"/>
              <w:rPr>
                <w:rFonts w:ascii="Arial Narrow" w:hAnsi="Arial Narrow"/>
                <w:b/>
                <w:bCs/>
                <w:szCs w:val="22"/>
              </w:rPr>
            </w:pPr>
            <w:r w:rsidRPr="004F40E8">
              <w:rPr>
                <w:rFonts w:ascii="Arial Narrow" w:hAnsi="Arial Narrow"/>
                <w:b/>
                <w:bCs/>
                <w:szCs w:val="22"/>
              </w:rPr>
              <w:t>Ιούλιος 2016 – Σεπτέμβριος 2017</w:t>
            </w:r>
          </w:p>
          <w:p w:rsidR="004F40E8" w:rsidRPr="004F40E8" w:rsidRDefault="004F40E8" w:rsidP="004F40E8">
            <w:pPr>
              <w:spacing w:line="228" w:lineRule="auto"/>
              <w:contextualSpacing/>
              <w:jc w:val="center"/>
              <w:rPr>
                <w:rFonts w:ascii="Arial Narrow" w:hAnsi="Arial Narrow"/>
                <w:b/>
                <w:bCs/>
                <w:szCs w:val="22"/>
              </w:rPr>
            </w:pPr>
            <w:r w:rsidRPr="004F40E8">
              <w:rPr>
                <w:rFonts w:ascii="Arial Narrow" w:hAnsi="Arial Narrow"/>
                <w:b/>
                <w:bCs/>
                <w:szCs w:val="22"/>
              </w:rPr>
              <w:t>(σε εκατ. ευρώ)</w:t>
            </w:r>
          </w:p>
        </w:tc>
      </w:tr>
      <w:tr w:rsidR="004F40E8" w:rsidRPr="004F40E8" w:rsidTr="003B594D">
        <w:trPr>
          <w:trHeight w:val="170"/>
        </w:trPr>
        <w:tc>
          <w:tcPr>
            <w:tcW w:w="3557" w:type="dxa"/>
            <w:tcBorders>
              <w:top w:val="nil"/>
              <w:left w:val="single" w:sz="4" w:space="0" w:color="auto"/>
              <w:bottom w:val="single" w:sz="4" w:space="0" w:color="auto"/>
              <w:right w:val="nil"/>
            </w:tcBorders>
            <w:shd w:val="clear" w:color="auto" w:fill="auto"/>
            <w:vAlign w:val="bottom"/>
            <w:hideMark/>
          </w:tcPr>
          <w:p w:rsidR="004F40E8" w:rsidRPr="004F40E8" w:rsidRDefault="004F40E8" w:rsidP="004F40E8">
            <w:pPr>
              <w:spacing w:before="120" w:after="120" w:line="228" w:lineRule="auto"/>
              <w:contextualSpacing/>
              <w:jc w:val="both"/>
              <w:rPr>
                <w:rFonts w:ascii="Arial Narrow" w:hAnsi="Arial Narrow"/>
                <w:b/>
                <w:bCs/>
                <w:sz w:val="16"/>
                <w:szCs w:val="16"/>
              </w:rPr>
            </w:pPr>
            <w:r w:rsidRPr="004F40E8">
              <w:rPr>
                <w:rFonts w:ascii="Arial Narrow" w:hAnsi="Arial Narrow"/>
                <w:b/>
                <w:bCs/>
                <w:sz w:val="16"/>
                <w:szCs w:val="16"/>
              </w:rPr>
              <w:t>Φορέας Γενικής Κυβέρνησης </w:t>
            </w:r>
          </w:p>
        </w:tc>
        <w:tc>
          <w:tcPr>
            <w:tcW w:w="1546" w:type="dxa"/>
            <w:tcBorders>
              <w:top w:val="nil"/>
              <w:left w:val="single" w:sz="4" w:space="0" w:color="auto"/>
              <w:bottom w:val="single" w:sz="4" w:space="0" w:color="auto"/>
              <w:right w:val="single" w:sz="4" w:space="0" w:color="auto"/>
            </w:tcBorders>
            <w:shd w:val="clear" w:color="auto" w:fill="auto"/>
            <w:vAlign w:val="bottom"/>
            <w:hideMark/>
          </w:tcPr>
          <w:p w:rsidR="004F40E8" w:rsidRPr="004F40E8" w:rsidRDefault="004F40E8" w:rsidP="004F40E8">
            <w:pPr>
              <w:spacing w:before="120" w:after="120" w:line="228" w:lineRule="auto"/>
              <w:contextualSpacing/>
              <w:jc w:val="center"/>
              <w:rPr>
                <w:rFonts w:ascii="Arial Narrow" w:hAnsi="Arial Narrow"/>
                <w:b/>
                <w:bCs/>
                <w:sz w:val="16"/>
                <w:szCs w:val="16"/>
              </w:rPr>
            </w:pPr>
            <w:proofErr w:type="spellStart"/>
            <w:r w:rsidRPr="004F40E8">
              <w:rPr>
                <w:rFonts w:ascii="Arial Narrow" w:hAnsi="Arial Narrow"/>
                <w:b/>
                <w:bCs/>
                <w:sz w:val="16"/>
                <w:szCs w:val="16"/>
              </w:rPr>
              <w:t>Ιούλ</w:t>
            </w:r>
            <w:proofErr w:type="spellEnd"/>
            <w:r w:rsidRPr="004F40E8">
              <w:rPr>
                <w:rFonts w:ascii="Arial Narrow" w:hAnsi="Arial Narrow"/>
                <w:b/>
                <w:bCs/>
                <w:sz w:val="16"/>
                <w:szCs w:val="16"/>
              </w:rPr>
              <w:t xml:space="preserve">. - Δεκ.  2016 </w:t>
            </w:r>
          </w:p>
        </w:tc>
        <w:tc>
          <w:tcPr>
            <w:tcW w:w="1559" w:type="dxa"/>
            <w:tcBorders>
              <w:top w:val="nil"/>
              <w:left w:val="nil"/>
              <w:bottom w:val="single" w:sz="4" w:space="0" w:color="auto"/>
              <w:right w:val="single" w:sz="4" w:space="0" w:color="auto"/>
            </w:tcBorders>
            <w:shd w:val="clear" w:color="auto" w:fill="auto"/>
            <w:vAlign w:val="bottom"/>
            <w:hideMark/>
          </w:tcPr>
          <w:p w:rsidR="004F40E8" w:rsidRPr="004F40E8" w:rsidRDefault="004F40E8" w:rsidP="004F40E8">
            <w:pPr>
              <w:spacing w:before="120" w:after="120" w:line="228" w:lineRule="auto"/>
              <w:contextualSpacing/>
              <w:jc w:val="center"/>
              <w:rPr>
                <w:rFonts w:ascii="Arial Narrow" w:hAnsi="Arial Narrow"/>
                <w:b/>
                <w:bCs/>
                <w:sz w:val="16"/>
                <w:szCs w:val="16"/>
              </w:rPr>
            </w:pPr>
            <w:r w:rsidRPr="004F40E8">
              <w:rPr>
                <w:rFonts w:ascii="Arial Narrow" w:hAnsi="Arial Narrow"/>
                <w:b/>
                <w:bCs/>
                <w:sz w:val="16"/>
                <w:szCs w:val="16"/>
              </w:rPr>
              <w:t xml:space="preserve">Ιαν. - </w:t>
            </w:r>
            <w:proofErr w:type="spellStart"/>
            <w:r w:rsidRPr="004F40E8">
              <w:rPr>
                <w:rFonts w:ascii="Arial Narrow" w:hAnsi="Arial Narrow"/>
                <w:b/>
                <w:bCs/>
                <w:sz w:val="16"/>
                <w:szCs w:val="16"/>
              </w:rPr>
              <w:t>Σεπτ</w:t>
            </w:r>
            <w:proofErr w:type="spellEnd"/>
            <w:r w:rsidRPr="004F40E8">
              <w:rPr>
                <w:rFonts w:ascii="Arial Narrow" w:hAnsi="Arial Narrow"/>
                <w:b/>
                <w:bCs/>
                <w:sz w:val="16"/>
                <w:szCs w:val="16"/>
              </w:rPr>
              <w:t>. 2017</w:t>
            </w:r>
          </w:p>
        </w:tc>
        <w:tc>
          <w:tcPr>
            <w:tcW w:w="1701" w:type="dxa"/>
            <w:tcBorders>
              <w:top w:val="nil"/>
              <w:left w:val="nil"/>
              <w:bottom w:val="single" w:sz="4" w:space="0" w:color="auto"/>
              <w:right w:val="single" w:sz="4" w:space="0" w:color="auto"/>
            </w:tcBorders>
            <w:shd w:val="clear" w:color="auto" w:fill="auto"/>
            <w:vAlign w:val="bottom"/>
            <w:hideMark/>
          </w:tcPr>
          <w:p w:rsidR="004F40E8" w:rsidRPr="004F40E8" w:rsidRDefault="004F40E8" w:rsidP="004F40E8">
            <w:pPr>
              <w:spacing w:before="120" w:after="120" w:line="228" w:lineRule="auto"/>
              <w:contextualSpacing/>
              <w:jc w:val="center"/>
              <w:rPr>
                <w:rFonts w:ascii="Arial Narrow" w:hAnsi="Arial Narrow"/>
                <w:b/>
                <w:bCs/>
                <w:sz w:val="16"/>
                <w:szCs w:val="16"/>
              </w:rPr>
            </w:pPr>
            <w:r w:rsidRPr="004F40E8">
              <w:rPr>
                <w:rFonts w:ascii="Arial Narrow" w:hAnsi="Arial Narrow"/>
                <w:b/>
                <w:bCs/>
                <w:sz w:val="16"/>
                <w:szCs w:val="16"/>
              </w:rPr>
              <w:t>Σύνολο</w:t>
            </w:r>
          </w:p>
        </w:tc>
      </w:tr>
      <w:tr w:rsidR="004F40E8" w:rsidRPr="004F40E8" w:rsidTr="003B594D">
        <w:trPr>
          <w:trHeight w:val="227"/>
        </w:trPr>
        <w:tc>
          <w:tcPr>
            <w:tcW w:w="3557" w:type="dxa"/>
            <w:tcBorders>
              <w:top w:val="single" w:sz="4" w:space="0" w:color="auto"/>
              <w:left w:val="single" w:sz="4" w:space="0" w:color="auto"/>
            </w:tcBorders>
            <w:shd w:val="clear" w:color="auto" w:fill="auto"/>
            <w:vAlign w:val="bottom"/>
            <w:hideMark/>
          </w:tcPr>
          <w:p w:rsidR="004F40E8" w:rsidRPr="004F40E8" w:rsidRDefault="004F40E8" w:rsidP="004F40E8">
            <w:pPr>
              <w:spacing w:line="228" w:lineRule="auto"/>
              <w:contextualSpacing/>
              <w:jc w:val="both"/>
              <w:rPr>
                <w:rFonts w:ascii="Arial Narrow" w:hAnsi="Arial Narrow"/>
                <w:bCs/>
                <w:sz w:val="16"/>
                <w:szCs w:val="16"/>
              </w:rPr>
            </w:pPr>
            <w:r w:rsidRPr="004F40E8">
              <w:rPr>
                <w:rFonts w:ascii="Arial Narrow" w:hAnsi="Arial Narrow"/>
                <w:bCs/>
                <w:sz w:val="16"/>
                <w:szCs w:val="16"/>
              </w:rPr>
              <w:t>Κράτος *</w:t>
            </w:r>
          </w:p>
        </w:tc>
        <w:tc>
          <w:tcPr>
            <w:tcW w:w="1546" w:type="dxa"/>
            <w:tcBorders>
              <w:top w:val="single" w:sz="4" w:space="0" w:color="auto"/>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467</w:t>
            </w:r>
          </w:p>
        </w:tc>
        <w:tc>
          <w:tcPr>
            <w:tcW w:w="1559" w:type="dxa"/>
            <w:tcBorders>
              <w:top w:val="single" w:sz="4" w:space="0" w:color="auto"/>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1</w:t>
            </w:r>
          </w:p>
        </w:tc>
        <w:tc>
          <w:tcPr>
            <w:tcW w:w="1701" w:type="dxa"/>
            <w:tcBorders>
              <w:top w:val="single" w:sz="4" w:space="0" w:color="auto"/>
              <w:right w:val="single" w:sz="4" w:space="0" w:color="auto"/>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468</w:t>
            </w:r>
          </w:p>
        </w:tc>
      </w:tr>
      <w:tr w:rsidR="004F40E8" w:rsidRPr="004F40E8" w:rsidTr="003B594D">
        <w:trPr>
          <w:trHeight w:val="227"/>
        </w:trPr>
        <w:tc>
          <w:tcPr>
            <w:tcW w:w="3557" w:type="dxa"/>
            <w:tcBorders>
              <w:top w:val="nil"/>
              <w:left w:val="single" w:sz="4" w:space="0" w:color="auto"/>
            </w:tcBorders>
            <w:shd w:val="clear" w:color="auto" w:fill="auto"/>
            <w:vAlign w:val="bottom"/>
            <w:hideMark/>
          </w:tcPr>
          <w:p w:rsidR="004F40E8" w:rsidRPr="004F40E8" w:rsidRDefault="004F40E8" w:rsidP="004F40E8">
            <w:pPr>
              <w:spacing w:line="228" w:lineRule="auto"/>
              <w:contextualSpacing/>
              <w:jc w:val="both"/>
              <w:rPr>
                <w:rFonts w:ascii="Arial Narrow" w:hAnsi="Arial Narrow"/>
                <w:bCs/>
                <w:sz w:val="16"/>
                <w:szCs w:val="16"/>
              </w:rPr>
            </w:pPr>
            <w:r w:rsidRPr="004F40E8">
              <w:rPr>
                <w:rFonts w:ascii="Arial Narrow" w:hAnsi="Arial Narrow"/>
                <w:bCs/>
                <w:sz w:val="16"/>
                <w:szCs w:val="16"/>
              </w:rPr>
              <w:t>ΟΤΑ</w:t>
            </w:r>
          </w:p>
        </w:tc>
        <w:tc>
          <w:tcPr>
            <w:tcW w:w="1546" w:type="dxa"/>
            <w:tcBorders>
              <w:top w:val="nil"/>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81</w:t>
            </w:r>
          </w:p>
        </w:tc>
        <w:tc>
          <w:tcPr>
            <w:tcW w:w="1559" w:type="dxa"/>
            <w:tcBorders>
              <w:top w:val="nil"/>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111</w:t>
            </w:r>
          </w:p>
        </w:tc>
        <w:tc>
          <w:tcPr>
            <w:tcW w:w="1701" w:type="dxa"/>
            <w:tcBorders>
              <w:top w:val="nil"/>
              <w:right w:val="single" w:sz="4" w:space="0" w:color="auto"/>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191</w:t>
            </w:r>
          </w:p>
        </w:tc>
      </w:tr>
      <w:tr w:rsidR="004F40E8" w:rsidRPr="004F40E8" w:rsidTr="003B594D">
        <w:trPr>
          <w:trHeight w:val="227"/>
        </w:trPr>
        <w:tc>
          <w:tcPr>
            <w:tcW w:w="3557" w:type="dxa"/>
            <w:tcBorders>
              <w:top w:val="nil"/>
              <w:left w:val="single" w:sz="4" w:space="0" w:color="auto"/>
            </w:tcBorders>
            <w:shd w:val="clear" w:color="auto" w:fill="auto"/>
            <w:vAlign w:val="bottom"/>
            <w:hideMark/>
          </w:tcPr>
          <w:p w:rsidR="004F40E8" w:rsidRPr="004F40E8" w:rsidRDefault="004F40E8" w:rsidP="004F40E8">
            <w:pPr>
              <w:spacing w:line="228" w:lineRule="auto"/>
              <w:contextualSpacing/>
              <w:jc w:val="both"/>
              <w:rPr>
                <w:rFonts w:ascii="Arial Narrow" w:hAnsi="Arial Narrow"/>
                <w:bCs/>
                <w:sz w:val="16"/>
                <w:szCs w:val="16"/>
              </w:rPr>
            </w:pPr>
            <w:r w:rsidRPr="004F40E8">
              <w:rPr>
                <w:rFonts w:ascii="Arial Narrow" w:hAnsi="Arial Narrow"/>
                <w:bCs/>
                <w:sz w:val="16"/>
                <w:szCs w:val="16"/>
              </w:rPr>
              <w:t>ΟΚΑ</w:t>
            </w:r>
          </w:p>
        </w:tc>
        <w:tc>
          <w:tcPr>
            <w:tcW w:w="1546" w:type="dxa"/>
            <w:tcBorders>
              <w:top w:val="nil"/>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1.097</w:t>
            </w:r>
          </w:p>
        </w:tc>
        <w:tc>
          <w:tcPr>
            <w:tcW w:w="1559" w:type="dxa"/>
            <w:tcBorders>
              <w:top w:val="nil"/>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381</w:t>
            </w:r>
          </w:p>
        </w:tc>
        <w:tc>
          <w:tcPr>
            <w:tcW w:w="1701" w:type="dxa"/>
            <w:tcBorders>
              <w:top w:val="nil"/>
              <w:right w:val="single" w:sz="4" w:space="0" w:color="auto"/>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1.478</w:t>
            </w:r>
          </w:p>
        </w:tc>
      </w:tr>
      <w:tr w:rsidR="004F40E8" w:rsidRPr="004F40E8" w:rsidTr="003B594D">
        <w:trPr>
          <w:trHeight w:val="227"/>
        </w:trPr>
        <w:tc>
          <w:tcPr>
            <w:tcW w:w="3557" w:type="dxa"/>
            <w:tcBorders>
              <w:top w:val="nil"/>
              <w:left w:val="single" w:sz="4" w:space="0" w:color="auto"/>
            </w:tcBorders>
            <w:shd w:val="clear" w:color="auto" w:fill="auto"/>
            <w:vAlign w:val="bottom"/>
            <w:hideMark/>
          </w:tcPr>
          <w:p w:rsidR="004F40E8" w:rsidRPr="004F40E8" w:rsidRDefault="004F40E8" w:rsidP="004F40E8">
            <w:pPr>
              <w:spacing w:line="228" w:lineRule="auto"/>
              <w:contextualSpacing/>
              <w:jc w:val="both"/>
              <w:rPr>
                <w:rFonts w:ascii="Arial Narrow" w:hAnsi="Arial Narrow"/>
                <w:bCs/>
                <w:sz w:val="16"/>
                <w:szCs w:val="16"/>
              </w:rPr>
            </w:pPr>
            <w:r w:rsidRPr="004F40E8">
              <w:rPr>
                <w:rFonts w:ascii="Arial Narrow" w:hAnsi="Arial Narrow"/>
                <w:bCs/>
                <w:sz w:val="16"/>
                <w:szCs w:val="16"/>
              </w:rPr>
              <w:t>Νοσοκομεία</w:t>
            </w:r>
          </w:p>
        </w:tc>
        <w:tc>
          <w:tcPr>
            <w:tcW w:w="1546" w:type="dxa"/>
            <w:tcBorders>
              <w:top w:val="nil"/>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1.148</w:t>
            </w:r>
          </w:p>
        </w:tc>
        <w:tc>
          <w:tcPr>
            <w:tcW w:w="1559" w:type="dxa"/>
            <w:tcBorders>
              <w:top w:val="nil"/>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43</w:t>
            </w:r>
          </w:p>
        </w:tc>
        <w:tc>
          <w:tcPr>
            <w:tcW w:w="1701" w:type="dxa"/>
            <w:tcBorders>
              <w:top w:val="nil"/>
              <w:right w:val="single" w:sz="4" w:space="0" w:color="auto"/>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1.192</w:t>
            </w:r>
          </w:p>
        </w:tc>
      </w:tr>
      <w:tr w:rsidR="004F40E8" w:rsidRPr="004F40E8" w:rsidTr="003B594D">
        <w:trPr>
          <w:trHeight w:val="227"/>
        </w:trPr>
        <w:tc>
          <w:tcPr>
            <w:tcW w:w="3557" w:type="dxa"/>
            <w:tcBorders>
              <w:top w:val="nil"/>
              <w:left w:val="single" w:sz="4" w:space="0" w:color="auto"/>
            </w:tcBorders>
            <w:shd w:val="clear" w:color="auto" w:fill="auto"/>
            <w:vAlign w:val="bottom"/>
            <w:hideMark/>
          </w:tcPr>
          <w:p w:rsidR="004F40E8" w:rsidRPr="004F40E8" w:rsidRDefault="004F40E8" w:rsidP="004F40E8">
            <w:pPr>
              <w:spacing w:line="228" w:lineRule="auto"/>
              <w:contextualSpacing/>
              <w:jc w:val="both"/>
              <w:rPr>
                <w:rFonts w:ascii="Arial Narrow" w:hAnsi="Arial Narrow"/>
                <w:bCs/>
                <w:sz w:val="16"/>
                <w:szCs w:val="16"/>
              </w:rPr>
            </w:pPr>
            <w:r w:rsidRPr="004F40E8">
              <w:rPr>
                <w:rFonts w:ascii="Arial Narrow" w:hAnsi="Arial Narrow"/>
                <w:bCs/>
                <w:sz w:val="16"/>
                <w:szCs w:val="16"/>
              </w:rPr>
              <w:t>Νομικά Πρόσωπα και ΔΕΚΟ</w:t>
            </w:r>
          </w:p>
        </w:tc>
        <w:tc>
          <w:tcPr>
            <w:tcW w:w="1546" w:type="dxa"/>
            <w:tcBorders>
              <w:top w:val="nil"/>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270</w:t>
            </w:r>
          </w:p>
        </w:tc>
        <w:tc>
          <w:tcPr>
            <w:tcW w:w="1559" w:type="dxa"/>
            <w:tcBorders>
              <w:top w:val="nil"/>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120</w:t>
            </w:r>
          </w:p>
        </w:tc>
        <w:tc>
          <w:tcPr>
            <w:tcW w:w="1701" w:type="dxa"/>
            <w:tcBorders>
              <w:top w:val="nil"/>
              <w:right w:val="single" w:sz="4" w:space="0" w:color="auto"/>
            </w:tcBorders>
            <w:shd w:val="clear" w:color="auto" w:fill="auto"/>
            <w:noWrap/>
            <w:vAlign w:val="bottom"/>
            <w:hideMark/>
          </w:tcPr>
          <w:p w:rsidR="004F40E8" w:rsidRPr="004F40E8" w:rsidRDefault="004F40E8" w:rsidP="004F40E8">
            <w:pPr>
              <w:tabs>
                <w:tab w:val="decimal" w:pos="871"/>
              </w:tabs>
              <w:jc w:val="both"/>
              <w:rPr>
                <w:rFonts w:ascii="Arial Narrow" w:hAnsi="Arial Narrow"/>
                <w:color w:val="000000"/>
                <w:sz w:val="16"/>
                <w:szCs w:val="16"/>
              </w:rPr>
            </w:pPr>
            <w:r w:rsidRPr="004F40E8">
              <w:rPr>
                <w:rFonts w:ascii="Arial Narrow" w:hAnsi="Arial Narrow"/>
                <w:color w:val="000000"/>
                <w:sz w:val="16"/>
                <w:szCs w:val="16"/>
              </w:rPr>
              <w:t>390</w:t>
            </w:r>
          </w:p>
        </w:tc>
      </w:tr>
      <w:tr w:rsidR="004F40E8" w:rsidRPr="004F40E8" w:rsidTr="003B594D">
        <w:trPr>
          <w:trHeight w:val="227"/>
        </w:trPr>
        <w:tc>
          <w:tcPr>
            <w:tcW w:w="3557" w:type="dxa"/>
            <w:tcBorders>
              <w:top w:val="nil"/>
              <w:left w:val="single" w:sz="4" w:space="0" w:color="auto"/>
            </w:tcBorders>
            <w:shd w:val="clear" w:color="auto" w:fill="D9D9D9" w:themeFill="background1" w:themeFillShade="D9"/>
            <w:vAlign w:val="bottom"/>
            <w:hideMark/>
          </w:tcPr>
          <w:p w:rsidR="004F40E8" w:rsidRPr="004F40E8" w:rsidRDefault="004F40E8" w:rsidP="004F40E8">
            <w:pPr>
              <w:spacing w:line="228" w:lineRule="auto"/>
              <w:contextualSpacing/>
              <w:jc w:val="both"/>
              <w:rPr>
                <w:rFonts w:ascii="Arial Narrow" w:hAnsi="Arial Narrow"/>
                <w:b/>
                <w:bCs/>
                <w:sz w:val="16"/>
                <w:szCs w:val="16"/>
              </w:rPr>
            </w:pPr>
            <w:r w:rsidRPr="004F40E8">
              <w:rPr>
                <w:rFonts w:ascii="Arial Narrow" w:hAnsi="Arial Narrow"/>
                <w:b/>
                <w:bCs/>
                <w:sz w:val="16"/>
                <w:szCs w:val="16"/>
              </w:rPr>
              <w:t>Γενική Κυβέρνηση</w:t>
            </w:r>
          </w:p>
        </w:tc>
        <w:tc>
          <w:tcPr>
            <w:tcW w:w="1546" w:type="dxa"/>
            <w:tcBorders>
              <w:top w:val="nil"/>
            </w:tcBorders>
            <w:shd w:val="clear" w:color="auto" w:fill="D9D9D9" w:themeFill="background1" w:themeFillShade="D9"/>
            <w:noWrap/>
            <w:vAlign w:val="bottom"/>
            <w:hideMark/>
          </w:tcPr>
          <w:p w:rsidR="004F40E8" w:rsidRPr="004F40E8" w:rsidRDefault="004F40E8" w:rsidP="004F40E8">
            <w:pPr>
              <w:tabs>
                <w:tab w:val="decimal" w:pos="871"/>
              </w:tabs>
              <w:jc w:val="both"/>
              <w:rPr>
                <w:rFonts w:ascii="Arial Narrow" w:hAnsi="Arial Narrow"/>
                <w:b/>
                <w:bCs/>
                <w:color w:val="000000"/>
                <w:sz w:val="16"/>
                <w:szCs w:val="16"/>
              </w:rPr>
            </w:pPr>
            <w:r w:rsidRPr="004F40E8">
              <w:rPr>
                <w:rFonts w:ascii="Arial Narrow" w:hAnsi="Arial Narrow"/>
                <w:b/>
                <w:bCs/>
                <w:color w:val="000000"/>
                <w:sz w:val="16"/>
                <w:szCs w:val="16"/>
              </w:rPr>
              <w:t>3.063</w:t>
            </w:r>
          </w:p>
        </w:tc>
        <w:tc>
          <w:tcPr>
            <w:tcW w:w="1559" w:type="dxa"/>
            <w:tcBorders>
              <w:top w:val="nil"/>
            </w:tcBorders>
            <w:shd w:val="clear" w:color="auto" w:fill="D9D9D9" w:themeFill="background1" w:themeFillShade="D9"/>
            <w:noWrap/>
            <w:vAlign w:val="bottom"/>
            <w:hideMark/>
          </w:tcPr>
          <w:p w:rsidR="004F40E8" w:rsidRPr="004F40E8" w:rsidRDefault="004F40E8" w:rsidP="004F40E8">
            <w:pPr>
              <w:tabs>
                <w:tab w:val="decimal" w:pos="871"/>
              </w:tabs>
              <w:jc w:val="both"/>
              <w:rPr>
                <w:rFonts w:ascii="Arial Narrow" w:hAnsi="Arial Narrow"/>
                <w:b/>
                <w:bCs/>
                <w:color w:val="000000"/>
                <w:sz w:val="16"/>
                <w:szCs w:val="16"/>
              </w:rPr>
            </w:pPr>
            <w:r w:rsidRPr="004F40E8">
              <w:rPr>
                <w:rFonts w:ascii="Arial Narrow" w:hAnsi="Arial Narrow"/>
                <w:b/>
                <w:bCs/>
                <w:color w:val="000000"/>
                <w:sz w:val="16"/>
                <w:szCs w:val="16"/>
              </w:rPr>
              <w:t>656</w:t>
            </w:r>
          </w:p>
        </w:tc>
        <w:tc>
          <w:tcPr>
            <w:tcW w:w="1701" w:type="dxa"/>
            <w:tcBorders>
              <w:top w:val="nil"/>
              <w:right w:val="single" w:sz="4" w:space="0" w:color="auto"/>
            </w:tcBorders>
            <w:shd w:val="clear" w:color="auto" w:fill="D9D9D9" w:themeFill="background1" w:themeFillShade="D9"/>
            <w:noWrap/>
            <w:vAlign w:val="bottom"/>
            <w:hideMark/>
          </w:tcPr>
          <w:p w:rsidR="004F40E8" w:rsidRPr="004F40E8" w:rsidRDefault="004F40E8" w:rsidP="004F40E8">
            <w:pPr>
              <w:tabs>
                <w:tab w:val="decimal" w:pos="871"/>
              </w:tabs>
              <w:jc w:val="both"/>
              <w:rPr>
                <w:rFonts w:ascii="Arial Narrow" w:hAnsi="Arial Narrow"/>
                <w:b/>
                <w:bCs/>
                <w:color w:val="000000"/>
                <w:sz w:val="16"/>
                <w:szCs w:val="16"/>
              </w:rPr>
            </w:pPr>
            <w:r w:rsidRPr="004F40E8">
              <w:rPr>
                <w:rFonts w:ascii="Arial Narrow" w:hAnsi="Arial Narrow"/>
                <w:b/>
                <w:bCs/>
                <w:color w:val="000000"/>
                <w:sz w:val="16"/>
                <w:szCs w:val="16"/>
              </w:rPr>
              <w:t>3.719</w:t>
            </w:r>
          </w:p>
        </w:tc>
      </w:tr>
      <w:tr w:rsidR="004F40E8" w:rsidRPr="004F40E8" w:rsidTr="003B594D">
        <w:trPr>
          <w:trHeight w:val="227"/>
        </w:trPr>
        <w:tc>
          <w:tcPr>
            <w:tcW w:w="3557" w:type="dxa"/>
            <w:tcBorders>
              <w:top w:val="nil"/>
              <w:left w:val="single" w:sz="4" w:space="0" w:color="auto"/>
            </w:tcBorders>
            <w:shd w:val="clear" w:color="auto" w:fill="D9D9D9" w:themeFill="background1" w:themeFillShade="D9"/>
            <w:vAlign w:val="bottom"/>
            <w:hideMark/>
          </w:tcPr>
          <w:p w:rsidR="004F40E8" w:rsidRPr="004F40E8" w:rsidRDefault="004F40E8" w:rsidP="004F40E8">
            <w:pPr>
              <w:spacing w:line="228" w:lineRule="auto"/>
              <w:contextualSpacing/>
              <w:jc w:val="both"/>
              <w:rPr>
                <w:rFonts w:ascii="Arial Narrow" w:hAnsi="Arial Narrow"/>
                <w:b/>
                <w:bCs/>
                <w:sz w:val="16"/>
                <w:szCs w:val="16"/>
              </w:rPr>
            </w:pPr>
            <w:r w:rsidRPr="004F40E8">
              <w:rPr>
                <w:rFonts w:ascii="Arial Narrow" w:hAnsi="Arial Narrow"/>
                <w:b/>
                <w:bCs/>
                <w:sz w:val="16"/>
                <w:szCs w:val="16"/>
              </w:rPr>
              <w:t>Επιστροφές φόρων</w:t>
            </w:r>
          </w:p>
        </w:tc>
        <w:tc>
          <w:tcPr>
            <w:tcW w:w="1546" w:type="dxa"/>
            <w:tcBorders>
              <w:top w:val="nil"/>
            </w:tcBorders>
            <w:shd w:val="clear" w:color="auto" w:fill="D9D9D9" w:themeFill="background1" w:themeFillShade="D9"/>
            <w:noWrap/>
            <w:vAlign w:val="bottom"/>
            <w:hideMark/>
          </w:tcPr>
          <w:p w:rsidR="004F40E8" w:rsidRPr="004F40E8" w:rsidRDefault="004F40E8" w:rsidP="004F40E8">
            <w:pPr>
              <w:tabs>
                <w:tab w:val="decimal" w:pos="871"/>
              </w:tabs>
              <w:jc w:val="both"/>
              <w:rPr>
                <w:rFonts w:ascii="Arial Narrow" w:hAnsi="Arial Narrow"/>
                <w:b/>
                <w:color w:val="000000"/>
                <w:sz w:val="16"/>
                <w:szCs w:val="16"/>
              </w:rPr>
            </w:pPr>
            <w:r w:rsidRPr="004F40E8">
              <w:rPr>
                <w:rFonts w:ascii="Arial Narrow" w:hAnsi="Arial Narrow"/>
                <w:b/>
                <w:color w:val="000000"/>
                <w:sz w:val="16"/>
                <w:szCs w:val="16"/>
              </w:rPr>
              <w:t>405</w:t>
            </w:r>
          </w:p>
        </w:tc>
        <w:tc>
          <w:tcPr>
            <w:tcW w:w="1559" w:type="dxa"/>
            <w:tcBorders>
              <w:top w:val="nil"/>
            </w:tcBorders>
            <w:shd w:val="clear" w:color="auto" w:fill="D9D9D9" w:themeFill="background1" w:themeFillShade="D9"/>
            <w:noWrap/>
            <w:vAlign w:val="bottom"/>
            <w:hideMark/>
          </w:tcPr>
          <w:p w:rsidR="004F40E8" w:rsidRPr="004F40E8" w:rsidRDefault="004F40E8" w:rsidP="004F40E8">
            <w:pPr>
              <w:tabs>
                <w:tab w:val="decimal" w:pos="871"/>
              </w:tabs>
              <w:jc w:val="both"/>
              <w:rPr>
                <w:rFonts w:ascii="Arial Narrow" w:hAnsi="Arial Narrow"/>
                <w:b/>
                <w:color w:val="000000"/>
                <w:sz w:val="16"/>
                <w:szCs w:val="16"/>
              </w:rPr>
            </w:pPr>
            <w:r w:rsidRPr="004F40E8">
              <w:rPr>
                <w:rFonts w:ascii="Arial Narrow" w:hAnsi="Arial Narrow"/>
                <w:b/>
                <w:color w:val="000000"/>
                <w:sz w:val="16"/>
                <w:szCs w:val="16"/>
              </w:rPr>
              <w:t>145</w:t>
            </w:r>
          </w:p>
        </w:tc>
        <w:tc>
          <w:tcPr>
            <w:tcW w:w="1701" w:type="dxa"/>
            <w:tcBorders>
              <w:top w:val="nil"/>
              <w:right w:val="single" w:sz="4" w:space="0" w:color="auto"/>
            </w:tcBorders>
            <w:shd w:val="clear" w:color="auto" w:fill="D9D9D9" w:themeFill="background1" w:themeFillShade="D9"/>
            <w:noWrap/>
            <w:vAlign w:val="bottom"/>
            <w:hideMark/>
          </w:tcPr>
          <w:p w:rsidR="004F40E8" w:rsidRPr="004F40E8" w:rsidRDefault="004F40E8" w:rsidP="004F40E8">
            <w:pPr>
              <w:tabs>
                <w:tab w:val="decimal" w:pos="871"/>
              </w:tabs>
              <w:jc w:val="both"/>
              <w:rPr>
                <w:rFonts w:ascii="Arial Narrow" w:hAnsi="Arial Narrow"/>
                <w:b/>
                <w:color w:val="000000"/>
                <w:sz w:val="16"/>
                <w:szCs w:val="16"/>
              </w:rPr>
            </w:pPr>
            <w:r w:rsidRPr="004F40E8">
              <w:rPr>
                <w:rFonts w:ascii="Arial Narrow" w:hAnsi="Arial Narrow"/>
                <w:b/>
                <w:color w:val="000000"/>
                <w:sz w:val="16"/>
                <w:szCs w:val="16"/>
              </w:rPr>
              <w:t>550</w:t>
            </w:r>
          </w:p>
        </w:tc>
      </w:tr>
      <w:tr w:rsidR="004F40E8" w:rsidRPr="004F40E8" w:rsidTr="003B594D">
        <w:trPr>
          <w:trHeight w:val="227"/>
        </w:trPr>
        <w:tc>
          <w:tcPr>
            <w:tcW w:w="3557" w:type="dxa"/>
            <w:tcBorders>
              <w:top w:val="nil"/>
              <w:left w:val="single" w:sz="4" w:space="0" w:color="auto"/>
              <w:bottom w:val="single" w:sz="4" w:space="0" w:color="auto"/>
            </w:tcBorders>
            <w:shd w:val="clear" w:color="auto" w:fill="D9D9D9" w:themeFill="background1" w:themeFillShade="D9"/>
            <w:vAlign w:val="bottom"/>
            <w:hideMark/>
          </w:tcPr>
          <w:p w:rsidR="004F40E8" w:rsidRPr="004F40E8" w:rsidRDefault="004F40E8" w:rsidP="004F40E8">
            <w:pPr>
              <w:spacing w:line="228" w:lineRule="auto"/>
              <w:contextualSpacing/>
              <w:jc w:val="both"/>
              <w:rPr>
                <w:rFonts w:ascii="Arial Narrow" w:hAnsi="Arial Narrow"/>
                <w:b/>
                <w:bCs/>
                <w:sz w:val="16"/>
                <w:szCs w:val="16"/>
              </w:rPr>
            </w:pPr>
            <w:r w:rsidRPr="004F40E8">
              <w:rPr>
                <w:rFonts w:ascii="Arial Narrow" w:hAnsi="Arial Narrow"/>
                <w:b/>
                <w:bCs/>
                <w:sz w:val="16"/>
                <w:szCs w:val="16"/>
              </w:rPr>
              <w:t>Εκκρεμείς αιτήσεις συνταξιοδότησης</w:t>
            </w:r>
          </w:p>
        </w:tc>
        <w:tc>
          <w:tcPr>
            <w:tcW w:w="1546" w:type="dxa"/>
            <w:tcBorders>
              <w:top w:val="nil"/>
              <w:bottom w:val="single" w:sz="4" w:space="0" w:color="auto"/>
            </w:tcBorders>
            <w:shd w:val="clear" w:color="auto" w:fill="D9D9D9" w:themeFill="background1" w:themeFillShade="D9"/>
            <w:noWrap/>
            <w:vAlign w:val="bottom"/>
            <w:hideMark/>
          </w:tcPr>
          <w:p w:rsidR="004F40E8" w:rsidRPr="004F40E8" w:rsidRDefault="004F40E8" w:rsidP="004F40E8">
            <w:pPr>
              <w:tabs>
                <w:tab w:val="decimal" w:pos="871"/>
              </w:tabs>
              <w:jc w:val="both"/>
              <w:rPr>
                <w:rFonts w:ascii="Arial Narrow" w:hAnsi="Arial Narrow"/>
                <w:b/>
                <w:color w:val="000000"/>
                <w:sz w:val="16"/>
                <w:szCs w:val="16"/>
              </w:rPr>
            </w:pPr>
            <w:r w:rsidRPr="004F40E8">
              <w:rPr>
                <w:rFonts w:ascii="Arial Narrow" w:hAnsi="Arial Narrow"/>
                <w:b/>
                <w:color w:val="000000"/>
                <w:sz w:val="16"/>
                <w:szCs w:val="16"/>
              </w:rPr>
              <w:t>0</w:t>
            </w:r>
          </w:p>
        </w:tc>
        <w:tc>
          <w:tcPr>
            <w:tcW w:w="1559" w:type="dxa"/>
            <w:tcBorders>
              <w:top w:val="nil"/>
              <w:bottom w:val="single" w:sz="4" w:space="0" w:color="auto"/>
            </w:tcBorders>
            <w:shd w:val="clear" w:color="auto" w:fill="D9D9D9" w:themeFill="background1" w:themeFillShade="D9"/>
            <w:noWrap/>
            <w:vAlign w:val="bottom"/>
            <w:hideMark/>
          </w:tcPr>
          <w:p w:rsidR="004F40E8" w:rsidRPr="004F40E8" w:rsidRDefault="004F40E8" w:rsidP="004F40E8">
            <w:pPr>
              <w:tabs>
                <w:tab w:val="decimal" w:pos="871"/>
              </w:tabs>
              <w:jc w:val="both"/>
              <w:rPr>
                <w:rFonts w:ascii="Arial Narrow" w:hAnsi="Arial Narrow"/>
                <w:b/>
                <w:color w:val="000000"/>
                <w:sz w:val="16"/>
                <w:szCs w:val="16"/>
              </w:rPr>
            </w:pPr>
            <w:r w:rsidRPr="004F40E8">
              <w:rPr>
                <w:rFonts w:ascii="Arial Narrow" w:hAnsi="Arial Narrow"/>
                <w:b/>
                <w:color w:val="000000"/>
                <w:sz w:val="16"/>
                <w:szCs w:val="16"/>
              </w:rPr>
              <w:t>445</w:t>
            </w:r>
          </w:p>
        </w:tc>
        <w:tc>
          <w:tcPr>
            <w:tcW w:w="1701" w:type="dxa"/>
            <w:tcBorders>
              <w:top w:val="nil"/>
              <w:bottom w:val="single" w:sz="4" w:space="0" w:color="auto"/>
              <w:right w:val="single" w:sz="4" w:space="0" w:color="auto"/>
            </w:tcBorders>
            <w:shd w:val="clear" w:color="auto" w:fill="D9D9D9" w:themeFill="background1" w:themeFillShade="D9"/>
            <w:noWrap/>
            <w:vAlign w:val="bottom"/>
            <w:hideMark/>
          </w:tcPr>
          <w:p w:rsidR="004F40E8" w:rsidRPr="004F40E8" w:rsidRDefault="004F40E8" w:rsidP="004F40E8">
            <w:pPr>
              <w:tabs>
                <w:tab w:val="decimal" w:pos="871"/>
              </w:tabs>
              <w:jc w:val="both"/>
              <w:rPr>
                <w:rFonts w:ascii="Arial Narrow" w:hAnsi="Arial Narrow"/>
                <w:b/>
                <w:color w:val="000000"/>
                <w:sz w:val="16"/>
                <w:szCs w:val="16"/>
              </w:rPr>
            </w:pPr>
            <w:r w:rsidRPr="004F40E8">
              <w:rPr>
                <w:rFonts w:ascii="Arial Narrow" w:hAnsi="Arial Narrow"/>
                <w:b/>
                <w:color w:val="000000"/>
                <w:sz w:val="16"/>
                <w:szCs w:val="16"/>
              </w:rPr>
              <w:t>445</w:t>
            </w:r>
          </w:p>
        </w:tc>
      </w:tr>
    </w:tbl>
    <w:p w:rsidR="004F40E8" w:rsidRPr="004F40E8" w:rsidRDefault="004F40E8" w:rsidP="004F40E8">
      <w:pPr>
        <w:tabs>
          <w:tab w:val="left" w:pos="426"/>
        </w:tabs>
        <w:spacing w:line="228" w:lineRule="auto"/>
        <w:ind w:left="284"/>
        <w:contextualSpacing/>
        <w:jc w:val="both"/>
        <w:rPr>
          <w:rFonts w:ascii="Arial Narrow" w:hAnsi="Arial Narrow"/>
          <w:bCs/>
          <w:sz w:val="18"/>
          <w:szCs w:val="18"/>
        </w:rPr>
      </w:pPr>
      <w:r w:rsidRPr="004F40E8">
        <w:rPr>
          <w:rFonts w:ascii="Arial Narrow" w:hAnsi="Arial Narrow"/>
          <w:bCs/>
          <w:sz w:val="18"/>
          <w:szCs w:val="18"/>
        </w:rPr>
        <w:t>*</w:t>
      </w:r>
      <w:r w:rsidRPr="004F40E8">
        <w:rPr>
          <w:rFonts w:ascii="Arial Narrow" w:hAnsi="Arial Narrow"/>
          <w:bCs/>
          <w:sz w:val="18"/>
          <w:szCs w:val="18"/>
        </w:rPr>
        <w:tab/>
        <w:t>Ποσό ύψους 420 εκατ. ευρώ περίπου συμψηφίστηκε με υποχρεώσεις των τρίτων προς το Δημόσιο.</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r w:rsidRPr="004F40E8">
        <w:rPr>
          <w:bCs/>
          <w:szCs w:val="22"/>
        </w:rPr>
        <w:t>Από τα ανωτέρω ποσά εξοφλήθηκαν ληξιπρόθεσμες υποχρεώσεις προς τρίτους ύψους περ</w:t>
      </w:r>
      <w:r w:rsidRPr="004F40E8">
        <w:rPr>
          <w:bCs/>
          <w:szCs w:val="22"/>
        </w:rPr>
        <w:t>ί</w:t>
      </w:r>
      <w:r w:rsidRPr="004F40E8">
        <w:rPr>
          <w:bCs/>
          <w:szCs w:val="22"/>
        </w:rPr>
        <w:t>που 3.167 εκατ. ευρώ. Επιπλέον, εξοφλήθηκαν εκκρεμείς επιστροφές φόρων καθαρού ποσού (μετά τη διενέργεια συμψηφισμών) 485 εκατ. ευρώ. Τέλος, εκκαθαρίστηκαν εκκρεμείς αιτ</w:t>
      </w:r>
      <w:r w:rsidRPr="004F40E8">
        <w:rPr>
          <w:bCs/>
          <w:szCs w:val="22"/>
        </w:rPr>
        <w:t>ή</w:t>
      </w:r>
      <w:r w:rsidRPr="004F40E8">
        <w:rPr>
          <w:bCs/>
          <w:szCs w:val="22"/>
        </w:rPr>
        <w:t>σεις συνταξιοδότησης ύψους 213 εκατ. ευρώ.</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r w:rsidRPr="004F40E8">
        <w:rPr>
          <w:bCs/>
          <w:szCs w:val="22"/>
        </w:rPr>
        <w:t>Η κατανομή των πληρωμών από τη διατεθείσα χρηματοδότηση ανά έτος και ανά υποτομέα της Γενικής Κυβέρνησης αποτυπώνεται στον πίνακα 2.4.</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p>
    <w:tbl>
      <w:tblPr>
        <w:tblW w:w="8377" w:type="dxa"/>
        <w:tblInd w:w="392" w:type="dxa"/>
        <w:tblLook w:val="04A0"/>
      </w:tblPr>
      <w:tblGrid>
        <w:gridCol w:w="3416"/>
        <w:gridCol w:w="1540"/>
        <w:gridCol w:w="2003"/>
        <w:gridCol w:w="1418"/>
      </w:tblGrid>
      <w:tr w:rsidR="004F40E8" w:rsidRPr="004F40E8" w:rsidTr="003B594D">
        <w:trPr>
          <w:trHeight w:val="271"/>
        </w:trPr>
        <w:tc>
          <w:tcPr>
            <w:tcW w:w="837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4F40E8" w:rsidRPr="004F40E8" w:rsidRDefault="004F40E8" w:rsidP="004F40E8">
            <w:pPr>
              <w:spacing w:line="228" w:lineRule="auto"/>
              <w:contextualSpacing/>
              <w:jc w:val="center"/>
              <w:rPr>
                <w:rFonts w:ascii="Arial Narrow" w:hAnsi="Arial Narrow"/>
                <w:b/>
                <w:bCs/>
                <w:szCs w:val="22"/>
              </w:rPr>
            </w:pPr>
            <w:r w:rsidRPr="004F40E8">
              <w:rPr>
                <w:rFonts w:ascii="Arial Narrow" w:hAnsi="Arial Narrow"/>
                <w:b/>
                <w:bCs/>
                <w:szCs w:val="22"/>
              </w:rPr>
              <w:t>Πίνακας 2.4  Πληρωμές ληξιπρόθεσμων υποχρεώσεων φορέων</w:t>
            </w:r>
          </w:p>
          <w:p w:rsidR="004F40E8" w:rsidRPr="004F40E8" w:rsidRDefault="004F40E8" w:rsidP="004F40E8">
            <w:pPr>
              <w:spacing w:line="228" w:lineRule="auto"/>
              <w:contextualSpacing/>
              <w:jc w:val="center"/>
              <w:rPr>
                <w:rFonts w:ascii="Arial Narrow" w:hAnsi="Arial Narrow"/>
                <w:b/>
                <w:bCs/>
                <w:szCs w:val="22"/>
              </w:rPr>
            </w:pPr>
            <w:r w:rsidRPr="004F40E8">
              <w:rPr>
                <w:rFonts w:ascii="Arial Narrow" w:hAnsi="Arial Narrow"/>
                <w:b/>
                <w:bCs/>
                <w:szCs w:val="22"/>
              </w:rPr>
              <w:t>Γενικής Κυβέρνησης Ιούλιος 2016 - Ιούλιος 2017</w:t>
            </w:r>
          </w:p>
          <w:p w:rsidR="004F40E8" w:rsidRPr="004F40E8" w:rsidRDefault="004F40E8" w:rsidP="004F40E8">
            <w:pPr>
              <w:spacing w:line="228" w:lineRule="auto"/>
              <w:contextualSpacing/>
              <w:jc w:val="center"/>
              <w:rPr>
                <w:rFonts w:ascii="Arial Narrow" w:hAnsi="Arial Narrow"/>
                <w:b/>
                <w:bCs/>
                <w:szCs w:val="22"/>
              </w:rPr>
            </w:pPr>
            <w:r w:rsidRPr="004F40E8">
              <w:rPr>
                <w:rFonts w:ascii="Arial Narrow" w:hAnsi="Arial Narrow"/>
                <w:b/>
                <w:bCs/>
                <w:szCs w:val="22"/>
              </w:rPr>
              <w:t>(σε εκατ. ευρώ)</w:t>
            </w:r>
          </w:p>
        </w:tc>
      </w:tr>
      <w:tr w:rsidR="004F40E8" w:rsidRPr="004F40E8" w:rsidTr="003B594D">
        <w:trPr>
          <w:trHeight w:val="300"/>
        </w:trPr>
        <w:tc>
          <w:tcPr>
            <w:tcW w:w="3416" w:type="dxa"/>
            <w:tcBorders>
              <w:top w:val="nil"/>
              <w:left w:val="single" w:sz="4" w:space="0" w:color="auto"/>
              <w:bottom w:val="single" w:sz="4" w:space="0" w:color="auto"/>
              <w:right w:val="nil"/>
            </w:tcBorders>
            <w:shd w:val="clear" w:color="auto" w:fill="auto"/>
            <w:vAlign w:val="bottom"/>
            <w:hideMark/>
          </w:tcPr>
          <w:p w:rsidR="004F40E8" w:rsidRPr="004F40E8" w:rsidRDefault="004F40E8" w:rsidP="004F40E8">
            <w:pPr>
              <w:spacing w:line="228" w:lineRule="auto"/>
              <w:contextualSpacing/>
              <w:jc w:val="both"/>
              <w:rPr>
                <w:rFonts w:ascii="Arial Narrow" w:hAnsi="Arial Narrow"/>
                <w:b/>
                <w:bCs/>
                <w:sz w:val="16"/>
                <w:szCs w:val="16"/>
              </w:rPr>
            </w:pPr>
            <w:r w:rsidRPr="004F40E8">
              <w:rPr>
                <w:rFonts w:ascii="Arial Narrow" w:hAnsi="Arial Narrow"/>
                <w:b/>
                <w:bCs/>
                <w:sz w:val="16"/>
                <w:szCs w:val="16"/>
              </w:rPr>
              <w:t> Φορέας Γενικής Κυβέρνησης </w:t>
            </w:r>
          </w:p>
        </w:tc>
        <w:tc>
          <w:tcPr>
            <w:tcW w:w="1540" w:type="dxa"/>
            <w:tcBorders>
              <w:top w:val="nil"/>
              <w:left w:val="single" w:sz="4" w:space="0" w:color="auto"/>
              <w:bottom w:val="single" w:sz="4" w:space="0" w:color="auto"/>
              <w:right w:val="single" w:sz="4" w:space="0" w:color="auto"/>
            </w:tcBorders>
            <w:shd w:val="clear" w:color="auto" w:fill="auto"/>
            <w:vAlign w:val="bottom"/>
            <w:hideMark/>
          </w:tcPr>
          <w:p w:rsidR="004F40E8" w:rsidRPr="004F40E8" w:rsidRDefault="004F40E8" w:rsidP="004F40E8">
            <w:pPr>
              <w:spacing w:line="228" w:lineRule="auto"/>
              <w:contextualSpacing/>
              <w:jc w:val="center"/>
              <w:rPr>
                <w:rFonts w:ascii="Arial Narrow" w:hAnsi="Arial Narrow"/>
                <w:b/>
                <w:bCs/>
                <w:sz w:val="16"/>
                <w:szCs w:val="16"/>
              </w:rPr>
            </w:pPr>
            <w:r w:rsidRPr="004F40E8">
              <w:rPr>
                <w:rFonts w:ascii="Arial Narrow" w:hAnsi="Arial Narrow"/>
                <w:b/>
                <w:bCs/>
                <w:sz w:val="16"/>
                <w:szCs w:val="16"/>
              </w:rPr>
              <w:t>Ιουλ. – Δεκ. 2016</w:t>
            </w:r>
          </w:p>
        </w:tc>
        <w:tc>
          <w:tcPr>
            <w:tcW w:w="2003" w:type="dxa"/>
            <w:tcBorders>
              <w:top w:val="nil"/>
              <w:left w:val="nil"/>
              <w:bottom w:val="single" w:sz="4" w:space="0" w:color="auto"/>
              <w:right w:val="single" w:sz="4" w:space="0" w:color="auto"/>
            </w:tcBorders>
            <w:shd w:val="clear" w:color="auto" w:fill="auto"/>
            <w:vAlign w:val="bottom"/>
            <w:hideMark/>
          </w:tcPr>
          <w:p w:rsidR="004F40E8" w:rsidRPr="004F40E8" w:rsidRDefault="004F40E8" w:rsidP="004F40E8">
            <w:pPr>
              <w:spacing w:line="228" w:lineRule="auto"/>
              <w:contextualSpacing/>
              <w:jc w:val="center"/>
              <w:rPr>
                <w:rFonts w:ascii="Arial Narrow" w:hAnsi="Arial Narrow"/>
                <w:b/>
                <w:bCs/>
                <w:sz w:val="16"/>
                <w:szCs w:val="16"/>
              </w:rPr>
            </w:pPr>
            <w:r w:rsidRPr="004F40E8">
              <w:rPr>
                <w:rFonts w:ascii="Arial Narrow" w:hAnsi="Arial Narrow"/>
                <w:b/>
                <w:bCs/>
                <w:sz w:val="16"/>
                <w:szCs w:val="16"/>
              </w:rPr>
              <w:t xml:space="preserve">Ιαν. – Ιουλ. 2017 </w:t>
            </w:r>
          </w:p>
        </w:tc>
        <w:tc>
          <w:tcPr>
            <w:tcW w:w="1418" w:type="dxa"/>
            <w:tcBorders>
              <w:top w:val="nil"/>
              <w:left w:val="nil"/>
              <w:bottom w:val="single" w:sz="4" w:space="0" w:color="auto"/>
              <w:right w:val="single" w:sz="4" w:space="0" w:color="auto"/>
            </w:tcBorders>
            <w:shd w:val="clear" w:color="auto" w:fill="auto"/>
            <w:vAlign w:val="bottom"/>
            <w:hideMark/>
          </w:tcPr>
          <w:p w:rsidR="004F40E8" w:rsidRPr="004F40E8" w:rsidRDefault="004F40E8" w:rsidP="004F40E8">
            <w:pPr>
              <w:spacing w:line="228" w:lineRule="auto"/>
              <w:contextualSpacing/>
              <w:jc w:val="center"/>
              <w:rPr>
                <w:rFonts w:ascii="Arial Narrow" w:hAnsi="Arial Narrow"/>
                <w:b/>
                <w:bCs/>
                <w:sz w:val="16"/>
                <w:szCs w:val="16"/>
              </w:rPr>
            </w:pPr>
            <w:r w:rsidRPr="004F40E8">
              <w:rPr>
                <w:rFonts w:ascii="Arial Narrow" w:hAnsi="Arial Narrow"/>
                <w:b/>
                <w:bCs/>
                <w:sz w:val="16"/>
                <w:szCs w:val="16"/>
              </w:rPr>
              <w:t>Σύνολο</w:t>
            </w:r>
          </w:p>
        </w:tc>
      </w:tr>
      <w:tr w:rsidR="004F40E8" w:rsidRPr="004F40E8" w:rsidTr="003B594D">
        <w:trPr>
          <w:trHeight w:val="227"/>
        </w:trPr>
        <w:tc>
          <w:tcPr>
            <w:tcW w:w="3416" w:type="dxa"/>
            <w:tcBorders>
              <w:top w:val="single" w:sz="4" w:space="0" w:color="auto"/>
              <w:left w:val="single" w:sz="4" w:space="0" w:color="auto"/>
            </w:tcBorders>
            <w:shd w:val="clear" w:color="auto" w:fill="auto"/>
            <w:vAlign w:val="bottom"/>
            <w:hideMark/>
          </w:tcPr>
          <w:p w:rsidR="004F40E8" w:rsidRPr="004F40E8" w:rsidRDefault="004F40E8" w:rsidP="004F40E8">
            <w:pPr>
              <w:spacing w:line="228" w:lineRule="auto"/>
              <w:contextualSpacing/>
              <w:jc w:val="both"/>
              <w:rPr>
                <w:rFonts w:ascii="Arial Narrow" w:hAnsi="Arial Narrow"/>
                <w:bCs/>
                <w:sz w:val="16"/>
                <w:szCs w:val="16"/>
              </w:rPr>
            </w:pPr>
            <w:r w:rsidRPr="004F40E8">
              <w:rPr>
                <w:rFonts w:ascii="Arial Narrow" w:hAnsi="Arial Narrow"/>
                <w:bCs/>
                <w:sz w:val="16"/>
                <w:szCs w:val="16"/>
              </w:rPr>
              <w:t>Κράτος *</w:t>
            </w:r>
          </w:p>
        </w:tc>
        <w:tc>
          <w:tcPr>
            <w:tcW w:w="1540" w:type="dxa"/>
            <w:tcBorders>
              <w:top w:val="single" w:sz="4" w:space="0" w:color="auto"/>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467</w:t>
            </w:r>
          </w:p>
        </w:tc>
        <w:tc>
          <w:tcPr>
            <w:tcW w:w="2003" w:type="dxa"/>
            <w:tcBorders>
              <w:top w:val="single" w:sz="4" w:space="0" w:color="auto"/>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0</w:t>
            </w:r>
          </w:p>
        </w:tc>
        <w:tc>
          <w:tcPr>
            <w:tcW w:w="1418" w:type="dxa"/>
            <w:tcBorders>
              <w:top w:val="single" w:sz="4" w:space="0" w:color="auto"/>
              <w:right w:val="single" w:sz="4" w:space="0" w:color="auto"/>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467</w:t>
            </w:r>
          </w:p>
        </w:tc>
      </w:tr>
      <w:tr w:rsidR="004F40E8" w:rsidRPr="004F40E8" w:rsidTr="003B594D">
        <w:trPr>
          <w:trHeight w:val="227"/>
        </w:trPr>
        <w:tc>
          <w:tcPr>
            <w:tcW w:w="3416" w:type="dxa"/>
            <w:tcBorders>
              <w:top w:val="nil"/>
              <w:left w:val="single" w:sz="4" w:space="0" w:color="auto"/>
            </w:tcBorders>
            <w:shd w:val="clear" w:color="auto" w:fill="auto"/>
            <w:vAlign w:val="bottom"/>
            <w:hideMark/>
          </w:tcPr>
          <w:p w:rsidR="004F40E8" w:rsidRPr="004F40E8" w:rsidRDefault="004F40E8" w:rsidP="004F40E8">
            <w:pPr>
              <w:spacing w:line="228" w:lineRule="auto"/>
              <w:contextualSpacing/>
              <w:jc w:val="both"/>
              <w:rPr>
                <w:rFonts w:ascii="Arial Narrow" w:hAnsi="Arial Narrow"/>
                <w:bCs/>
                <w:sz w:val="16"/>
                <w:szCs w:val="16"/>
              </w:rPr>
            </w:pPr>
            <w:r w:rsidRPr="004F40E8">
              <w:rPr>
                <w:rFonts w:ascii="Arial Narrow" w:hAnsi="Arial Narrow"/>
                <w:bCs/>
                <w:sz w:val="16"/>
                <w:szCs w:val="16"/>
              </w:rPr>
              <w:t>ΟΤΑ</w:t>
            </w:r>
          </w:p>
        </w:tc>
        <w:tc>
          <w:tcPr>
            <w:tcW w:w="1540" w:type="dxa"/>
            <w:tcBorders>
              <w:top w:val="nil"/>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56</w:t>
            </w:r>
          </w:p>
        </w:tc>
        <w:tc>
          <w:tcPr>
            <w:tcW w:w="2003" w:type="dxa"/>
            <w:tcBorders>
              <w:top w:val="nil"/>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60</w:t>
            </w:r>
          </w:p>
        </w:tc>
        <w:tc>
          <w:tcPr>
            <w:tcW w:w="1418" w:type="dxa"/>
            <w:tcBorders>
              <w:top w:val="nil"/>
              <w:right w:val="single" w:sz="4" w:space="0" w:color="auto"/>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116</w:t>
            </w:r>
          </w:p>
        </w:tc>
      </w:tr>
      <w:tr w:rsidR="004F40E8" w:rsidRPr="004F40E8" w:rsidTr="003B594D">
        <w:trPr>
          <w:trHeight w:val="227"/>
        </w:trPr>
        <w:tc>
          <w:tcPr>
            <w:tcW w:w="3416" w:type="dxa"/>
            <w:tcBorders>
              <w:top w:val="nil"/>
              <w:left w:val="single" w:sz="4" w:space="0" w:color="auto"/>
            </w:tcBorders>
            <w:shd w:val="clear" w:color="auto" w:fill="auto"/>
            <w:vAlign w:val="bottom"/>
            <w:hideMark/>
          </w:tcPr>
          <w:p w:rsidR="004F40E8" w:rsidRPr="004F40E8" w:rsidRDefault="004F40E8" w:rsidP="004F40E8">
            <w:pPr>
              <w:spacing w:line="228" w:lineRule="auto"/>
              <w:contextualSpacing/>
              <w:jc w:val="both"/>
              <w:rPr>
                <w:rFonts w:ascii="Arial Narrow" w:hAnsi="Arial Narrow"/>
                <w:bCs/>
                <w:sz w:val="16"/>
                <w:szCs w:val="16"/>
              </w:rPr>
            </w:pPr>
            <w:r w:rsidRPr="004F40E8">
              <w:rPr>
                <w:rFonts w:ascii="Arial Narrow" w:hAnsi="Arial Narrow"/>
                <w:bCs/>
                <w:sz w:val="16"/>
                <w:szCs w:val="16"/>
              </w:rPr>
              <w:t>ΟΚΑ</w:t>
            </w:r>
          </w:p>
        </w:tc>
        <w:tc>
          <w:tcPr>
            <w:tcW w:w="1540" w:type="dxa"/>
            <w:tcBorders>
              <w:top w:val="nil"/>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922</w:t>
            </w:r>
          </w:p>
        </w:tc>
        <w:tc>
          <w:tcPr>
            <w:tcW w:w="2003" w:type="dxa"/>
            <w:tcBorders>
              <w:top w:val="nil"/>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242</w:t>
            </w:r>
          </w:p>
        </w:tc>
        <w:tc>
          <w:tcPr>
            <w:tcW w:w="1418" w:type="dxa"/>
            <w:tcBorders>
              <w:top w:val="nil"/>
              <w:right w:val="single" w:sz="4" w:space="0" w:color="auto"/>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1.164</w:t>
            </w:r>
          </w:p>
        </w:tc>
      </w:tr>
      <w:tr w:rsidR="004F40E8" w:rsidRPr="004F40E8" w:rsidTr="003B594D">
        <w:trPr>
          <w:trHeight w:val="227"/>
        </w:trPr>
        <w:tc>
          <w:tcPr>
            <w:tcW w:w="3416" w:type="dxa"/>
            <w:tcBorders>
              <w:top w:val="nil"/>
              <w:left w:val="single" w:sz="4" w:space="0" w:color="auto"/>
            </w:tcBorders>
            <w:shd w:val="clear" w:color="auto" w:fill="auto"/>
            <w:vAlign w:val="bottom"/>
            <w:hideMark/>
          </w:tcPr>
          <w:p w:rsidR="004F40E8" w:rsidRPr="004F40E8" w:rsidRDefault="004F40E8" w:rsidP="004F40E8">
            <w:pPr>
              <w:spacing w:line="228" w:lineRule="auto"/>
              <w:contextualSpacing/>
              <w:jc w:val="both"/>
              <w:rPr>
                <w:rFonts w:ascii="Arial Narrow" w:hAnsi="Arial Narrow"/>
                <w:bCs/>
                <w:sz w:val="16"/>
                <w:szCs w:val="16"/>
              </w:rPr>
            </w:pPr>
            <w:r w:rsidRPr="004F40E8">
              <w:rPr>
                <w:rFonts w:ascii="Arial Narrow" w:hAnsi="Arial Narrow"/>
                <w:bCs/>
                <w:sz w:val="16"/>
                <w:szCs w:val="16"/>
              </w:rPr>
              <w:t>Νοσοκομεία</w:t>
            </w:r>
          </w:p>
        </w:tc>
        <w:tc>
          <w:tcPr>
            <w:tcW w:w="1540" w:type="dxa"/>
            <w:tcBorders>
              <w:top w:val="nil"/>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1.035</w:t>
            </w:r>
          </w:p>
        </w:tc>
        <w:tc>
          <w:tcPr>
            <w:tcW w:w="2003" w:type="dxa"/>
            <w:tcBorders>
              <w:top w:val="nil"/>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106</w:t>
            </w:r>
          </w:p>
        </w:tc>
        <w:tc>
          <w:tcPr>
            <w:tcW w:w="1418" w:type="dxa"/>
            <w:tcBorders>
              <w:top w:val="nil"/>
              <w:right w:val="single" w:sz="4" w:space="0" w:color="auto"/>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1.141</w:t>
            </w:r>
          </w:p>
        </w:tc>
      </w:tr>
      <w:tr w:rsidR="004F40E8" w:rsidRPr="004F40E8" w:rsidTr="003B594D">
        <w:trPr>
          <w:trHeight w:val="227"/>
        </w:trPr>
        <w:tc>
          <w:tcPr>
            <w:tcW w:w="3416" w:type="dxa"/>
            <w:tcBorders>
              <w:top w:val="nil"/>
              <w:left w:val="single" w:sz="4" w:space="0" w:color="auto"/>
            </w:tcBorders>
            <w:shd w:val="clear" w:color="auto" w:fill="auto"/>
            <w:vAlign w:val="bottom"/>
            <w:hideMark/>
          </w:tcPr>
          <w:p w:rsidR="004F40E8" w:rsidRPr="004F40E8" w:rsidRDefault="004F40E8" w:rsidP="004F40E8">
            <w:pPr>
              <w:spacing w:line="228" w:lineRule="auto"/>
              <w:contextualSpacing/>
              <w:jc w:val="both"/>
              <w:rPr>
                <w:rFonts w:ascii="Arial Narrow" w:hAnsi="Arial Narrow"/>
                <w:bCs/>
                <w:sz w:val="16"/>
                <w:szCs w:val="16"/>
              </w:rPr>
            </w:pPr>
            <w:r w:rsidRPr="004F40E8">
              <w:rPr>
                <w:rFonts w:ascii="Arial Narrow" w:hAnsi="Arial Narrow"/>
                <w:bCs/>
                <w:sz w:val="16"/>
                <w:szCs w:val="16"/>
              </w:rPr>
              <w:t>Νομικά πρόσωπα και ΔΕΚΟ</w:t>
            </w:r>
          </w:p>
        </w:tc>
        <w:tc>
          <w:tcPr>
            <w:tcW w:w="1540" w:type="dxa"/>
            <w:tcBorders>
              <w:top w:val="nil"/>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268</w:t>
            </w:r>
          </w:p>
        </w:tc>
        <w:tc>
          <w:tcPr>
            <w:tcW w:w="2003" w:type="dxa"/>
            <w:tcBorders>
              <w:top w:val="nil"/>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10</w:t>
            </w:r>
          </w:p>
        </w:tc>
        <w:tc>
          <w:tcPr>
            <w:tcW w:w="1418" w:type="dxa"/>
            <w:tcBorders>
              <w:top w:val="nil"/>
              <w:right w:val="single" w:sz="4" w:space="0" w:color="auto"/>
            </w:tcBorders>
            <w:shd w:val="clear" w:color="auto" w:fill="auto"/>
            <w:noWrap/>
            <w:vAlign w:val="bottom"/>
            <w:hideMark/>
          </w:tcPr>
          <w:p w:rsidR="004F40E8" w:rsidRPr="004F40E8" w:rsidRDefault="004F40E8" w:rsidP="004F40E8">
            <w:pPr>
              <w:tabs>
                <w:tab w:val="decimal" w:pos="759"/>
              </w:tabs>
              <w:jc w:val="both"/>
              <w:rPr>
                <w:rFonts w:ascii="Arial Narrow" w:hAnsi="Arial Narrow"/>
                <w:color w:val="000000"/>
                <w:sz w:val="16"/>
                <w:szCs w:val="16"/>
              </w:rPr>
            </w:pPr>
            <w:r w:rsidRPr="004F40E8">
              <w:rPr>
                <w:rFonts w:ascii="Arial Narrow" w:hAnsi="Arial Narrow"/>
                <w:color w:val="000000"/>
                <w:sz w:val="16"/>
                <w:szCs w:val="16"/>
              </w:rPr>
              <w:t>278</w:t>
            </w:r>
          </w:p>
        </w:tc>
      </w:tr>
      <w:tr w:rsidR="004F40E8" w:rsidRPr="004F40E8" w:rsidTr="003B594D">
        <w:trPr>
          <w:trHeight w:val="227"/>
        </w:trPr>
        <w:tc>
          <w:tcPr>
            <w:tcW w:w="3416" w:type="dxa"/>
            <w:tcBorders>
              <w:top w:val="nil"/>
              <w:left w:val="single" w:sz="4" w:space="0" w:color="auto"/>
            </w:tcBorders>
            <w:shd w:val="clear" w:color="auto" w:fill="D9D9D9" w:themeFill="background1" w:themeFillShade="D9"/>
            <w:vAlign w:val="bottom"/>
            <w:hideMark/>
          </w:tcPr>
          <w:p w:rsidR="004F40E8" w:rsidRPr="004F40E8" w:rsidRDefault="004F40E8" w:rsidP="004F40E8">
            <w:pPr>
              <w:spacing w:line="228" w:lineRule="auto"/>
              <w:contextualSpacing/>
              <w:jc w:val="both"/>
              <w:rPr>
                <w:rFonts w:ascii="Arial Narrow" w:hAnsi="Arial Narrow"/>
                <w:b/>
                <w:bCs/>
                <w:sz w:val="16"/>
                <w:szCs w:val="16"/>
              </w:rPr>
            </w:pPr>
            <w:r w:rsidRPr="004F40E8">
              <w:rPr>
                <w:rFonts w:ascii="Arial Narrow" w:hAnsi="Arial Narrow"/>
                <w:b/>
                <w:bCs/>
                <w:sz w:val="16"/>
                <w:szCs w:val="16"/>
              </w:rPr>
              <w:t>Γενική Κυβέρνηση</w:t>
            </w:r>
          </w:p>
        </w:tc>
        <w:tc>
          <w:tcPr>
            <w:tcW w:w="1540" w:type="dxa"/>
            <w:tcBorders>
              <w:top w:val="nil"/>
            </w:tcBorders>
            <w:shd w:val="clear" w:color="auto" w:fill="D9D9D9" w:themeFill="background1" w:themeFillShade="D9"/>
            <w:noWrap/>
            <w:vAlign w:val="bottom"/>
            <w:hideMark/>
          </w:tcPr>
          <w:p w:rsidR="004F40E8" w:rsidRPr="004F40E8" w:rsidRDefault="004F40E8" w:rsidP="004F40E8">
            <w:pPr>
              <w:tabs>
                <w:tab w:val="decimal" w:pos="759"/>
              </w:tabs>
              <w:jc w:val="both"/>
              <w:rPr>
                <w:rFonts w:ascii="Arial Narrow" w:hAnsi="Arial Narrow"/>
                <w:b/>
                <w:bCs/>
                <w:color w:val="000000"/>
                <w:sz w:val="16"/>
                <w:szCs w:val="16"/>
              </w:rPr>
            </w:pPr>
            <w:r w:rsidRPr="004F40E8">
              <w:rPr>
                <w:rFonts w:ascii="Arial Narrow" w:hAnsi="Arial Narrow"/>
                <w:b/>
                <w:bCs/>
                <w:color w:val="000000"/>
                <w:sz w:val="16"/>
                <w:szCs w:val="16"/>
              </w:rPr>
              <w:t>2.748</w:t>
            </w:r>
          </w:p>
        </w:tc>
        <w:tc>
          <w:tcPr>
            <w:tcW w:w="2003" w:type="dxa"/>
            <w:tcBorders>
              <w:top w:val="nil"/>
            </w:tcBorders>
            <w:shd w:val="clear" w:color="auto" w:fill="D9D9D9" w:themeFill="background1" w:themeFillShade="D9"/>
            <w:noWrap/>
            <w:vAlign w:val="bottom"/>
            <w:hideMark/>
          </w:tcPr>
          <w:p w:rsidR="004F40E8" w:rsidRPr="004F40E8" w:rsidRDefault="004F40E8" w:rsidP="004F40E8">
            <w:pPr>
              <w:tabs>
                <w:tab w:val="decimal" w:pos="759"/>
              </w:tabs>
              <w:jc w:val="both"/>
              <w:rPr>
                <w:rFonts w:ascii="Arial Narrow" w:hAnsi="Arial Narrow"/>
                <w:b/>
                <w:bCs/>
                <w:color w:val="000000"/>
                <w:sz w:val="16"/>
                <w:szCs w:val="16"/>
              </w:rPr>
            </w:pPr>
            <w:r w:rsidRPr="004F40E8">
              <w:rPr>
                <w:rFonts w:ascii="Arial Narrow" w:hAnsi="Arial Narrow"/>
                <w:b/>
                <w:bCs/>
                <w:color w:val="000000"/>
                <w:sz w:val="16"/>
                <w:szCs w:val="16"/>
              </w:rPr>
              <w:t>418</w:t>
            </w:r>
          </w:p>
        </w:tc>
        <w:tc>
          <w:tcPr>
            <w:tcW w:w="1418" w:type="dxa"/>
            <w:tcBorders>
              <w:top w:val="nil"/>
              <w:right w:val="single" w:sz="4" w:space="0" w:color="auto"/>
            </w:tcBorders>
            <w:shd w:val="clear" w:color="auto" w:fill="D9D9D9" w:themeFill="background1" w:themeFillShade="D9"/>
            <w:noWrap/>
            <w:vAlign w:val="bottom"/>
            <w:hideMark/>
          </w:tcPr>
          <w:p w:rsidR="004F40E8" w:rsidRPr="004F40E8" w:rsidRDefault="004F40E8" w:rsidP="004F40E8">
            <w:pPr>
              <w:tabs>
                <w:tab w:val="decimal" w:pos="759"/>
              </w:tabs>
              <w:jc w:val="both"/>
              <w:rPr>
                <w:rFonts w:ascii="Arial Narrow" w:hAnsi="Arial Narrow"/>
                <w:b/>
                <w:bCs/>
                <w:color w:val="000000"/>
                <w:sz w:val="16"/>
                <w:szCs w:val="16"/>
              </w:rPr>
            </w:pPr>
            <w:r w:rsidRPr="004F40E8">
              <w:rPr>
                <w:rFonts w:ascii="Arial Narrow" w:hAnsi="Arial Narrow"/>
                <w:b/>
                <w:bCs/>
                <w:color w:val="000000"/>
                <w:sz w:val="16"/>
                <w:szCs w:val="16"/>
              </w:rPr>
              <w:t>3.167</w:t>
            </w:r>
          </w:p>
        </w:tc>
      </w:tr>
      <w:tr w:rsidR="004F40E8" w:rsidRPr="004F40E8" w:rsidTr="003B594D">
        <w:trPr>
          <w:trHeight w:val="227"/>
        </w:trPr>
        <w:tc>
          <w:tcPr>
            <w:tcW w:w="3416" w:type="dxa"/>
            <w:tcBorders>
              <w:top w:val="nil"/>
              <w:left w:val="single" w:sz="4" w:space="0" w:color="auto"/>
            </w:tcBorders>
            <w:shd w:val="clear" w:color="auto" w:fill="D9D9D9" w:themeFill="background1" w:themeFillShade="D9"/>
            <w:vAlign w:val="bottom"/>
            <w:hideMark/>
          </w:tcPr>
          <w:p w:rsidR="004F40E8" w:rsidRPr="004F40E8" w:rsidRDefault="004F40E8" w:rsidP="004F40E8">
            <w:pPr>
              <w:spacing w:line="228" w:lineRule="auto"/>
              <w:contextualSpacing/>
              <w:jc w:val="both"/>
              <w:rPr>
                <w:rFonts w:ascii="Arial Narrow" w:hAnsi="Arial Narrow"/>
                <w:b/>
                <w:bCs/>
                <w:sz w:val="16"/>
                <w:szCs w:val="16"/>
              </w:rPr>
            </w:pPr>
            <w:r w:rsidRPr="004F40E8">
              <w:rPr>
                <w:rFonts w:ascii="Arial Narrow" w:hAnsi="Arial Narrow"/>
                <w:b/>
                <w:bCs/>
                <w:sz w:val="16"/>
                <w:szCs w:val="16"/>
              </w:rPr>
              <w:t>Επιστροφές φόρων</w:t>
            </w:r>
          </w:p>
        </w:tc>
        <w:tc>
          <w:tcPr>
            <w:tcW w:w="1540" w:type="dxa"/>
            <w:tcBorders>
              <w:top w:val="nil"/>
            </w:tcBorders>
            <w:shd w:val="clear" w:color="auto" w:fill="D9D9D9" w:themeFill="background1" w:themeFillShade="D9"/>
            <w:noWrap/>
            <w:vAlign w:val="bottom"/>
            <w:hideMark/>
          </w:tcPr>
          <w:p w:rsidR="004F40E8" w:rsidRPr="004F40E8" w:rsidRDefault="004F40E8" w:rsidP="004F40E8">
            <w:pPr>
              <w:tabs>
                <w:tab w:val="decimal" w:pos="759"/>
              </w:tabs>
              <w:jc w:val="both"/>
              <w:rPr>
                <w:rFonts w:ascii="Arial Narrow" w:hAnsi="Arial Narrow"/>
                <w:b/>
                <w:color w:val="000000"/>
                <w:sz w:val="16"/>
                <w:szCs w:val="16"/>
              </w:rPr>
            </w:pPr>
            <w:r w:rsidRPr="004F40E8">
              <w:rPr>
                <w:rFonts w:ascii="Arial Narrow" w:hAnsi="Arial Narrow"/>
                <w:b/>
                <w:color w:val="000000"/>
                <w:sz w:val="16"/>
                <w:szCs w:val="16"/>
              </w:rPr>
              <w:t>380</w:t>
            </w:r>
          </w:p>
        </w:tc>
        <w:tc>
          <w:tcPr>
            <w:tcW w:w="2003" w:type="dxa"/>
            <w:tcBorders>
              <w:top w:val="nil"/>
            </w:tcBorders>
            <w:shd w:val="clear" w:color="auto" w:fill="D9D9D9" w:themeFill="background1" w:themeFillShade="D9"/>
            <w:noWrap/>
            <w:vAlign w:val="bottom"/>
            <w:hideMark/>
          </w:tcPr>
          <w:p w:rsidR="004F40E8" w:rsidRPr="004F40E8" w:rsidRDefault="004F40E8" w:rsidP="004F40E8">
            <w:pPr>
              <w:tabs>
                <w:tab w:val="decimal" w:pos="759"/>
              </w:tabs>
              <w:jc w:val="both"/>
              <w:rPr>
                <w:rFonts w:ascii="Arial Narrow" w:hAnsi="Arial Narrow"/>
                <w:b/>
                <w:color w:val="000000"/>
                <w:sz w:val="16"/>
                <w:szCs w:val="16"/>
              </w:rPr>
            </w:pPr>
            <w:r w:rsidRPr="004F40E8">
              <w:rPr>
                <w:rFonts w:ascii="Arial Narrow" w:hAnsi="Arial Narrow"/>
                <w:b/>
                <w:color w:val="000000"/>
                <w:sz w:val="16"/>
                <w:szCs w:val="16"/>
              </w:rPr>
              <w:t>105</w:t>
            </w:r>
          </w:p>
        </w:tc>
        <w:tc>
          <w:tcPr>
            <w:tcW w:w="1418" w:type="dxa"/>
            <w:tcBorders>
              <w:top w:val="nil"/>
              <w:right w:val="single" w:sz="4" w:space="0" w:color="auto"/>
            </w:tcBorders>
            <w:shd w:val="clear" w:color="auto" w:fill="D9D9D9" w:themeFill="background1" w:themeFillShade="D9"/>
            <w:noWrap/>
            <w:vAlign w:val="bottom"/>
            <w:hideMark/>
          </w:tcPr>
          <w:p w:rsidR="004F40E8" w:rsidRPr="004F40E8" w:rsidRDefault="004F40E8" w:rsidP="004F40E8">
            <w:pPr>
              <w:tabs>
                <w:tab w:val="decimal" w:pos="759"/>
              </w:tabs>
              <w:jc w:val="both"/>
              <w:rPr>
                <w:rFonts w:ascii="Arial Narrow" w:hAnsi="Arial Narrow"/>
                <w:b/>
                <w:color w:val="000000"/>
                <w:sz w:val="16"/>
                <w:szCs w:val="16"/>
              </w:rPr>
            </w:pPr>
            <w:r w:rsidRPr="004F40E8">
              <w:rPr>
                <w:rFonts w:ascii="Arial Narrow" w:hAnsi="Arial Narrow"/>
                <w:b/>
                <w:color w:val="000000"/>
                <w:sz w:val="16"/>
                <w:szCs w:val="16"/>
              </w:rPr>
              <w:t>485</w:t>
            </w:r>
          </w:p>
        </w:tc>
      </w:tr>
      <w:tr w:rsidR="004F40E8" w:rsidRPr="004F40E8" w:rsidTr="003B594D">
        <w:trPr>
          <w:trHeight w:val="227"/>
        </w:trPr>
        <w:tc>
          <w:tcPr>
            <w:tcW w:w="3416" w:type="dxa"/>
            <w:tcBorders>
              <w:top w:val="nil"/>
              <w:left w:val="single" w:sz="4" w:space="0" w:color="auto"/>
              <w:bottom w:val="single" w:sz="4" w:space="0" w:color="auto"/>
            </w:tcBorders>
            <w:shd w:val="clear" w:color="auto" w:fill="D9D9D9" w:themeFill="background1" w:themeFillShade="D9"/>
            <w:vAlign w:val="bottom"/>
            <w:hideMark/>
          </w:tcPr>
          <w:p w:rsidR="004F40E8" w:rsidRPr="004F40E8" w:rsidRDefault="004F40E8" w:rsidP="004F40E8">
            <w:pPr>
              <w:spacing w:line="228" w:lineRule="auto"/>
              <w:contextualSpacing/>
              <w:jc w:val="both"/>
              <w:rPr>
                <w:rFonts w:ascii="Arial Narrow" w:hAnsi="Arial Narrow"/>
                <w:b/>
                <w:bCs/>
                <w:sz w:val="16"/>
                <w:szCs w:val="16"/>
              </w:rPr>
            </w:pPr>
            <w:r w:rsidRPr="004F40E8">
              <w:rPr>
                <w:rFonts w:ascii="Arial Narrow" w:hAnsi="Arial Narrow"/>
                <w:b/>
                <w:bCs/>
                <w:sz w:val="16"/>
                <w:szCs w:val="16"/>
              </w:rPr>
              <w:t>Εκκρεμείς αιτήσεις συνταξιοδότησης</w:t>
            </w:r>
          </w:p>
        </w:tc>
        <w:tc>
          <w:tcPr>
            <w:tcW w:w="1540" w:type="dxa"/>
            <w:tcBorders>
              <w:top w:val="nil"/>
              <w:bottom w:val="single" w:sz="4" w:space="0" w:color="auto"/>
            </w:tcBorders>
            <w:shd w:val="clear" w:color="auto" w:fill="D9D9D9" w:themeFill="background1" w:themeFillShade="D9"/>
            <w:noWrap/>
            <w:vAlign w:val="bottom"/>
            <w:hideMark/>
          </w:tcPr>
          <w:p w:rsidR="004F40E8" w:rsidRPr="004F40E8" w:rsidRDefault="004F40E8" w:rsidP="004F40E8">
            <w:pPr>
              <w:tabs>
                <w:tab w:val="decimal" w:pos="759"/>
              </w:tabs>
              <w:jc w:val="both"/>
              <w:rPr>
                <w:rFonts w:ascii="Arial Narrow" w:hAnsi="Arial Narrow"/>
                <w:b/>
                <w:color w:val="000000"/>
                <w:sz w:val="16"/>
                <w:szCs w:val="16"/>
              </w:rPr>
            </w:pPr>
            <w:r w:rsidRPr="004F40E8">
              <w:rPr>
                <w:rFonts w:ascii="Arial Narrow" w:hAnsi="Arial Narrow"/>
                <w:b/>
                <w:color w:val="000000"/>
                <w:sz w:val="16"/>
                <w:szCs w:val="16"/>
              </w:rPr>
              <w:t>0</w:t>
            </w:r>
          </w:p>
        </w:tc>
        <w:tc>
          <w:tcPr>
            <w:tcW w:w="2003" w:type="dxa"/>
            <w:tcBorders>
              <w:top w:val="nil"/>
              <w:bottom w:val="single" w:sz="4" w:space="0" w:color="auto"/>
            </w:tcBorders>
            <w:shd w:val="clear" w:color="auto" w:fill="D9D9D9" w:themeFill="background1" w:themeFillShade="D9"/>
            <w:noWrap/>
            <w:vAlign w:val="bottom"/>
            <w:hideMark/>
          </w:tcPr>
          <w:p w:rsidR="004F40E8" w:rsidRPr="004F40E8" w:rsidRDefault="004F40E8" w:rsidP="004F40E8">
            <w:pPr>
              <w:tabs>
                <w:tab w:val="decimal" w:pos="759"/>
              </w:tabs>
              <w:jc w:val="both"/>
              <w:rPr>
                <w:rFonts w:ascii="Arial Narrow" w:hAnsi="Arial Narrow"/>
                <w:b/>
                <w:color w:val="000000"/>
                <w:sz w:val="16"/>
                <w:szCs w:val="16"/>
              </w:rPr>
            </w:pPr>
            <w:r w:rsidRPr="004F40E8">
              <w:rPr>
                <w:rFonts w:ascii="Arial Narrow" w:hAnsi="Arial Narrow"/>
                <w:b/>
                <w:color w:val="000000"/>
                <w:sz w:val="16"/>
                <w:szCs w:val="16"/>
              </w:rPr>
              <w:t>213</w:t>
            </w:r>
          </w:p>
        </w:tc>
        <w:tc>
          <w:tcPr>
            <w:tcW w:w="1418" w:type="dxa"/>
            <w:tcBorders>
              <w:top w:val="nil"/>
              <w:bottom w:val="single" w:sz="4" w:space="0" w:color="auto"/>
              <w:right w:val="single" w:sz="4" w:space="0" w:color="auto"/>
            </w:tcBorders>
            <w:shd w:val="clear" w:color="auto" w:fill="D9D9D9" w:themeFill="background1" w:themeFillShade="D9"/>
            <w:noWrap/>
            <w:vAlign w:val="bottom"/>
            <w:hideMark/>
          </w:tcPr>
          <w:p w:rsidR="004F40E8" w:rsidRPr="004F40E8" w:rsidRDefault="004F40E8" w:rsidP="004F40E8">
            <w:pPr>
              <w:tabs>
                <w:tab w:val="decimal" w:pos="759"/>
              </w:tabs>
              <w:jc w:val="both"/>
              <w:rPr>
                <w:rFonts w:ascii="Arial Narrow" w:hAnsi="Arial Narrow"/>
                <w:b/>
                <w:color w:val="000000"/>
                <w:sz w:val="16"/>
                <w:szCs w:val="16"/>
              </w:rPr>
            </w:pPr>
            <w:r w:rsidRPr="004F40E8">
              <w:rPr>
                <w:rFonts w:ascii="Arial Narrow" w:hAnsi="Arial Narrow"/>
                <w:b/>
                <w:color w:val="000000"/>
                <w:sz w:val="16"/>
                <w:szCs w:val="16"/>
              </w:rPr>
              <w:t>213</w:t>
            </w:r>
          </w:p>
        </w:tc>
      </w:tr>
    </w:tbl>
    <w:p w:rsidR="004F40E8" w:rsidRPr="004F40E8" w:rsidRDefault="004F40E8" w:rsidP="004F40E8">
      <w:pPr>
        <w:tabs>
          <w:tab w:val="left" w:pos="426"/>
        </w:tabs>
        <w:spacing w:line="228" w:lineRule="auto"/>
        <w:ind w:left="284"/>
        <w:contextualSpacing/>
        <w:jc w:val="both"/>
        <w:rPr>
          <w:rFonts w:ascii="Arial Narrow" w:hAnsi="Arial Narrow"/>
          <w:bCs/>
          <w:sz w:val="18"/>
          <w:szCs w:val="18"/>
        </w:rPr>
      </w:pPr>
      <w:r w:rsidRPr="004F40E8">
        <w:rPr>
          <w:rFonts w:ascii="Arial Narrow" w:hAnsi="Arial Narrow"/>
          <w:bCs/>
          <w:sz w:val="18"/>
          <w:szCs w:val="18"/>
        </w:rPr>
        <w:t>*</w:t>
      </w:r>
      <w:r w:rsidRPr="004F40E8">
        <w:rPr>
          <w:rFonts w:ascii="Arial Narrow" w:hAnsi="Arial Narrow"/>
          <w:bCs/>
          <w:sz w:val="18"/>
          <w:szCs w:val="18"/>
        </w:rPr>
        <w:tab/>
        <w:t>Ποσό ύψους 420 εκατ. ευρώ περίπου συμψηφίστηκε με υποχρεώσεις των τρίτων προς το Δημόσιο.</w:t>
      </w:r>
    </w:p>
    <w:p w:rsidR="004F40E8" w:rsidRPr="004F40E8" w:rsidRDefault="004F40E8" w:rsidP="004F40E8">
      <w:pPr>
        <w:tabs>
          <w:tab w:val="left" w:pos="426"/>
        </w:tabs>
        <w:spacing w:line="228" w:lineRule="auto"/>
        <w:ind w:left="284" w:right="423"/>
        <w:contextualSpacing/>
        <w:jc w:val="both"/>
        <w:rPr>
          <w:rFonts w:ascii="Arial Narrow" w:hAnsi="Arial Narrow"/>
          <w:bCs/>
          <w:sz w:val="18"/>
          <w:szCs w:val="18"/>
        </w:rPr>
      </w:pPr>
      <w:r w:rsidRPr="004F40E8">
        <w:rPr>
          <w:rFonts w:ascii="Arial Narrow" w:hAnsi="Arial Narrow"/>
          <w:bCs/>
          <w:sz w:val="18"/>
          <w:szCs w:val="18"/>
        </w:rPr>
        <w:t>Σημειώνεται ότι κατά το χρόνο κατάρτισης του προσχεδίου δεν είναι ακόμα διαθέσιμα τα στοιχεία πληρωμών μηνών Αυγού</w:t>
      </w:r>
      <w:r w:rsidRPr="004F40E8">
        <w:rPr>
          <w:rFonts w:ascii="Arial Narrow" w:hAnsi="Arial Narrow"/>
          <w:bCs/>
          <w:sz w:val="18"/>
          <w:szCs w:val="18"/>
        </w:rPr>
        <w:t>σ</w:t>
      </w:r>
      <w:r w:rsidRPr="004F40E8">
        <w:rPr>
          <w:rFonts w:ascii="Arial Narrow" w:hAnsi="Arial Narrow"/>
          <w:bCs/>
          <w:sz w:val="18"/>
          <w:szCs w:val="18"/>
        </w:rPr>
        <w:t>του και Σεπτεμβρίου 2017.</w:t>
      </w:r>
    </w:p>
    <w:p w:rsidR="004F40E8" w:rsidRPr="004F40E8" w:rsidRDefault="004F40E8" w:rsidP="004F40E8">
      <w:pPr>
        <w:spacing w:line="228" w:lineRule="auto"/>
        <w:contextualSpacing/>
        <w:jc w:val="both"/>
        <w:rPr>
          <w:bCs/>
          <w:szCs w:val="22"/>
        </w:rPr>
      </w:pPr>
    </w:p>
    <w:p w:rsidR="004F40E8" w:rsidRPr="004F40E8" w:rsidRDefault="004F40E8" w:rsidP="004F40E8">
      <w:pPr>
        <w:spacing w:line="228" w:lineRule="auto"/>
        <w:contextualSpacing/>
        <w:jc w:val="both"/>
        <w:rPr>
          <w:bCs/>
          <w:szCs w:val="22"/>
        </w:rPr>
      </w:pPr>
    </w:p>
    <w:p w:rsidR="004F40E8" w:rsidRPr="004F40E8" w:rsidRDefault="004F40E8" w:rsidP="004F40E8">
      <w:pPr>
        <w:contextualSpacing/>
        <w:jc w:val="both"/>
        <w:rPr>
          <w:bCs/>
          <w:szCs w:val="22"/>
        </w:rPr>
      </w:pPr>
      <w:r w:rsidRPr="004F40E8">
        <w:rPr>
          <w:bCs/>
          <w:szCs w:val="22"/>
        </w:rPr>
        <w:t>Ως αποτέλεσμα, οι ληξιπρόθεσμες υποχρεώσεις της Γενικής Κυβέρνησης, συμπεριλαμβαν</w:t>
      </w:r>
      <w:r w:rsidRPr="004F40E8">
        <w:rPr>
          <w:bCs/>
          <w:szCs w:val="22"/>
        </w:rPr>
        <w:t>ο</w:t>
      </w:r>
      <w:r w:rsidRPr="004F40E8">
        <w:rPr>
          <w:bCs/>
          <w:szCs w:val="22"/>
        </w:rPr>
        <w:t xml:space="preserve">μένων των εκκρεμών επιστροφών φόρων, ανέρχονται σε 5.435 εκατ. ευρώ τον Ιούλιο του 2017, ενώ τον Ιούνιο του 2016 ανέρχονταν σε 7.405 εκατ. ευρώ. </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r w:rsidRPr="004F40E8">
        <w:rPr>
          <w:bCs/>
          <w:szCs w:val="22"/>
        </w:rPr>
        <w:t>Η εξέλιξή τους παρατίθεται στον πίνακα 2.5.</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p>
    <w:tbl>
      <w:tblPr>
        <w:tblW w:w="9088" w:type="dxa"/>
        <w:tblInd w:w="13"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2851"/>
        <w:gridCol w:w="708"/>
        <w:gridCol w:w="567"/>
        <w:gridCol w:w="709"/>
        <w:gridCol w:w="709"/>
        <w:gridCol w:w="709"/>
        <w:gridCol w:w="708"/>
        <w:gridCol w:w="709"/>
        <w:gridCol w:w="709"/>
        <w:gridCol w:w="709"/>
      </w:tblGrid>
      <w:tr w:rsidR="004F40E8" w:rsidRPr="004F40E8" w:rsidTr="003B594D">
        <w:trPr>
          <w:trHeight w:val="300"/>
        </w:trPr>
        <w:tc>
          <w:tcPr>
            <w:tcW w:w="9088" w:type="dxa"/>
            <w:gridSpan w:val="10"/>
            <w:tcBorders>
              <w:top w:val="single" w:sz="4" w:space="0" w:color="auto"/>
              <w:bottom w:val="single" w:sz="4" w:space="0" w:color="auto"/>
            </w:tcBorders>
            <w:shd w:val="clear" w:color="auto" w:fill="auto"/>
            <w:noWrap/>
            <w:tcMar>
              <w:left w:w="28" w:type="dxa"/>
              <w:right w:w="28" w:type="dxa"/>
            </w:tcMar>
            <w:vAlign w:val="bottom"/>
            <w:hideMark/>
          </w:tcPr>
          <w:p w:rsidR="004F40E8" w:rsidRPr="004F40E8" w:rsidRDefault="004F40E8" w:rsidP="004F40E8">
            <w:pPr>
              <w:spacing w:line="228" w:lineRule="auto"/>
              <w:contextualSpacing/>
              <w:jc w:val="center"/>
              <w:rPr>
                <w:rFonts w:ascii="Arial Narrow" w:hAnsi="Arial Narrow"/>
                <w:b/>
                <w:bCs/>
              </w:rPr>
            </w:pPr>
            <w:r w:rsidRPr="004F40E8">
              <w:rPr>
                <w:rFonts w:ascii="Arial Narrow" w:hAnsi="Arial Narrow"/>
                <w:b/>
                <w:bCs/>
              </w:rPr>
              <w:t>Πίνακας 2.5  Εξέλιξη ληξιπρόθεσμων υποχρεώσεων Γενικής Κυβέρνησης 2016-2017</w:t>
            </w:r>
          </w:p>
          <w:p w:rsidR="004F40E8" w:rsidRPr="004F40E8" w:rsidRDefault="004F40E8" w:rsidP="004F40E8">
            <w:pPr>
              <w:spacing w:line="228" w:lineRule="auto"/>
              <w:contextualSpacing/>
              <w:jc w:val="center"/>
              <w:rPr>
                <w:rFonts w:ascii="Arial Narrow" w:hAnsi="Arial Narrow"/>
                <w:bCs/>
                <w:i/>
              </w:rPr>
            </w:pPr>
            <w:r w:rsidRPr="004F40E8">
              <w:rPr>
                <w:rFonts w:ascii="Arial Narrow" w:hAnsi="Arial Narrow"/>
                <w:bCs/>
                <w:i/>
              </w:rPr>
              <w:t>(</w:t>
            </w:r>
            <w:r w:rsidRPr="004F40E8">
              <w:rPr>
                <w:rFonts w:ascii="Arial Narrow" w:hAnsi="Arial Narrow"/>
                <w:b/>
                <w:bCs/>
              </w:rPr>
              <w:t>σε εκατ. ευρώ)</w:t>
            </w:r>
          </w:p>
        </w:tc>
      </w:tr>
      <w:tr w:rsidR="004F40E8" w:rsidRPr="004F40E8" w:rsidTr="003B594D">
        <w:tblPrEx>
          <w:tblCellMar>
            <w:left w:w="108" w:type="dxa"/>
            <w:right w:w="108" w:type="dxa"/>
          </w:tblCellMar>
        </w:tblPrEx>
        <w:trPr>
          <w:trHeight w:val="405"/>
        </w:trPr>
        <w:tc>
          <w:tcPr>
            <w:tcW w:w="2851" w:type="dxa"/>
            <w:tcBorders>
              <w:top w:val="single" w:sz="4" w:space="0" w:color="auto"/>
              <w:bottom w:val="single" w:sz="4" w:space="0" w:color="auto"/>
              <w:right w:val="single" w:sz="4" w:space="0" w:color="auto"/>
            </w:tcBorders>
            <w:shd w:val="clear" w:color="auto" w:fill="auto"/>
            <w:tcMar>
              <w:left w:w="28" w:type="dxa"/>
              <w:right w:w="28" w:type="dxa"/>
            </w:tcMar>
            <w:vAlign w:val="bottom"/>
            <w:hideMark/>
          </w:tcPr>
          <w:p w:rsidR="004F40E8" w:rsidRPr="004F40E8" w:rsidRDefault="004F40E8" w:rsidP="004F40E8">
            <w:pPr>
              <w:rPr>
                <w:rFonts w:ascii="Arial Narrow" w:hAnsi="Arial Narrow"/>
                <w:b/>
                <w:bCs/>
                <w:color w:val="000000"/>
                <w:sz w:val="16"/>
                <w:szCs w:val="16"/>
              </w:rPr>
            </w:pPr>
            <w:r w:rsidRPr="004F40E8">
              <w:rPr>
                <w:rFonts w:ascii="Arial Narrow" w:hAnsi="Arial Narrow"/>
                <w:color w:val="000000"/>
                <w:sz w:val="16"/>
                <w:szCs w:val="16"/>
              </w:rPr>
              <w:t> </w:t>
            </w:r>
            <w:r w:rsidRPr="004F40E8">
              <w:rPr>
                <w:rFonts w:ascii="Arial Narrow" w:hAnsi="Arial Narrow"/>
                <w:b/>
                <w:bCs/>
                <w:color w:val="000000"/>
                <w:sz w:val="16"/>
                <w:szCs w:val="16"/>
              </w:rPr>
              <w:t>Φορέας Γενικής Κυβέρνησης </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Ιούνιος</w:t>
            </w:r>
          </w:p>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2016</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Δεκ.</w:t>
            </w:r>
          </w:p>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2016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Ιαν.</w:t>
            </w:r>
          </w:p>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2017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4F40E8" w:rsidRPr="004F40E8" w:rsidRDefault="004F40E8" w:rsidP="004F40E8">
            <w:pPr>
              <w:jc w:val="center"/>
              <w:rPr>
                <w:rFonts w:ascii="Arial Narrow" w:hAnsi="Arial Narrow"/>
                <w:b/>
                <w:bCs/>
                <w:color w:val="000000"/>
                <w:sz w:val="16"/>
                <w:szCs w:val="16"/>
              </w:rPr>
            </w:pPr>
            <w:proofErr w:type="spellStart"/>
            <w:r w:rsidRPr="004F40E8">
              <w:rPr>
                <w:rFonts w:ascii="Arial Narrow" w:hAnsi="Arial Narrow"/>
                <w:b/>
                <w:bCs/>
                <w:color w:val="000000"/>
                <w:sz w:val="16"/>
                <w:szCs w:val="16"/>
              </w:rPr>
              <w:t>Φεβρ</w:t>
            </w:r>
            <w:proofErr w:type="spellEnd"/>
            <w:r w:rsidRPr="004F40E8">
              <w:rPr>
                <w:rFonts w:ascii="Arial Narrow" w:hAnsi="Arial Narrow"/>
                <w:b/>
                <w:bCs/>
                <w:color w:val="000000"/>
                <w:sz w:val="16"/>
                <w:szCs w:val="16"/>
              </w:rPr>
              <w:t>.</w:t>
            </w:r>
          </w:p>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2017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4F40E8" w:rsidRPr="004F40E8" w:rsidRDefault="004F40E8" w:rsidP="004F40E8">
            <w:pPr>
              <w:jc w:val="center"/>
              <w:rPr>
                <w:rFonts w:ascii="Arial Narrow" w:hAnsi="Arial Narrow"/>
                <w:b/>
                <w:bCs/>
                <w:color w:val="000000"/>
                <w:sz w:val="16"/>
                <w:szCs w:val="16"/>
              </w:rPr>
            </w:pPr>
            <w:proofErr w:type="spellStart"/>
            <w:r w:rsidRPr="004F40E8">
              <w:rPr>
                <w:rFonts w:ascii="Arial Narrow" w:hAnsi="Arial Narrow"/>
                <w:b/>
                <w:bCs/>
                <w:color w:val="000000"/>
                <w:sz w:val="16"/>
                <w:szCs w:val="16"/>
              </w:rPr>
              <w:t>Μάρτ</w:t>
            </w:r>
            <w:proofErr w:type="spellEnd"/>
            <w:r w:rsidRPr="004F40E8">
              <w:rPr>
                <w:rFonts w:ascii="Arial Narrow" w:hAnsi="Arial Narrow"/>
                <w:b/>
                <w:bCs/>
                <w:color w:val="000000"/>
                <w:sz w:val="16"/>
                <w:szCs w:val="16"/>
              </w:rPr>
              <w:t>.</w:t>
            </w:r>
          </w:p>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2017</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Απρ.</w:t>
            </w:r>
          </w:p>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2017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Μάιος 2017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Ιούνιος</w:t>
            </w:r>
          </w:p>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2017</w:t>
            </w:r>
          </w:p>
        </w:tc>
        <w:tc>
          <w:tcPr>
            <w:tcW w:w="709" w:type="dxa"/>
            <w:tcBorders>
              <w:top w:val="single" w:sz="4" w:space="0" w:color="auto"/>
              <w:left w:val="single" w:sz="4" w:space="0" w:color="auto"/>
              <w:bottom w:val="single" w:sz="4" w:space="0" w:color="auto"/>
            </w:tcBorders>
            <w:shd w:val="clear" w:color="auto" w:fill="auto"/>
            <w:tcMar>
              <w:left w:w="28" w:type="dxa"/>
              <w:right w:w="28" w:type="dxa"/>
            </w:tcMar>
            <w:vAlign w:val="bottom"/>
            <w:hideMark/>
          </w:tcPr>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Ιούλιος</w:t>
            </w:r>
          </w:p>
          <w:p w:rsidR="004F40E8" w:rsidRPr="004F40E8" w:rsidRDefault="004F40E8" w:rsidP="004F40E8">
            <w:pPr>
              <w:jc w:val="center"/>
              <w:rPr>
                <w:rFonts w:ascii="Arial Narrow" w:hAnsi="Arial Narrow"/>
                <w:b/>
                <w:bCs/>
                <w:color w:val="000000"/>
                <w:sz w:val="16"/>
                <w:szCs w:val="16"/>
              </w:rPr>
            </w:pPr>
            <w:r w:rsidRPr="004F40E8">
              <w:rPr>
                <w:rFonts w:ascii="Arial Narrow" w:hAnsi="Arial Narrow"/>
                <w:b/>
                <w:bCs/>
                <w:color w:val="000000"/>
                <w:sz w:val="16"/>
                <w:szCs w:val="16"/>
              </w:rPr>
              <w:t>2017</w:t>
            </w:r>
          </w:p>
        </w:tc>
      </w:tr>
      <w:tr w:rsidR="004F40E8" w:rsidRPr="004F40E8" w:rsidTr="003B594D">
        <w:tblPrEx>
          <w:tblCellMar>
            <w:left w:w="108" w:type="dxa"/>
            <w:right w:w="108" w:type="dxa"/>
          </w:tblCellMar>
        </w:tblPrEx>
        <w:trPr>
          <w:trHeight w:val="227"/>
        </w:trPr>
        <w:tc>
          <w:tcPr>
            <w:tcW w:w="2851" w:type="dxa"/>
            <w:tcBorders>
              <w:top w:val="single" w:sz="4" w:space="0" w:color="auto"/>
            </w:tcBorders>
            <w:shd w:val="clear" w:color="auto" w:fill="auto"/>
            <w:noWrap/>
            <w:tcMar>
              <w:left w:w="28" w:type="dxa"/>
              <w:right w:w="28" w:type="dxa"/>
            </w:tcMar>
            <w:vAlign w:val="bottom"/>
            <w:hideMark/>
          </w:tcPr>
          <w:p w:rsidR="004F40E8" w:rsidRPr="004F40E8" w:rsidRDefault="004F40E8" w:rsidP="004F40E8">
            <w:pPr>
              <w:ind w:right="170"/>
              <w:rPr>
                <w:rFonts w:ascii="Arial Narrow" w:hAnsi="Arial Narrow"/>
                <w:color w:val="000000"/>
                <w:sz w:val="16"/>
                <w:szCs w:val="16"/>
              </w:rPr>
            </w:pPr>
            <w:r w:rsidRPr="004F40E8">
              <w:rPr>
                <w:rFonts w:ascii="Arial Narrow" w:hAnsi="Arial Narrow"/>
                <w:color w:val="000000"/>
                <w:sz w:val="16"/>
                <w:szCs w:val="16"/>
              </w:rPr>
              <w:t>Κράτος</w:t>
            </w:r>
          </w:p>
        </w:tc>
        <w:tc>
          <w:tcPr>
            <w:tcW w:w="708" w:type="dxa"/>
            <w:tcBorders>
              <w:top w:val="single" w:sz="4" w:space="0" w:color="auto"/>
            </w:tcBorders>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656</w:t>
            </w:r>
          </w:p>
        </w:tc>
        <w:tc>
          <w:tcPr>
            <w:tcW w:w="567" w:type="dxa"/>
            <w:tcBorders>
              <w:top w:val="single" w:sz="4" w:space="0" w:color="auto"/>
            </w:tcBorders>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163</w:t>
            </w:r>
          </w:p>
        </w:tc>
        <w:tc>
          <w:tcPr>
            <w:tcW w:w="709" w:type="dxa"/>
            <w:tcBorders>
              <w:top w:val="single" w:sz="4" w:space="0" w:color="auto"/>
            </w:tcBorders>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146</w:t>
            </w:r>
          </w:p>
        </w:tc>
        <w:tc>
          <w:tcPr>
            <w:tcW w:w="709" w:type="dxa"/>
            <w:tcBorders>
              <w:top w:val="single" w:sz="4" w:space="0" w:color="auto"/>
            </w:tcBorders>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168</w:t>
            </w:r>
          </w:p>
        </w:tc>
        <w:tc>
          <w:tcPr>
            <w:tcW w:w="709" w:type="dxa"/>
            <w:tcBorders>
              <w:top w:val="single" w:sz="4" w:space="0" w:color="auto"/>
            </w:tcBorders>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198</w:t>
            </w:r>
          </w:p>
        </w:tc>
        <w:tc>
          <w:tcPr>
            <w:tcW w:w="708" w:type="dxa"/>
            <w:tcBorders>
              <w:top w:val="single" w:sz="4" w:space="0" w:color="auto"/>
            </w:tcBorders>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235</w:t>
            </w:r>
          </w:p>
        </w:tc>
        <w:tc>
          <w:tcPr>
            <w:tcW w:w="709" w:type="dxa"/>
            <w:tcBorders>
              <w:top w:val="single" w:sz="4" w:space="0" w:color="auto"/>
            </w:tcBorders>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233</w:t>
            </w:r>
          </w:p>
        </w:tc>
        <w:tc>
          <w:tcPr>
            <w:tcW w:w="709" w:type="dxa"/>
            <w:tcBorders>
              <w:top w:val="single" w:sz="4" w:space="0" w:color="auto"/>
            </w:tcBorders>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233</w:t>
            </w:r>
          </w:p>
        </w:tc>
        <w:tc>
          <w:tcPr>
            <w:tcW w:w="709" w:type="dxa"/>
            <w:tcBorders>
              <w:top w:val="single" w:sz="4" w:space="0" w:color="auto"/>
            </w:tcBorders>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226</w:t>
            </w:r>
          </w:p>
        </w:tc>
      </w:tr>
      <w:tr w:rsidR="004F40E8" w:rsidRPr="004F40E8" w:rsidTr="003B594D">
        <w:tblPrEx>
          <w:tblCellMar>
            <w:left w:w="108" w:type="dxa"/>
            <w:right w:w="108" w:type="dxa"/>
          </w:tblCellMar>
        </w:tblPrEx>
        <w:trPr>
          <w:trHeight w:val="227"/>
        </w:trPr>
        <w:tc>
          <w:tcPr>
            <w:tcW w:w="2851" w:type="dxa"/>
            <w:shd w:val="clear" w:color="auto" w:fill="auto"/>
            <w:noWrap/>
            <w:tcMar>
              <w:left w:w="28" w:type="dxa"/>
              <w:right w:w="28" w:type="dxa"/>
            </w:tcMar>
            <w:vAlign w:val="bottom"/>
            <w:hideMark/>
          </w:tcPr>
          <w:p w:rsidR="004F40E8" w:rsidRPr="004F40E8" w:rsidRDefault="004F40E8" w:rsidP="004F40E8">
            <w:pPr>
              <w:ind w:right="170"/>
              <w:rPr>
                <w:rFonts w:ascii="Arial Narrow" w:hAnsi="Arial Narrow"/>
                <w:color w:val="000000"/>
                <w:sz w:val="16"/>
                <w:szCs w:val="16"/>
              </w:rPr>
            </w:pPr>
            <w:r w:rsidRPr="004F40E8">
              <w:rPr>
                <w:rFonts w:ascii="Arial Narrow" w:hAnsi="Arial Narrow"/>
                <w:color w:val="000000"/>
                <w:sz w:val="16"/>
                <w:szCs w:val="16"/>
              </w:rPr>
              <w:t>ΟΤΑ</w:t>
            </w:r>
          </w:p>
        </w:tc>
        <w:tc>
          <w:tcPr>
            <w:tcW w:w="708"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374</w:t>
            </w:r>
          </w:p>
        </w:tc>
        <w:tc>
          <w:tcPr>
            <w:tcW w:w="567"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298</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324</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334</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388</w:t>
            </w:r>
          </w:p>
        </w:tc>
        <w:tc>
          <w:tcPr>
            <w:tcW w:w="708"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370</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357</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350</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349</w:t>
            </w:r>
          </w:p>
        </w:tc>
      </w:tr>
      <w:tr w:rsidR="004F40E8" w:rsidRPr="004F40E8" w:rsidTr="003B594D">
        <w:tblPrEx>
          <w:tblCellMar>
            <w:left w:w="108" w:type="dxa"/>
            <w:right w:w="108" w:type="dxa"/>
          </w:tblCellMar>
        </w:tblPrEx>
        <w:trPr>
          <w:trHeight w:val="227"/>
        </w:trPr>
        <w:tc>
          <w:tcPr>
            <w:tcW w:w="2851" w:type="dxa"/>
            <w:shd w:val="clear" w:color="auto" w:fill="auto"/>
            <w:noWrap/>
            <w:tcMar>
              <w:left w:w="28" w:type="dxa"/>
              <w:right w:w="28" w:type="dxa"/>
            </w:tcMar>
            <w:vAlign w:val="bottom"/>
            <w:hideMark/>
          </w:tcPr>
          <w:p w:rsidR="004F40E8" w:rsidRPr="004F40E8" w:rsidRDefault="004F40E8" w:rsidP="004F40E8">
            <w:pPr>
              <w:ind w:right="170"/>
              <w:rPr>
                <w:rFonts w:ascii="Arial Narrow" w:hAnsi="Arial Narrow"/>
                <w:color w:val="000000"/>
                <w:sz w:val="16"/>
                <w:szCs w:val="16"/>
              </w:rPr>
            </w:pPr>
            <w:r w:rsidRPr="004F40E8">
              <w:rPr>
                <w:rFonts w:ascii="Arial Narrow" w:hAnsi="Arial Narrow"/>
                <w:color w:val="000000"/>
                <w:sz w:val="16"/>
                <w:szCs w:val="16"/>
              </w:rPr>
              <w:t>ΟΚΑ</w:t>
            </w:r>
          </w:p>
        </w:tc>
        <w:tc>
          <w:tcPr>
            <w:tcW w:w="708"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3.144</w:t>
            </w:r>
          </w:p>
        </w:tc>
        <w:tc>
          <w:tcPr>
            <w:tcW w:w="567"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2.203</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2.423</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2.310</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2.261</w:t>
            </w:r>
          </w:p>
        </w:tc>
        <w:tc>
          <w:tcPr>
            <w:tcW w:w="708"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2.211</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2.196</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2.205</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2.303</w:t>
            </w:r>
          </w:p>
        </w:tc>
      </w:tr>
      <w:tr w:rsidR="004F40E8" w:rsidRPr="004F40E8" w:rsidTr="003B594D">
        <w:tblPrEx>
          <w:tblCellMar>
            <w:left w:w="108" w:type="dxa"/>
            <w:right w:w="108" w:type="dxa"/>
          </w:tblCellMar>
        </w:tblPrEx>
        <w:trPr>
          <w:trHeight w:val="227"/>
        </w:trPr>
        <w:tc>
          <w:tcPr>
            <w:tcW w:w="2851" w:type="dxa"/>
            <w:shd w:val="clear" w:color="auto" w:fill="auto"/>
            <w:noWrap/>
            <w:tcMar>
              <w:left w:w="28" w:type="dxa"/>
              <w:right w:w="28" w:type="dxa"/>
            </w:tcMar>
            <w:vAlign w:val="bottom"/>
            <w:hideMark/>
          </w:tcPr>
          <w:p w:rsidR="004F40E8" w:rsidRPr="004F40E8" w:rsidRDefault="004F40E8" w:rsidP="004F40E8">
            <w:pPr>
              <w:ind w:right="170"/>
              <w:rPr>
                <w:rFonts w:ascii="Arial Narrow" w:hAnsi="Arial Narrow"/>
                <w:color w:val="000000"/>
                <w:sz w:val="16"/>
                <w:szCs w:val="16"/>
              </w:rPr>
            </w:pPr>
            <w:r w:rsidRPr="004F40E8">
              <w:rPr>
                <w:rFonts w:ascii="Arial Narrow" w:hAnsi="Arial Narrow"/>
                <w:color w:val="000000"/>
                <w:sz w:val="16"/>
                <w:szCs w:val="16"/>
              </w:rPr>
              <w:t xml:space="preserve">Νοσοκομεία </w:t>
            </w:r>
          </w:p>
        </w:tc>
        <w:tc>
          <w:tcPr>
            <w:tcW w:w="708"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1.291</w:t>
            </w:r>
          </w:p>
        </w:tc>
        <w:tc>
          <w:tcPr>
            <w:tcW w:w="567"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450</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517</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573</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618</w:t>
            </w:r>
          </w:p>
        </w:tc>
        <w:tc>
          <w:tcPr>
            <w:tcW w:w="708"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600</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543</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554</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550</w:t>
            </w:r>
          </w:p>
        </w:tc>
      </w:tr>
      <w:tr w:rsidR="004F40E8" w:rsidRPr="004F40E8" w:rsidTr="003B594D">
        <w:tblPrEx>
          <w:tblCellMar>
            <w:left w:w="108" w:type="dxa"/>
            <w:right w:w="108" w:type="dxa"/>
          </w:tblCellMar>
        </w:tblPrEx>
        <w:trPr>
          <w:trHeight w:val="227"/>
        </w:trPr>
        <w:tc>
          <w:tcPr>
            <w:tcW w:w="2851" w:type="dxa"/>
            <w:shd w:val="clear" w:color="auto" w:fill="auto"/>
            <w:noWrap/>
            <w:tcMar>
              <w:left w:w="28" w:type="dxa"/>
              <w:right w:w="28" w:type="dxa"/>
            </w:tcMar>
            <w:vAlign w:val="bottom"/>
            <w:hideMark/>
          </w:tcPr>
          <w:p w:rsidR="004F40E8" w:rsidRPr="004F40E8" w:rsidRDefault="004F40E8" w:rsidP="004F40E8">
            <w:pPr>
              <w:ind w:right="170"/>
              <w:rPr>
                <w:rFonts w:ascii="Arial Narrow" w:hAnsi="Arial Narrow"/>
                <w:color w:val="000000"/>
                <w:sz w:val="16"/>
                <w:szCs w:val="16"/>
              </w:rPr>
            </w:pPr>
            <w:r w:rsidRPr="004F40E8">
              <w:rPr>
                <w:rFonts w:ascii="Arial Narrow" w:hAnsi="Arial Narrow"/>
                <w:color w:val="000000"/>
                <w:sz w:val="16"/>
                <w:szCs w:val="16"/>
              </w:rPr>
              <w:t>Νομικά πρόσωπα</w:t>
            </w:r>
          </w:p>
        </w:tc>
        <w:tc>
          <w:tcPr>
            <w:tcW w:w="708"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634</w:t>
            </w:r>
          </w:p>
        </w:tc>
        <w:tc>
          <w:tcPr>
            <w:tcW w:w="567"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414</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431</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421</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465</w:t>
            </w:r>
          </w:p>
        </w:tc>
        <w:tc>
          <w:tcPr>
            <w:tcW w:w="708"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457</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482</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497</w:t>
            </w:r>
          </w:p>
        </w:tc>
        <w:tc>
          <w:tcPr>
            <w:tcW w:w="709" w:type="dxa"/>
            <w:shd w:val="clear" w:color="auto" w:fill="auto"/>
            <w:noWrap/>
            <w:tcMar>
              <w:left w:w="28" w:type="dxa"/>
              <w:right w:w="28" w:type="dxa"/>
            </w:tcMar>
            <w:vAlign w:val="bottom"/>
            <w:hideMark/>
          </w:tcPr>
          <w:p w:rsidR="004F40E8" w:rsidRPr="004F40E8" w:rsidRDefault="004F40E8" w:rsidP="004F40E8">
            <w:pPr>
              <w:ind w:right="170"/>
              <w:jc w:val="right"/>
              <w:rPr>
                <w:rFonts w:ascii="Arial Narrow" w:hAnsi="Arial Narrow"/>
                <w:color w:val="000000"/>
                <w:sz w:val="16"/>
                <w:szCs w:val="16"/>
              </w:rPr>
            </w:pPr>
            <w:r w:rsidRPr="004F40E8">
              <w:rPr>
                <w:rFonts w:ascii="Arial Narrow" w:hAnsi="Arial Narrow"/>
                <w:color w:val="000000"/>
                <w:sz w:val="16"/>
                <w:szCs w:val="16"/>
              </w:rPr>
              <w:t>486</w:t>
            </w:r>
          </w:p>
        </w:tc>
      </w:tr>
      <w:tr w:rsidR="004F40E8" w:rsidRPr="004F40E8" w:rsidTr="003B594D">
        <w:tblPrEx>
          <w:tblCellMar>
            <w:left w:w="108" w:type="dxa"/>
            <w:right w:w="108" w:type="dxa"/>
          </w:tblCellMar>
        </w:tblPrEx>
        <w:trPr>
          <w:trHeight w:val="227"/>
        </w:trPr>
        <w:tc>
          <w:tcPr>
            <w:tcW w:w="2851" w:type="dxa"/>
            <w:shd w:val="clear" w:color="auto" w:fill="D9D9D9" w:themeFill="background1" w:themeFillShade="D9"/>
            <w:noWrap/>
            <w:tcMar>
              <w:left w:w="28" w:type="dxa"/>
              <w:right w:w="28" w:type="dxa"/>
            </w:tcMar>
            <w:vAlign w:val="bottom"/>
            <w:hideMark/>
          </w:tcPr>
          <w:p w:rsidR="004F40E8" w:rsidRPr="004F40E8" w:rsidRDefault="004F40E8" w:rsidP="004F40E8">
            <w:pPr>
              <w:ind w:right="170"/>
              <w:rPr>
                <w:rFonts w:ascii="Arial Narrow" w:hAnsi="Arial Narrow"/>
                <w:b/>
                <w:bCs/>
                <w:color w:val="000000"/>
                <w:sz w:val="16"/>
                <w:szCs w:val="16"/>
              </w:rPr>
            </w:pPr>
            <w:r w:rsidRPr="004F40E8">
              <w:rPr>
                <w:rFonts w:ascii="Arial Narrow" w:hAnsi="Arial Narrow"/>
                <w:b/>
                <w:bCs/>
                <w:color w:val="000000"/>
                <w:sz w:val="16"/>
                <w:szCs w:val="16"/>
              </w:rPr>
              <w:t>Γενική Κυβέρνηση</w:t>
            </w:r>
          </w:p>
        </w:tc>
        <w:tc>
          <w:tcPr>
            <w:tcW w:w="708"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6.100</w:t>
            </w:r>
          </w:p>
        </w:tc>
        <w:tc>
          <w:tcPr>
            <w:tcW w:w="567"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3.527</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3.841</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3.806</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3.930</w:t>
            </w:r>
          </w:p>
        </w:tc>
        <w:tc>
          <w:tcPr>
            <w:tcW w:w="708"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3.873</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3.811</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3.840</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3.914</w:t>
            </w:r>
          </w:p>
        </w:tc>
      </w:tr>
      <w:tr w:rsidR="004F40E8" w:rsidRPr="004F40E8" w:rsidTr="003B594D">
        <w:tblPrEx>
          <w:tblCellMar>
            <w:left w:w="108" w:type="dxa"/>
            <w:right w:w="108" w:type="dxa"/>
          </w:tblCellMar>
        </w:tblPrEx>
        <w:trPr>
          <w:trHeight w:val="227"/>
        </w:trPr>
        <w:tc>
          <w:tcPr>
            <w:tcW w:w="2851" w:type="dxa"/>
            <w:shd w:val="clear" w:color="auto" w:fill="D9D9D9" w:themeFill="background1" w:themeFillShade="D9"/>
            <w:noWrap/>
            <w:tcMar>
              <w:left w:w="28" w:type="dxa"/>
              <w:right w:w="28" w:type="dxa"/>
            </w:tcMar>
            <w:vAlign w:val="bottom"/>
            <w:hideMark/>
          </w:tcPr>
          <w:p w:rsidR="004F40E8" w:rsidRPr="004F40E8" w:rsidRDefault="004F40E8" w:rsidP="004F40E8">
            <w:pPr>
              <w:ind w:right="170"/>
              <w:rPr>
                <w:rFonts w:ascii="Arial Narrow" w:hAnsi="Arial Narrow"/>
                <w:b/>
                <w:color w:val="000000"/>
                <w:sz w:val="16"/>
                <w:szCs w:val="16"/>
              </w:rPr>
            </w:pPr>
            <w:r w:rsidRPr="004F40E8">
              <w:rPr>
                <w:rFonts w:ascii="Arial Narrow" w:hAnsi="Arial Narrow"/>
                <w:b/>
                <w:color w:val="000000"/>
                <w:sz w:val="16"/>
                <w:szCs w:val="16"/>
              </w:rPr>
              <w:t>Επιστροφές φόρων</w:t>
            </w:r>
          </w:p>
        </w:tc>
        <w:tc>
          <w:tcPr>
            <w:tcW w:w="708"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color w:val="000000"/>
                <w:sz w:val="16"/>
                <w:szCs w:val="16"/>
              </w:rPr>
            </w:pPr>
            <w:r w:rsidRPr="004F40E8">
              <w:rPr>
                <w:rFonts w:ascii="Arial Narrow" w:hAnsi="Arial Narrow"/>
                <w:b/>
                <w:color w:val="000000"/>
                <w:sz w:val="16"/>
                <w:szCs w:val="16"/>
              </w:rPr>
              <w:t>1.306</w:t>
            </w:r>
          </w:p>
        </w:tc>
        <w:tc>
          <w:tcPr>
            <w:tcW w:w="567"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color w:val="000000"/>
                <w:sz w:val="16"/>
                <w:szCs w:val="16"/>
              </w:rPr>
            </w:pPr>
            <w:r w:rsidRPr="004F40E8">
              <w:rPr>
                <w:rFonts w:ascii="Arial Narrow" w:hAnsi="Arial Narrow"/>
                <w:b/>
                <w:color w:val="000000"/>
                <w:sz w:val="16"/>
                <w:szCs w:val="16"/>
              </w:rPr>
              <w:t>1.226</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color w:val="000000"/>
                <w:sz w:val="16"/>
                <w:szCs w:val="16"/>
              </w:rPr>
            </w:pPr>
            <w:r w:rsidRPr="004F40E8">
              <w:rPr>
                <w:rFonts w:ascii="Arial Narrow" w:hAnsi="Arial Narrow"/>
                <w:b/>
                <w:color w:val="000000"/>
                <w:sz w:val="16"/>
                <w:szCs w:val="16"/>
              </w:rPr>
              <w:t>1.206</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color w:val="000000"/>
                <w:sz w:val="16"/>
                <w:szCs w:val="16"/>
              </w:rPr>
            </w:pPr>
            <w:r w:rsidRPr="004F40E8">
              <w:rPr>
                <w:rFonts w:ascii="Arial Narrow" w:hAnsi="Arial Narrow"/>
                <w:b/>
                <w:color w:val="000000"/>
                <w:sz w:val="16"/>
                <w:szCs w:val="16"/>
              </w:rPr>
              <w:t>1.256</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color w:val="000000"/>
                <w:sz w:val="16"/>
                <w:szCs w:val="16"/>
              </w:rPr>
            </w:pPr>
            <w:r w:rsidRPr="004F40E8">
              <w:rPr>
                <w:rFonts w:ascii="Arial Narrow" w:hAnsi="Arial Narrow"/>
                <w:b/>
                <w:color w:val="000000"/>
                <w:sz w:val="16"/>
                <w:szCs w:val="16"/>
              </w:rPr>
              <w:t>1.120</w:t>
            </w:r>
          </w:p>
        </w:tc>
        <w:tc>
          <w:tcPr>
            <w:tcW w:w="708"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color w:val="000000"/>
                <w:sz w:val="16"/>
                <w:szCs w:val="16"/>
              </w:rPr>
            </w:pPr>
            <w:r w:rsidRPr="004F40E8">
              <w:rPr>
                <w:rFonts w:ascii="Arial Narrow" w:hAnsi="Arial Narrow"/>
                <w:b/>
                <w:color w:val="000000"/>
                <w:sz w:val="16"/>
                <w:szCs w:val="16"/>
              </w:rPr>
              <w:t>1.051</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color w:val="000000"/>
                <w:sz w:val="16"/>
                <w:szCs w:val="16"/>
              </w:rPr>
            </w:pPr>
            <w:r w:rsidRPr="004F40E8">
              <w:rPr>
                <w:rFonts w:ascii="Arial Narrow" w:hAnsi="Arial Narrow"/>
                <w:b/>
                <w:color w:val="000000"/>
                <w:sz w:val="16"/>
                <w:szCs w:val="16"/>
              </w:rPr>
              <w:t>1.210</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color w:val="000000"/>
                <w:sz w:val="16"/>
                <w:szCs w:val="16"/>
              </w:rPr>
            </w:pPr>
            <w:r w:rsidRPr="004F40E8">
              <w:rPr>
                <w:rFonts w:ascii="Arial Narrow" w:hAnsi="Arial Narrow"/>
                <w:b/>
                <w:color w:val="000000"/>
                <w:sz w:val="16"/>
                <w:szCs w:val="16"/>
              </w:rPr>
              <w:t>1.252</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color w:val="000000"/>
                <w:sz w:val="16"/>
                <w:szCs w:val="16"/>
              </w:rPr>
            </w:pPr>
            <w:r w:rsidRPr="004F40E8">
              <w:rPr>
                <w:rFonts w:ascii="Arial Narrow" w:hAnsi="Arial Narrow"/>
                <w:b/>
                <w:color w:val="000000"/>
                <w:sz w:val="16"/>
                <w:szCs w:val="16"/>
              </w:rPr>
              <w:t>1.521</w:t>
            </w:r>
          </w:p>
        </w:tc>
      </w:tr>
      <w:tr w:rsidR="004F40E8" w:rsidRPr="004F40E8" w:rsidTr="003B594D">
        <w:tblPrEx>
          <w:tblCellMar>
            <w:left w:w="108" w:type="dxa"/>
            <w:right w:w="108" w:type="dxa"/>
          </w:tblCellMar>
        </w:tblPrEx>
        <w:trPr>
          <w:trHeight w:val="227"/>
        </w:trPr>
        <w:tc>
          <w:tcPr>
            <w:tcW w:w="2851" w:type="dxa"/>
            <w:shd w:val="clear" w:color="auto" w:fill="D9D9D9" w:themeFill="background1" w:themeFillShade="D9"/>
            <w:noWrap/>
            <w:tcMar>
              <w:left w:w="28" w:type="dxa"/>
              <w:right w:w="28" w:type="dxa"/>
            </w:tcMar>
            <w:vAlign w:val="bottom"/>
            <w:hideMark/>
          </w:tcPr>
          <w:p w:rsidR="004F40E8" w:rsidRPr="004F40E8" w:rsidRDefault="004F40E8" w:rsidP="004F40E8">
            <w:pPr>
              <w:ind w:right="170"/>
              <w:rPr>
                <w:rFonts w:ascii="Arial Narrow" w:hAnsi="Arial Narrow"/>
                <w:b/>
                <w:bCs/>
                <w:color w:val="000000"/>
                <w:sz w:val="16"/>
                <w:szCs w:val="16"/>
              </w:rPr>
            </w:pPr>
            <w:r w:rsidRPr="004F40E8">
              <w:rPr>
                <w:rFonts w:ascii="Arial Narrow" w:hAnsi="Arial Narrow"/>
                <w:b/>
                <w:bCs/>
                <w:color w:val="000000"/>
                <w:sz w:val="16"/>
                <w:szCs w:val="16"/>
              </w:rPr>
              <w:t>Σύνολο</w:t>
            </w:r>
          </w:p>
        </w:tc>
        <w:tc>
          <w:tcPr>
            <w:tcW w:w="708"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7.405</w:t>
            </w:r>
          </w:p>
        </w:tc>
        <w:tc>
          <w:tcPr>
            <w:tcW w:w="567"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4.753</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5.047</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5.062</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5.050</w:t>
            </w:r>
          </w:p>
        </w:tc>
        <w:tc>
          <w:tcPr>
            <w:tcW w:w="708"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4.924</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5.021</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5.092</w:t>
            </w:r>
          </w:p>
        </w:tc>
        <w:tc>
          <w:tcPr>
            <w:tcW w:w="709" w:type="dxa"/>
            <w:shd w:val="clear" w:color="auto" w:fill="D9D9D9" w:themeFill="background1" w:themeFillShade="D9"/>
            <w:noWrap/>
            <w:tcMar>
              <w:left w:w="28" w:type="dxa"/>
              <w:right w:w="28" w:type="dxa"/>
            </w:tcMar>
            <w:vAlign w:val="bottom"/>
            <w:hideMark/>
          </w:tcPr>
          <w:p w:rsidR="004F40E8" w:rsidRPr="004F40E8" w:rsidRDefault="004F40E8" w:rsidP="004F40E8">
            <w:pPr>
              <w:ind w:right="170"/>
              <w:jc w:val="right"/>
              <w:rPr>
                <w:rFonts w:ascii="Arial Narrow" w:hAnsi="Arial Narrow"/>
                <w:b/>
                <w:bCs/>
                <w:color w:val="000000"/>
                <w:sz w:val="16"/>
                <w:szCs w:val="16"/>
              </w:rPr>
            </w:pPr>
            <w:r w:rsidRPr="004F40E8">
              <w:rPr>
                <w:rFonts w:ascii="Arial Narrow" w:hAnsi="Arial Narrow"/>
                <w:b/>
                <w:bCs/>
                <w:color w:val="000000"/>
                <w:sz w:val="16"/>
                <w:szCs w:val="16"/>
              </w:rPr>
              <w:t>5.435</w:t>
            </w:r>
          </w:p>
        </w:tc>
      </w:tr>
    </w:tbl>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r w:rsidRPr="004F40E8">
        <w:rPr>
          <w:bCs/>
          <w:szCs w:val="22"/>
        </w:rPr>
        <w:t>Υπό την προϋπόθεση της ομαλής χρηματοδότησης από τον ΕΜΣ για την αποπληρωμή ληξι</w:t>
      </w:r>
      <w:r w:rsidRPr="004F40E8">
        <w:rPr>
          <w:bCs/>
          <w:szCs w:val="22"/>
        </w:rPr>
        <w:t>π</w:t>
      </w:r>
      <w:r w:rsidRPr="004F40E8">
        <w:rPr>
          <w:bCs/>
          <w:szCs w:val="22"/>
        </w:rPr>
        <w:t>ρόθεσμων υποχρεώσεων, καθώς και της εντατικοποίησης της προσπάθειας εξόφλησης των υποχρεώσεων από τους φορείς, εκτιμάται ότι θα μειωθούν σημαντικά ως τα μέσα του 2018. Οι εκταμιεύσεις των επιχορηγήσεων του προγράμματος εκκαθάρισης ληξιπρόθεσμων υπο</w:t>
      </w:r>
      <w:r w:rsidRPr="004F40E8">
        <w:rPr>
          <w:bCs/>
          <w:szCs w:val="22"/>
        </w:rPr>
        <w:t>χ</w:t>
      </w:r>
      <w:r w:rsidRPr="004F40E8">
        <w:rPr>
          <w:bCs/>
          <w:szCs w:val="22"/>
        </w:rPr>
        <w:t>ρεώσεων θα προσαρμόζονται ανάλογα με τις εκταμιεύσεις των δόσεων από τον ΕΜΣ.</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r w:rsidRPr="004F40E8">
        <w:rPr>
          <w:bCs/>
          <w:szCs w:val="22"/>
        </w:rPr>
        <w:t xml:space="preserve">Τα ποσά χρηματοδοτήσεων για εξόφληση ληξιπρόθεσμων υποχρεώσεων εκταμιεύονται από τον Κρατικό Προϋπολογισμό και εμφανίζονται στους προϋπολογισμούς των λοιπών φορέων της Γενικής Κυβέρνησης, με ισόποση αύξηση των εσόδων (είσπραξη επιχορηγήσεων από το κράτος) και αύξηση των πληρωμών τους. Σε </w:t>
      </w:r>
      <w:proofErr w:type="spellStart"/>
      <w:r w:rsidRPr="004F40E8">
        <w:rPr>
          <w:bCs/>
          <w:szCs w:val="22"/>
        </w:rPr>
        <w:t>δημοσιολογιστική</w:t>
      </w:r>
      <w:proofErr w:type="spellEnd"/>
      <w:r w:rsidRPr="004F40E8">
        <w:rPr>
          <w:bCs/>
          <w:szCs w:val="22"/>
        </w:rPr>
        <w:t xml:space="preserve"> βάση επέρχεται αντίστοιχη μείωση των ληξιπρόθεσμων υποχρεώσεων των φορέων της Γενικής Κυβέρνησης προς ιδι</w:t>
      </w:r>
      <w:r w:rsidRPr="004F40E8">
        <w:rPr>
          <w:bCs/>
          <w:szCs w:val="22"/>
        </w:rPr>
        <w:t>ώ</w:t>
      </w:r>
      <w:r w:rsidRPr="004F40E8">
        <w:rPr>
          <w:bCs/>
          <w:szCs w:val="22"/>
        </w:rPr>
        <w:t xml:space="preserve">τες, καθιστώντας την όλη διαδικασία δημοσιονομικά ουδέτερη. </w:t>
      </w:r>
    </w:p>
    <w:p w:rsidR="004F40E8" w:rsidRPr="004F40E8" w:rsidRDefault="004F40E8" w:rsidP="004F40E8">
      <w:pPr>
        <w:contextualSpacing/>
        <w:jc w:val="both"/>
        <w:rPr>
          <w:bCs/>
          <w:szCs w:val="22"/>
        </w:rPr>
      </w:pPr>
    </w:p>
    <w:p w:rsidR="004F40E8" w:rsidRPr="004F40E8" w:rsidRDefault="004F40E8" w:rsidP="004F40E8">
      <w:pPr>
        <w:contextualSpacing/>
        <w:jc w:val="both"/>
        <w:rPr>
          <w:bCs/>
          <w:szCs w:val="22"/>
        </w:rPr>
      </w:pPr>
    </w:p>
    <w:p w:rsidR="004F40E8" w:rsidRPr="004F40E8" w:rsidRDefault="004F40E8" w:rsidP="004F40E8">
      <w:pPr>
        <w:shd w:val="clear" w:color="auto" w:fill="BFBFBF" w:themeFill="background1" w:themeFillShade="BF"/>
        <w:contextualSpacing/>
        <w:jc w:val="both"/>
        <w:rPr>
          <w:rFonts w:ascii="Arial Narrow" w:hAnsi="Arial Narrow"/>
          <w:b/>
          <w:sz w:val="26"/>
        </w:rPr>
      </w:pPr>
      <w:r w:rsidRPr="004F40E8">
        <w:rPr>
          <w:rFonts w:ascii="Arial Narrow" w:hAnsi="Arial Narrow"/>
          <w:b/>
          <w:sz w:val="26"/>
        </w:rPr>
        <w:t>2.</w:t>
      </w:r>
      <w:r w:rsidRPr="004F40E8">
        <w:rPr>
          <w:rFonts w:ascii="Arial Narrow" w:hAnsi="Arial Narrow"/>
          <w:b/>
          <w:sz w:val="26"/>
        </w:rPr>
        <w:tab/>
        <w:t>Προβλέψεις 2018</w:t>
      </w:r>
    </w:p>
    <w:p w:rsidR="004F40E8" w:rsidRPr="004F40E8" w:rsidRDefault="004F40E8" w:rsidP="004F40E8">
      <w:pPr>
        <w:tabs>
          <w:tab w:val="left" w:pos="0"/>
        </w:tabs>
        <w:contextualSpacing/>
        <w:jc w:val="both"/>
        <w:rPr>
          <w:szCs w:val="22"/>
        </w:rPr>
      </w:pPr>
    </w:p>
    <w:p w:rsidR="004F40E8" w:rsidRPr="004F40E8" w:rsidRDefault="004F40E8" w:rsidP="004F40E8">
      <w:pPr>
        <w:tabs>
          <w:tab w:val="left" w:pos="0"/>
        </w:tabs>
        <w:contextualSpacing/>
        <w:jc w:val="both"/>
        <w:rPr>
          <w:szCs w:val="22"/>
        </w:rPr>
      </w:pPr>
      <w:r w:rsidRPr="004F40E8">
        <w:rPr>
          <w:szCs w:val="22"/>
        </w:rPr>
        <w:t>Βασική προτεραιότητα της δημοσιονομικής στρατηγικής παραμένει και για το έτος 2018 η επίτευξη των δημοσιονομικών στόχων που περιλαμβάνονται στη Σύμβαση Χρηματοδοτικής Διευκόλυνσης (ΣΧΔ) καθώς και των βιώσιμων ρυθμών οικονομικής ανάπτυξης με την εδρ</w:t>
      </w:r>
      <w:r w:rsidRPr="004F40E8">
        <w:rPr>
          <w:szCs w:val="22"/>
        </w:rPr>
        <w:t>α</w:t>
      </w:r>
      <w:r w:rsidRPr="004F40E8">
        <w:rPr>
          <w:szCs w:val="22"/>
        </w:rPr>
        <w:t>ίωση του κλίματος εμπιστοσύνης για μακροπρόθεσμες επενδύσεις δίνοντας παράλληλα ιδια</w:t>
      </w:r>
      <w:r w:rsidRPr="004F40E8">
        <w:rPr>
          <w:szCs w:val="22"/>
        </w:rPr>
        <w:t>ί</w:t>
      </w:r>
      <w:r w:rsidRPr="004F40E8">
        <w:rPr>
          <w:szCs w:val="22"/>
        </w:rPr>
        <w:t>τερη έμφαση στην κοινωνική συνοχή. Η νέα δημοσιονομική προσαρμογή, όπως συμφωνήθ</w:t>
      </w:r>
      <w:r w:rsidRPr="004F40E8">
        <w:rPr>
          <w:szCs w:val="22"/>
        </w:rPr>
        <w:t>η</w:t>
      </w:r>
      <w:r w:rsidRPr="004F40E8">
        <w:rPr>
          <w:szCs w:val="22"/>
        </w:rPr>
        <w:t>κε με τους Θεσμούς προβλέπει στόχο πρωτογενούς πλεονάσματος της Γενικής Κυβέρνησης ύψους 3,5% του ΑΕΠ.</w:t>
      </w:r>
    </w:p>
    <w:p w:rsidR="004F40E8" w:rsidRPr="004F40E8" w:rsidRDefault="004F40E8" w:rsidP="004F40E8">
      <w:pPr>
        <w:tabs>
          <w:tab w:val="left" w:pos="0"/>
        </w:tabs>
        <w:contextualSpacing/>
        <w:jc w:val="both"/>
        <w:rPr>
          <w:szCs w:val="22"/>
        </w:rPr>
      </w:pPr>
    </w:p>
    <w:p w:rsidR="004F40E8" w:rsidRPr="004F40E8" w:rsidRDefault="004F40E8" w:rsidP="004F40E8">
      <w:pPr>
        <w:tabs>
          <w:tab w:val="left" w:pos="0"/>
        </w:tabs>
        <w:contextualSpacing/>
        <w:jc w:val="both"/>
        <w:rPr>
          <w:szCs w:val="22"/>
        </w:rPr>
      </w:pPr>
      <w:r w:rsidRPr="004F40E8">
        <w:rPr>
          <w:szCs w:val="22"/>
        </w:rPr>
        <w:t>Η επίτευξη του στόχου αυτού επιχειρείται με τη συνέχιση της υλοποίησης δράσεων, αλλά και την έναρξη νέων όπως:</w:t>
      </w:r>
    </w:p>
    <w:p w:rsidR="004F40E8" w:rsidRPr="004F40E8" w:rsidRDefault="004F40E8" w:rsidP="004F40E8">
      <w:pPr>
        <w:tabs>
          <w:tab w:val="left" w:pos="0"/>
        </w:tabs>
        <w:contextualSpacing/>
        <w:jc w:val="both"/>
        <w:rPr>
          <w:szCs w:val="22"/>
        </w:rPr>
      </w:pPr>
    </w:p>
    <w:p w:rsidR="004F40E8" w:rsidRPr="004F40E8" w:rsidRDefault="004F40E8" w:rsidP="00C42D86">
      <w:pPr>
        <w:numPr>
          <w:ilvl w:val="0"/>
          <w:numId w:val="14"/>
        </w:numPr>
        <w:ind w:left="426"/>
        <w:contextualSpacing/>
        <w:jc w:val="both"/>
        <w:rPr>
          <w:szCs w:val="22"/>
        </w:rPr>
      </w:pPr>
      <w:r w:rsidRPr="004F40E8">
        <w:rPr>
          <w:szCs w:val="22"/>
        </w:rPr>
        <w:t xml:space="preserve">η περαιτέρω ενίσχυση της φορολογικής συμμόρφωσης </w:t>
      </w:r>
      <w:r w:rsidRPr="004F40E8">
        <w:t>(συμμετοχή σε κληρώσεις με χρηματικά έπαθλα, διαμόρφωση αφορολογήτου με βάση το ύψος των ετήσιων ηλεκτρ</w:t>
      </w:r>
      <w:r w:rsidRPr="004F40E8">
        <w:t>ο</w:t>
      </w:r>
      <w:r w:rsidRPr="004F40E8">
        <w:t>νικών πληρωμών)</w:t>
      </w:r>
      <w:r w:rsidRPr="004F40E8">
        <w:rPr>
          <w:szCs w:val="22"/>
        </w:rPr>
        <w:t>,</w:t>
      </w:r>
    </w:p>
    <w:p w:rsidR="004F40E8" w:rsidRPr="004F40E8" w:rsidRDefault="004F40E8" w:rsidP="00C42D86">
      <w:pPr>
        <w:numPr>
          <w:ilvl w:val="0"/>
          <w:numId w:val="14"/>
        </w:numPr>
        <w:ind w:left="426"/>
        <w:contextualSpacing/>
        <w:jc w:val="both"/>
        <w:rPr>
          <w:szCs w:val="22"/>
        </w:rPr>
      </w:pPr>
      <w:r w:rsidRPr="004F40E8">
        <w:rPr>
          <w:szCs w:val="22"/>
        </w:rPr>
        <w:t>το πρόγραμμα αποκρατικοποιήσεων,</w:t>
      </w:r>
    </w:p>
    <w:p w:rsidR="004F40E8" w:rsidRPr="004F40E8" w:rsidRDefault="004F40E8" w:rsidP="00C42D86">
      <w:pPr>
        <w:numPr>
          <w:ilvl w:val="0"/>
          <w:numId w:val="14"/>
        </w:numPr>
        <w:ind w:left="426"/>
        <w:contextualSpacing/>
        <w:jc w:val="both"/>
        <w:rPr>
          <w:szCs w:val="22"/>
        </w:rPr>
      </w:pPr>
      <w:r w:rsidRPr="004F40E8">
        <w:rPr>
          <w:szCs w:val="22"/>
        </w:rPr>
        <w:t xml:space="preserve">οι διαρθρωτικές μεταρρυθμίσεις στις αγορές προϊόντων και η αναμόρφωση των </w:t>
      </w:r>
      <w:r w:rsidRPr="004F40E8">
        <w:t>μηχ</w:t>
      </w:r>
      <w:r w:rsidRPr="004F40E8">
        <w:t>α</w:t>
      </w:r>
      <w:r w:rsidRPr="004F40E8">
        <w:t>νισμών εποπτείας και ελέγχου της αγοράς</w:t>
      </w:r>
      <w:r w:rsidRPr="004F40E8">
        <w:rPr>
          <w:szCs w:val="22"/>
        </w:rPr>
        <w:t xml:space="preserve">, </w:t>
      </w:r>
    </w:p>
    <w:p w:rsidR="004F40E8" w:rsidRPr="004F40E8" w:rsidRDefault="004F40E8" w:rsidP="00C42D86">
      <w:pPr>
        <w:numPr>
          <w:ilvl w:val="0"/>
          <w:numId w:val="14"/>
        </w:numPr>
        <w:ind w:left="426"/>
        <w:contextualSpacing/>
        <w:jc w:val="both"/>
        <w:rPr>
          <w:szCs w:val="22"/>
        </w:rPr>
      </w:pPr>
      <w:r w:rsidRPr="004F40E8">
        <w:rPr>
          <w:szCs w:val="22"/>
        </w:rPr>
        <w:t>ο εκσυγχρονισμός του συστήματος δημόσιας υγείας, κοινωνικής ασφάλισης και πρόνο</w:t>
      </w:r>
      <w:r w:rsidRPr="004F40E8">
        <w:rPr>
          <w:szCs w:val="22"/>
        </w:rPr>
        <w:t>ι</w:t>
      </w:r>
      <w:r w:rsidRPr="004F40E8">
        <w:rPr>
          <w:szCs w:val="22"/>
        </w:rPr>
        <w:t>ας,</w:t>
      </w:r>
    </w:p>
    <w:p w:rsidR="004F40E8" w:rsidRPr="004F40E8" w:rsidRDefault="004F40E8" w:rsidP="00C42D86">
      <w:pPr>
        <w:numPr>
          <w:ilvl w:val="0"/>
          <w:numId w:val="14"/>
        </w:numPr>
        <w:ind w:left="426"/>
        <w:contextualSpacing/>
        <w:jc w:val="both"/>
        <w:rPr>
          <w:szCs w:val="22"/>
        </w:rPr>
      </w:pPr>
      <w:r w:rsidRPr="004F40E8">
        <w:t xml:space="preserve">οι παρεμβάσεις για τη διαχείριση του </w:t>
      </w:r>
      <w:r w:rsidRPr="004F40E8">
        <w:rPr>
          <w:szCs w:val="22"/>
        </w:rPr>
        <w:t>ιδιωτικού χρέους</w:t>
      </w:r>
      <w:r w:rsidRPr="004F40E8">
        <w:t xml:space="preserve"> και η εισαγωγή σύγχρονου μηχ</w:t>
      </w:r>
      <w:r w:rsidRPr="004F40E8">
        <w:t>α</w:t>
      </w:r>
      <w:r w:rsidRPr="004F40E8">
        <w:t>νισμού για τον εξωδικαστικό συμβιβασμό,</w:t>
      </w:r>
    </w:p>
    <w:p w:rsidR="004F40E8" w:rsidRPr="004F40E8" w:rsidRDefault="004F40E8" w:rsidP="00C42D86">
      <w:pPr>
        <w:numPr>
          <w:ilvl w:val="0"/>
          <w:numId w:val="14"/>
        </w:numPr>
        <w:ind w:left="426"/>
        <w:contextualSpacing/>
        <w:jc w:val="both"/>
        <w:rPr>
          <w:szCs w:val="22"/>
        </w:rPr>
      </w:pPr>
      <w:r w:rsidRPr="004F40E8">
        <w:rPr>
          <w:szCs w:val="22"/>
        </w:rPr>
        <w:t>η εφαρμογή διαρθρωτικών παρεμβάσεων με αναπτυξιακή προοπτική,</w:t>
      </w:r>
    </w:p>
    <w:p w:rsidR="004F40E8" w:rsidRPr="004F40E8" w:rsidRDefault="004F40E8" w:rsidP="00C42D86">
      <w:pPr>
        <w:numPr>
          <w:ilvl w:val="0"/>
          <w:numId w:val="14"/>
        </w:numPr>
        <w:ind w:left="426"/>
        <w:contextualSpacing/>
        <w:jc w:val="both"/>
        <w:rPr>
          <w:szCs w:val="22"/>
        </w:rPr>
      </w:pPr>
      <w:r w:rsidRPr="004F40E8">
        <w:rPr>
          <w:szCs w:val="22"/>
        </w:rPr>
        <w:lastRenderedPageBreak/>
        <w:t xml:space="preserve">η προστασία των ευάλωτων κοινωνικών ομάδων και οι </w:t>
      </w:r>
      <w:r w:rsidRPr="004F40E8">
        <w:t>παρεμβάσεις για την προστασία της πρώτης κατοικίας,</w:t>
      </w:r>
    </w:p>
    <w:p w:rsidR="004F40E8" w:rsidRPr="004F40E8" w:rsidRDefault="004F40E8" w:rsidP="00C42D86">
      <w:pPr>
        <w:numPr>
          <w:ilvl w:val="0"/>
          <w:numId w:val="14"/>
        </w:numPr>
        <w:ind w:left="426"/>
        <w:contextualSpacing/>
        <w:jc w:val="both"/>
        <w:rPr>
          <w:szCs w:val="22"/>
        </w:rPr>
      </w:pPr>
      <w:r w:rsidRPr="004F40E8">
        <w:rPr>
          <w:szCs w:val="22"/>
        </w:rPr>
        <w:t>η ολοκλήρωση της υλοποίησης του προγράμματος εξόφλησης ληξιπρόθεσμων υποχρε</w:t>
      </w:r>
      <w:r w:rsidRPr="004F40E8">
        <w:rPr>
          <w:szCs w:val="22"/>
        </w:rPr>
        <w:t>ώ</w:t>
      </w:r>
      <w:r w:rsidRPr="004F40E8">
        <w:rPr>
          <w:szCs w:val="22"/>
        </w:rPr>
        <w:t xml:space="preserve">σεων των φορέων της Γενικής Κυβέρνησης προς την πραγματική οικονομία, </w:t>
      </w:r>
    </w:p>
    <w:p w:rsidR="004F40E8" w:rsidRPr="004F40E8" w:rsidRDefault="004F40E8" w:rsidP="00C42D86">
      <w:pPr>
        <w:numPr>
          <w:ilvl w:val="0"/>
          <w:numId w:val="14"/>
        </w:numPr>
        <w:ind w:left="426"/>
        <w:contextualSpacing/>
        <w:jc w:val="both"/>
        <w:rPr>
          <w:szCs w:val="22"/>
        </w:rPr>
      </w:pPr>
      <w:r w:rsidRPr="004F40E8">
        <w:rPr>
          <w:szCs w:val="22"/>
        </w:rPr>
        <w:t xml:space="preserve">η επισκόπηση δαπανών φορέων της Γενικής Κυβέρνησης, προκειμένου να αυξηθεί η </w:t>
      </w:r>
      <w:r w:rsidRPr="004F40E8">
        <w:rPr>
          <w:szCs w:val="22"/>
        </w:rPr>
        <w:t>α</w:t>
      </w:r>
      <w:r w:rsidRPr="004F40E8">
        <w:rPr>
          <w:szCs w:val="22"/>
        </w:rPr>
        <w:t>ποτελεσματικότητα των δημοσίων δαπανών και να ενισχυθούν οι δαπάνες σε τομείς με υψηλή κοινωνική αποτελεσματικότητα, αποφέροντας προβλεπόμενη εξοικονόμηση π</w:t>
      </w:r>
      <w:r w:rsidRPr="004F40E8">
        <w:rPr>
          <w:szCs w:val="22"/>
        </w:rPr>
        <w:t>ο</w:t>
      </w:r>
      <w:r w:rsidRPr="004F40E8">
        <w:rPr>
          <w:szCs w:val="22"/>
        </w:rPr>
        <w:t>σού ύψους 320 εκατ. ευρώ,</w:t>
      </w:r>
    </w:p>
    <w:p w:rsidR="004F40E8" w:rsidRPr="004F40E8" w:rsidRDefault="004F40E8" w:rsidP="00C42D86">
      <w:pPr>
        <w:numPr>
          <w:ilvl w:val="0"/>
          <w:numId w:val="14"/>
        </w:numPr>
        <w:ind w:left="426"/>
        <w:contextualSpacing/>
        <w:jc w:val="both"/>
        <w:rPr>
          <w:szCs w:val="22"/>
        </w:rPr>
      </w:pPr>
      <w:r w:rsidRPr="004F40E8">
        <w:rPr>
          <w:szCs w:val="22"/>
        </w:rPr>
        <w:t>η εφαρμογή κανόνα προσλήψεων-αποχωρήσεων 1:3 και</w:t>
      </w:r>
    </w:p>
    <w:p w:rsidR="004F40E8" w:rsidRPr="004F40E8" w:rsidRDefault="004F40E8" w:rsidP="00C42D86">
      <w:pPr>
        <w:numPr>
          <w:ilvl w:val="0"/>
          <w:numId w:val="14"/>
        </w:numPr>
        <w:ind w:left="426"/>
        <w:contextualSpacing/>
        <w:jc w:val="both"/>
        <w:rPr>
          <w:szCs w:val="22"/>
        </w:rPr>
      </w:pPr>
      <w:r w:rsidRPr="004F40E8">
        <w:rPr>
          <w:szCs w:val="22"/>
        </w:rPr>
        <w:t xml:space="preserve">η διαμόρφωση νέου σχεδίου λογαριασμών για το Δημόσιο. </w:t>
      </w:r>
    </w:p>
    <w:p w:rsidR="004F40E8" w:rsidRPr="004F40E8" w:rsidRDefault="004F40E8" w:rsidP="004F40E8">
      <w:pPr>
        <w:tabs>
          <w:tab w:val="left" w:pos="0"/>
        </w:tabs>
        <w:contextualSpacing/>
        <w:jc w:val="both"/>
        <w:rPr>
          <w:szCs w:val="22"/>
        </w:rPr>
      </w:pPr>
    </w:p>
    <w:p w:rsidR="004F40E8" w:rsidRPr="004F40E8" w:rsidRDefault="004F40E8" w:rsidP="004F40E8">
      <w:pPr>
        <w:tabs>
          <w:tab w:val="left" w:pos="0"/>
        </w:tabs>
        <w:contextualSpacing/>
        <w:jc w:val="both"/>
        <w:rPr>
          <w:szCs w:val="22"/>
        </w:rPr>
      </w:pPr>
      <w:r w:rsidRPr="004F40E8">
        <w:rPr>
          <w:szCs w:val="22"/>
        </w:rPr>
        <w:t>Πέραν αυτών, επισημαίνεται ότι στο 2018 έχουν προβλεφθεί και κονδύλια συνολικού ύψους 320 εκατ. ευρώ, που προκύπτουν από την επισκόπηση δαπανών, τα οποία θα διατεθούν για την υλοποίηση δράσεων κοινωνικής προστασίας.</w:t>
      </w:r>
    </w:p>
    <w:p w:rsidR="004F40E8" w:rsidRPr="004F40E8" w:rsidRDefault="004F40E8" w:rsidP="004F40E8">
      <w:pPr>
        <w:tabs>
          <w:tab w:val="left" w:pos="0"/>
        </w:tabs>
        <w:contextualSpacing/>
        <w:jc w:val="both"/>
        <w:rPr>
          <w:szCs w:val="22"/>
        </w:rPr>
      </w:pPr>
    </w:p>
    <w:p w:rsidR="004F40E8" w:rsidRPr="004F40E8" w:rsidRDefault="004F40E8" w:rsidP="004F40E8">
      <w:pPr>
        <w:contextualSpacing/>
        <w:jc w:val="both"/>
        <w:rPr>
          <w:rFonts w:ascii="Arial Narrow" w:hAnsi="Arial Narrow"/>
          <w:b/>
          <w:bCs/>
          <w:color w:val="000080"/>
          <w:szCs w:val="22"/>
        </w:rPr>
      </w:pPr>
      <w:r w:rsidRPr="004F40E8">
        <w:rPr>
          <w:rFonts w:ascii="Arial Narrow" w:hAnsi="Arial Narrow"/>
          <w:b/>
          <w:bCs/>
          <w:color w:val="000080"/>
          <w:szCs w:val="22"/>
        </w:rPr>
        <w:t>2.1</w:t>
      </w:r>
      <w:r w:rsidRPr="004F40E8">
        <w:rPr>
          <w:rFonts w:ascii="Arial Narrow" w:hAnsi="Arial Narrow"/>
          <w:b/>
          <w:bCs/>
          <w:color w:val="000080"/>
          <w:szCs w:val="22"/>
        </w:rPr>
        <w:tab/>
        <w:t>Βασικά μεγέθη προϋπολογισμού</w:t>
      </w:r>
    </w:p>
    <w:p w:rsidR="004F40E8" w:rsidRPr="004F40E8" w:rsidRDefault="004F40E8" w:rsidP="004F40E8">
      <w:pPr>
        <w:tabs>
          <w:tab w:val="left" w:pos="0"/>
        </w:tabs>
        <w:contextualSpacing/>
        <w:jc w:val="both"/>
        <w:rPr>
          <w:szCs w:val="22"/>
        </w:rPr>
      </w:pPr>
    </w:p>
    <w:p w:rsidR="004F40E8" w:rsidRPr="004F40E8" w:rsidRDefault="004F40E8" w:rsidP="004F40E8">
      <w:pPr>
        <w:contextualSpacing/>
        <w:jc w:val="both"/>
      </w:pPr>
      <w:r w:rsidRPr="004F40E8">
        <w:t>Για το έτος 2018, το πρωτογενές αποτέλεσμα της Γενικής Κυβέρνησης σε όρους ΣΧΔ προ</w:t>
      </w:r>
      <w:r w:rsidRPr="004F40E8">
        <w:t>β</w:t>
      </w:r>
      <w:r w:rsidRPr="004F40E8">
        <w:t xml:space="preserve">λέπεται να διαμορφωθεί σε 6.671 εκατ. ευρώ ή 3,6% του ΑΕΠ, αυξημένο έναντι του στόχου της ΣΧΔ κατά 135 εκατ. ευρώ και κατά 46 εκατ. ευρώ έναντι του στόχου του ΜΠΔΣ. </w:t>
      </w:r>
    </w:p>
    <w:p w:rsidR="004F40E8" w:rsidRPr="004F40E8" w:rsidRDefault="004F40E8" w:rsidP="004F40E8">
      <w:pPr>
        <w:contextualSpacing/>
        <w:jc w:val="both"/>
      </w:pPr>
    </w:p>
    <w:p w:rsidR="004F40E8" w:rsidRPr="004F40E8" w:rsidRDefault="004F40E8" w:rsidP="004F40E8">
      <w:pPr>
        <w:contextualSpacing/>
        <w:jc w:val="both"/>
      </w:pPr>
      <w:r w:rsidRPr="004F40E8">
        <w:t xml:space="preserve">Αντίστοιχα, σε όρους </w:t>
      </w:r>
      <w:r w:rsidRPr="004F40E8">
        <w:rPr>
          <w:lang w:val="en-US"/>
        </w:rPr>
        <w:t>ESA</w:t>
      </w:r>
      <w:r w:rsidRPr="004F40E8">
        <w:t xml:space="preserve"> το πρωτογενές αποτέλεσμα της Γενικής Κυβέρνησης προβλέπεται να διαμορφωθεί σε 7.493 εκατ. ευρώ ή 4,0% του ΑΕΠ, αυξημένο κατά 73 εκατ. ευρώ σε σχ</w:t>
      </w:r>
      <w:r w:rsidRPr="004F40E8">
        <w:t>έ</w:t>
      </w:r>
      <w:r w:rsidRPr="004F40E8">
        <w:t>ση με το στόχο του ΜΠΔΣ 2018-2021.</w:t>
      </w:r>
    </w:p>
    <w:p w:rsidR="004F40E8" w:rsidRPr="004F40E8" w:rsidRDefault="004F40E8" w:rsidP="004F40E8">
      <w:pPr>
        <w:contextualSpacing/>
        <w:jc w:val="both"/>
      </w:pPr>
    </w:p>
    <w:p w:rsidR="004F40E8" w:rsidRPr="004F40E8" w:rsidRDefault="004F40E8" w:rsidP="004F40E8">
      <w:pPr>
        <w:contextualSpacing/>
        <w:jc w:val="both"/>
        <w:rPr>
          <w:rFonts w:ascii="Arial Narrow" w:hAnsi="Arial Narrow"/>
          <w:b/>
          <w:color w:val="000080"/>
        </w:rPr>
      </w:pPr>
      <w:r w:rsidRPr="004F40E8">
        <w:rPr>
          <w:rFonts w:ascii="Arial Narrow" w:hAnsi="Arial Narrow"/>
          <w:b/>
          <w:color w:val="000080"/>
        </w:rPr>
        <w:t>2.2</w:t>
      </w:r>
      <w:r w:rsidRPr="004F40E8">
        <w:rPr>
          <w:rFonts w:ascii="Arial Narrow" w:hAnsi="Arial Narrow"/>
          <w:b/>
          <w:color w:val="000080"/>
        </w:rPr>
        <w:tab/>
        <w:t>Τακτικός Προϋπολογισμός</w:t>
      </w:r>
    </w:p>
    <w:p w:rsidR="004F40E8" w:rsidRPr="004F40E8" w:rsidRDefault="004F40E8" w:rsidP="004F40E8">
      <w:pPr>
        <w:contextualSpacing/>
      </w:pPr>
    </w:p>
    <w:p w:rsidR="004F40E8" w:rsidRPr="004F40E8" w:rsidRDefault="004F40E8" w:rsidP="004F40E8">
      <w:pPr>
        <w:keepNext/>
        <w:contextualSpacing/>
        <w:jc w:val="both"/>
        <w:outlineLvl w:val="5"/>
        <w:rPr>
          <w:rFonts w:ascii="Arial Narrow" w:hAnsi="Arial Narrow"/>
          <w:b/>
          <w:color w:val="000080"/>
          <w:sz w:val="18"/>
          <w:szCs w:val="22"/>
        </w:rPr>
      </w:pPr>
      <w:r w:rsidRPr="004F40E8">
        <w:rPr>
          <w:rFonts w:ascii="Arial Narrow" w:hAnsi="Arial Narrow"/>
          <w:b/>
          <w:color w:val="000080"/>
          <w:szCs w:val="22"/>
        </w:rPr>
        <w:t xml:space="preserve">Έσοδα </w:t>
      </w:r>
    </w:p>
    <w:p w:rsidR="004F40E8" w:rsidRPr="004F40E8" w:rsidRDefault="004F40E8" w:rsidP="004F40E8">
      <w:pPr>
        <w:contextualSpacing/>
        <w:jc w:val="both"/>
        <w:rPr>
          <w:bCs/>
        </w:rPr>
      </w:pPr>
    </w:p>
    <w:p w:rsidR="004F40E8" w:rsidRPr="004F40E8" w:rsidRDefault="004F40E8" w:rsidP="004F40E8">
      <w:pPr>
        <w:contextualSpacing/>
        <w:jc w:val="both"/>
        <w:rPr>
          <w:bCs/>
        </w:rPr>
      </w:pPr>
      <w:r w:rsidRPr="004F40E8">
        <w:rPr>
          <w:bCs/>
        </w:rPr>
        <w:t>Τα καθαρά έσοδα του Τακτικού Προϋπολογισμού, σε ταμειακή βάση, προβλέπεται να δι</w:t>
      </w:r>
      <w:r w:rsidRPr="004F40E8">
        <w:rPr>
          <w:bCs/>
        </w:rPr>
        <w:t>α</w:t>
      </w:r>
      <w:r w:rsidRPr="004F40E8">
        <w:rPr>
          <w:bCs/>
        </w:rPr>
        <w:t>μορφωθούν στα 50.693 εκατ. ευρώ, μειωμένα κατά 580 εκατ. ευρώ ή 1,1%, έναντι των εκτ</w:t>
      </w:r>
      <w:r w:rsidRPr="004F40E8">
        <w:rPr>
          <w:bCs/>
        </w:rPr>
        <w:t>ι</w:t>
      </w:r>
      <w:r w:rsidRPr="004F40E8">
        <w:rPr>
          <w:bCs/>
        </w:rPr>
        <w:t>μήσεων του ΜΠΔΣ 2018-2021.</w:t>
      </w:r>
    </w:p>
    <w:p w:rsidR="004F40E8" w:rsidRPr="004F40E8" w:rsidRDefault="004F40E8" w:rsidP="004F40E8">
      <w:pPr>
        <w:contextualSpacing/>
        <w:jc w:val="both"/>
        <w:rPr>
          <w:bCs/>
        </w:rPr>
      </w:pPr>
    </w:p>
    <w:p w:rsidR="004F40E8" w:rsidRPr="004F40E8" w:rsidRDefault="004F40E8" w:rsidP="004F40E8">
      <w:pPr>
        <w:contextualSpacing/>
        <w:jc w:val="both"/>
        <w:rPr>
          <w:bCs/>
        </w:rPr>
      </w:pPr>
      <w:r w:rsidRPr="004F40E8">
        <w:rPr>
          <w:bCs/>
        </w:rPr>
        <w:t>Η μείωση αυτή, οφείλεται κυρίως στην επίπτωση που θα έχει στο 2018, η εκτιμώμενη μείωση των άμεσων φόρων  του έτους 2017.</w:t>
      </w:r>
    </w:p>
    <w:p w:rsidR="004F40E8" w:rsidRPr="004F40E8" w:rsidRDefault="004F40E8" w:rsidP="004F40E8">
      <w:pPr>
        <w:contextualSpacing/>
        <w:jc w:val="both"/>
        <w:rPr>
          <w:bCs/>
        </w:rPr>
      </w:pPr>
    </w:p>
    <w:p w:rsidR="004F40E8" w:rsidRPr="004F40E8" w:rsidRDefault="004F40E8" w:rsidP="004F40E8">
      <w:pPr>
        <w:contextualSpacing/>
        <w:jc w:val="both"/>
        <w:rPr>
          <w:bCs/>
        </w:rPr>
      </w:pPr>
      <w:r w:rsidRPr="004F40E8">
        <w:rPr>
          <w:bCs/>
        </w:rPr>
        <w:t>Ειδικότερα:</w:t>
      </w:r>
    </w:p>
    <w:p w:rsidR="004F40E8" w:rsidRPr="004F40E8" w:rsidRDefault="004F40E8" w:rsidP="004F40E8">
      <w:pPr>
        <w:contextualSpacing/>
        <w:jc w:val="both"/>
        <w:rPr>
          <w:bCs/>
        </w:rPr>
      </w:pPr>
    </w:p>
    <w:p w:rsidR="004F40E8" w:rsidRPr="004F40E8" w:rsidRDefault="004F40E8" w:rsidP="00C42D86">
      <w:pPr>
        <w:numPr>
          <w:ilvl w:val="0"/>
          <w:numId w:val="5"/>
        </w:numPr>
        <w:contextualSpacing/>
        <w:jc w:val="both"/>
        <w:rPr>
          <w:bCs/>
        </w:rPr>
      </w:pPr>
      <w:r w:rsidRPr="004F40E8">
        <w:rPr>
          <w:bCs/>
        </w:rPr>
        <w:t>Οι άμεσοι φόροι προβλέπεται να ανέλθουν στο ποσό των 20.775 εκατ. ευρώ, μειωμένοι κατά 678 εκατ. ευρώ, έναντι του στόχου. Στα έσοδα αυτά περιλαμβάνεται και ποσό ύψους 325 εκατ. ευρώ λόγω της είσπραξης τον Ιανουάριο 2018 της τελευταίας δόσης του ΕΝΦΙΑ του έτους 2017. Ωστόσο, το ποσό αυτό, σε δημοσιονομική βάση, θα υπολογισθεί στο έτος 2017.</w:t>
      </w:r>
    </w:p>
    <w:p w:rsidR="004F40E8" w:rsidRPr="004F40E8" w:rsidRDefault="004F40E8" w:rsidP="00C42D86">
      <w:pPr>
        <w:numPr>
          <w:ilvl w:val="0"/>
          <w:numId w:val="5"/>
        </w:numPr>
        <w:contextualSpacing/>
        <w:jc w:val="both"/>
        <w:rPr>
          <w:bCs/>
        </w:rPr>
      </w:pPr>
      <w:r w:rsidRPr="004F40E8">
        <w:rPr>
          <w:bCs/>
        </w:rPr>
        <w:t>Οι έμμεσοι φόροι, εκτιμάται ότι θα διαμορφωθούν στο ποσό των 27.652 εκατ. ευρώ, α</w:t>
      </w:r>
      <w:r w:rsidRPr="004F40E8">
        <w:rPr>
          <w:bCs/>
        </w:rPr>
        <w:t>υ</w:t>
      </w:r>
      <w:r w:rsidRPr="004F40E8">
        <w:rPr>
          <w:bCs/>
        </w:rPr>
        <w:t>ξημένοι κατά 150 εκατ. ευρώ έναντι του στόχου.</w:t>
      </w:r>
    </w:p>
    <w:p w:rsidR="004F40E8" w:rsidRPr="004F40E8" w:rsidRDefault="004F40E8" w:rsidP="00C42D86">
      <w:pPr>
        <w:numPr>
          <w:ilvl w:val="0"/>
          <w:numId w:val="5"/>
        </w:numPr>
        <w:contextualSpacing/>
        <w:jc w:val="both"/>
        <w:rPr>
          <w:bCs/>
        </w:rPr>
      </w:pPr>
      <w:r w:rsidRPr="004F40E8">
        <w:rPr>
          <w:bCs/>
        </w:rPr>
        <w:t xml:space="preserve">Τα μη φορολογικά έσοδα αναμένεται να διαμορφωθούν σε 3.747 εκατ. ευρώ, αυξημένα κατά 85 εκατ. ευρώ. </w:t>
      </w:r>
    </w:p>
    <w:p w:rsidR="004F40E8" w:rsidRPr="004F40E8" w:rsidRDefault="004F40E8" w:rsidP="00C42D86">
      <w:pPr>
        <w:numPr>
          <w:ilvl w:val="0"/>
          <w:numId w:val="5"/>
        </w:numPr>
        <w:contextualSpacing/>
        <w:jc w:val="both"/>
        <w:rPr>
          <w:bCs/>
        </w:rPr>
      </w:pPr>
      <w:r w:rsidRPr="004F40E8">
        <w:rPr>
          <w:bCs/>
        </w:rPr>
        <w:t>Οι επιστροφές φόρων προβλέπεται να ανέλθουν στο ποσό των 3.566 εκατ. ευρώ, αυξημ</w:t>
      </w:r>
      <w:r w:rsidRPr="004F40E8">
        <w:rPr>
          <w:bCs/>
        </w:rPr>
        <w:t>έ</w:t>
      </w:r>
      <w:r w:rsidRPr="004F40E8">
        <w:rPr>
          <w:bCs/>
        </w:rPr>
        <w:t>νες  κατά 183 εκατ. ευρώ έναντι του στόχου.</w:t>
      </w:r>
    </w:p>
    <w:p w:rsidR="004F40E8" w:rsidRPr="004F40E8" w:rsidRDefault="004F40E8" w:rsidP="004F40E8">
      <w:pPr>
        <w:contextualSpacing/>
        <w:rPr>
          <w:highlight w:val="lightGray"/>
        </w:rPr>
      </w:pPr>
    </w:p>
    <w:p w:rsidR="004F40E8" w:rsidRPr="004F40E8" w:rsidRDefault="004F40E8" w:rsidP="004F40E8">
      <w:pPr>
        <w:contextualSpacing/>
        <w:jc w:val="both"/>
      </w:pPr>
      <w:r w:rsidRPr="004F40E8">
        <w:lastRenderedPageBreak/>
        <w:t>Τα έσοδα του ΠΔΕ σε ταμειακή βάση εκτιμώνται σε 3.735 εκατ. ευρώ και σε δεδουλευμένη βάση στα 3.764 εκατ. ευρώ στο ύψος του στόχου του ΜΠΔΣ 2018-2021.</w:t>
      </w:r>
    </w:p>
    <w:p w:rsidR="004F40E8" w:rsidRPr="004F40E8" w:rsidRDefault="004F40E8" w:rsidP="004F40E8">
      <w:pPr>
        <w:contextualSpacing/>
        <w:jc w:val="both"/>
        <w:rPr>
          <w:rFonts w:ascii="Arial Narrow" w:hAnsi="Arial Narrow"/>
          <w:b/>
          <w:color w:val="000080"/>
        </w:rPr>
      </w:pPr>
    </w:p>
    <w:p w:rsidR="004F40E8" w:rsidRPr="004F40E8" w:rsidRDefault="004F40E8" w:rsidP="004F40E8">
      <w:pPr>
        <w:contextualSpacing/>
        <w:jc w:val="both"/>
        <w:rPr>
          <w:rFonts w:ascii="Arial Narrow" w:hAnsi="Arial Narrow"/>
          <w:b/>
          <w:color w:val="000080"/>
        </w:rPr>
      </w:pPr>
      <w:r w:rsidRPr="004F40E8">
        <w:rPr>
          <w:rFonts w:ascii="Arial Narrow" w:hAnsi="Arial Narrow"/>
          <w:b/>
          <w:color w:val="000080"/>
        </w:rPr>
        <w:t>Δαπάνες</w:t>
      </w:r>
    </w:p>
    <w:p w:rsidR="004F40E8" w:rsidRPr="004F40E8" w:rsidRDefault="004F40E8" w:rsidP="004F40E8">
      <w:pPr>
        <w:contextualSpacing/>
        <w:jc w:val="both"/>
        <w:outlineLvl w:val="3"/>
      </w:pPr>
    </w:p>
    <w:p w:rsidR="004F40E8" w:rsidRPr="004F40E8" w:rsidRDefault="004F40E8" w:rsidP="004F40E8">
      <w:pPr>
        <w:jc w:val="both"/>
        <w:outlineLvl w:val="3"/>
        <w:rPr>
          <w:bCs/>
          <w:szCs w:val="22"/>
        </w:rPr>
      </w:pPr>
      <w:r w:rsidRPr="004F40E8">
        <w:rPr>
          <w:bCs/>
        </w:rPr>
        <w:t xml:space="preserve">Οι συνολικές δαπάνες του Τακτικού Προϋπολογισμού (σε ταμειακή βάση) για το έτος 2018 προβλέπεται να διαμορφωθούν στα 48.857 εκατ. ευρώ, μειωμένες </w:t>
      </w:r>
      <w:r w:rsidRPr="004F40E8">
        <w:rPr>
          <w:bCs/>
          <w:szCs w:val="22"/>
        </w:rPr>
        <w:t>κατά 394 εκατ. ευρώ ένα</w:t>
      </w:r>
      <w:r w:rsidRPr="004F40E8">
        <w:rPr>
          <w:bCs/>
          <w:szCs w:val="22"/>
        </w:rPr>
        <w:t>ν</w:t>
      </w:r>
      <w:r w:rsidRPr="004F40E8">
        <w:rPr>
          <w:bCs/>
          <w:szCs w:val="22"/>
        </w:rPr>
        <w:t xml:space="preserve">τι της εκτίμησης για το έτος 2017 και </w:t>
      </w:r>
      <w:r w:rsidRPr="004F40E8">
        <w:rPr>
          <w:bCs/>
        </w:rPr>
        <w:t xml:space="preserve">κατά 496 εκατ. ευρώ έναντι του </w:t>
      </w:r>
      <w:r w:rsidRPr="004F40E8">
        <w:rPr>
          <w:bCs/>
          <w:szCs w:val="22"/>
        </w:rPr>
        <w:t>στόχου του ΜΠΔΣ 2018-2021, κυρίως λόγω της μείωσης  του ελλείμματος του ΕΛΕΓΕΠ, της επανεκτίμησης των αποδιδόμενων πόρων στους Οργανισμούς Τοπικής Αυτοδιοίκησης, της μείωσης των δ</w:t>
      </w:r>
      <w:r w:rsidRPr="004F40E8">
        <w:rPr>
          <w:bCs/>
          <w:szCs w:val="22"/>
        </w:rPr>
        <w:t>α</w:t>
      </w:r>
      <w:r w:rsidRPr="004F40E8">
        <w:rPr>
          <w:bCs/>
          <w:szCs w:val="22"/>
        </w:rPr>
        <w:t>πανών για καταπτώσεις εγγυήσεων σε φορείς εκτός Γενικής Κυβέρνησης, καθώς και της με</w:t>
      </w:r>
      <w:r w:rsidRPr="004F40E8">
        <w:rPr>
          <w:bCs/>
          <w:szCs w:val="22"/>
        </w:rPr>
        <w:t>ί</w:t>
      </w:r>
      <w:r w:rsidRPr="004F40E8">
        <w:rPr>
          <w:bCs/>
          <w:szCs w:val="22"/>
        </w:rPr>
        <w:t xml:space="preserve">ωσης της δαπάνης τόκων. </w:t>
      </w:r>
    </w:p>
    <w:p w:rsidR="004F40E8" w:rsidRPr="004F40E8" w:rsidRDefault="004F40E8" w:rsidP="004F40E8">
      <w:pPr>
        <w:jc w:val="both"/>
        <w:outlineLvl w:val="3"/>
        <w:rPr>
          <w:bCs/>
        </w:rPr>
      </w:pPr>
    </w:p>
    <w:p w:rsidR="004F40E8" w:rsidRPr="004F40E8" w:rsidRDefault="004F40E8" w:rsidP="004F40E8">
      <w:pPr>
        <w:jc w:val="both"/>
        <w:outlineLvl w:val="3"/>
        <w:rPr>
          <w:bCs/>
        </w:rPr>
      </w:pPr>
      <w:r w:rsidRPr="004F40E8">
        <w:rPr>
          <w:bCs/>
        </w:rPr>
        <w:t xml:space="preserve">Οι πρωτογενείς δαπάνες του Τακτικού Προϋπολογισμού προβλέπεται ότι θα διαμορφωθούν στα 43.157 εκατ. ευρώ, </w:t>
      </w:r>
      <w:r w:rsidRPr="004F40E8">
        <w:rPr>
          <w:bCs/>
          <w:szCs w:val="22"/>
        </w:rPr>
        <w:t>μειωμένες κατά 297</w:t>
      </w:r>
      <w:r w:rsidRPr="004F40E8">
        <w:rPr>
          <w:bCs/>
        </w:rPr>
        <w:t xml:space="preserve"> εκατ. ευρώ έναντι του </w:t>
      </w:r>
      <w:r w:rsidRPr="004F40E8">
        <w:rPr>
          <w:bCs/>
          <w:szCs w:val="22"/>
        </w:rPr>
        <w:t>στόχου του ΜΠΔΣ 2018-2021</w:t>
      </w:r>
      <w:r w:rsidRPr="004F40E8">
        <w:rPr>
          <w:bCs/>
        </w:rPr>
        <w:t>.</w:t>
      </w:r>
    </w:p>
    <w:p w:rsidR="004F40E8" w:rsidRPr="004F40E8" w:rsidRDefault="004F40E8" w:rsidP="004F40E8">
      <w:pPr>
        <w:jc w:val="both"/>
        <w:outlineLvl w:val="3"/>
        <w:rPr>
          <w:bCs/>
        </w:rPr>
      </w:pPr>
    </w:p>
    <w:p w:rsidR="004F40E8" w:rsidRPr="004F40E8" w:rsidRDefault="004F40E8" w:rsidP="004F40E8">
      <w:pPr>
        <w:jc w:val="both"/>
        <w:rPr>
          <w:rFonts w:ascii="Arial Narrow" w:hAnsi="Arial Narrow"/>
          <w:b/>
          <w:bCs/>
          <w:i/>
          <w:color w:val="000080"/>
          <w:sz w:val="22"/>
          <w:szCs w:val="22"/>
        </w:rPr>
      </w:pPr>
      <w:r w:rsidRPr="004F40E8">
        <w:rPr>
          <w:rFonts w:ascii="Arial Narrow" w:hAnsi="Arial Narrow"/>
          <w:b/>
          <w:bCs/>
          <w:i/>
          <w:color w:val="000080"/>
          <w:sz w:val="22"/>
          <w:szCs w:val="22"/>
        </w:rPr>
        <w:t>Ανάλυση δαπανών κατά κατηγορίες</w:t>
      </w:r>
    </w:p>
    <w:p w:rsidR="004F40E8" w:rsidRPr="004F40E8" w:rsidRDefault="004F40E8" w:rsidP="004F40E8">
      <w:pPr>
        <w:jc w:val="both"/>
        <w:outlineLvl w:val="3"/>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Μισθοί και συντάξεις</w:t>
      </w:r>
    </w:p>
    <w:p w:rsidR="004F40E8" w:rsidRPr="004F40E8" w:rsidRDefault="004F40E8" w:rsidP="004F40E8">
      <w:pPr>
        <w:jc w:val="both"/>
        <w:outlineLvl w:val="3"/>
        <w:rPr>
          <w:bCs/>
        </w:rPr>
      </w:pPr>
    </w:p>
    <w:p w:rsidR="004F40E8" w:rsidRPr="004F40E8" w:rsidRDefault="004F40E8" w:rsidP="004F40E8">
      <w:pPr>
        <w:contextualSpacing/>
        <w:jc w:val="both"/>
      </w:pPr>
      <w:r w:rsidRPr="004F40E8">
        <w:t>Οι δαπάνες για μισθούς και συντάξεις προβλέπεται ότι θα διαμορφωθούν σε 12.626 εκατ. ε</w:t>
      </w:r>
      <w:r w:rsidRPr="004F40E8">
        <w:t>υ</w:t>
      </w:r>
      <w:r w:rsidRPr="004F40E8">
        <w:t>ρώ, αυξημένες κατά 86 εκατ. ευρώ έναντι του στόχου του ΜΠΔΣ 2018-2021, κυρίως λόγω της αναμόρφωσης των ειδικών μισθολογίων αλλά και της συνεχιζόμενης από το 2017 μεί</w:t>
      </w:r>
      <w:r w:rsidRPr="004F40E8">
        <w:t>ω</w:t>
      </w:r>
      <w:r w:rsidRPr="004F40E8">
        <w:t>σης του αριθμού των αποχωρήσεων λόγω συνταξιοδότησης.</w:t>
      </w:r>
    </w:p>
    <w:p w:rsidR="004F40E8" w:rsidRPr="004F40E8" w:rsidRDefault="004F40E8" w:rsidP="004F40E8">
      <w:pPr>
        <w:contextualSpacing/>
        <w:jc w:val="both"/>
      </w:pPr>
    </w:p>
    <w:p w:rsidR="004F40E8" w:rsidRPr="004F40E8" w:rsidRDefault="004F40E8" w:rsidP="004F40E8">
      <w:pPr>
        <w:contextualSpacing/>
        <w:jc w:val="both"/>
        <w:rPr>
          <w:bCs/>
          <w:szCs w:val="22"/>
        </w:rPr>
      </w:pPr>
      <w:r w:rsidRPr="004F40E8">
        <w:t>Στις δαπάνες της κατηγορίας αυτής περιλαμβάνεται και η εργοδοτική εισφορά</w:t>
      </w:r>
      <w:r w:rsidRPr="004F40E8">
        <w:rPr>
          <w:bCs/>
          <w:szCs w:val="22"/>
        </w:rPr>
        <w:t xml:space="preserve"> του κράτους ως εργοδότη υπέρ του ΕΦΚΑ για τους υπαλλήλους με σύμβαση δημοσίου δικαίου (από 3,33% το 2017 σε 6,67% στο 2018).</w:t>
      </w:r>
    </w:p>
    <w:p w:rsidR="004F40E8" w:rsidRPr="004F40E8" w:rsidRDefault="004F40E8" w:rsidP="004F40E8">
      <w:pPr>
        <w:jc w:val="both"/>
        <w:outlineLvl w:val="3"/>
        <w:rPr>
          <w:bCs/>
        </w:rPr>
      </w:pPr>
    </w:p>
    <w:p w:rsidR="004F40E8" w:rsidRPr="004F40E8" w:rsidRDefault="004F40E8" w:rsidP="004F40E8">
      <w:pPr>
        <w:jc w:val="both"/>
        <w:outlineLvl w:val="3"/>
        <w:rPr>
          <w:rFonts w:ascii="Arial Narrow" w:hAnsi="Arial Narrow"/>
          <w:b/>
          <w:bCs/>
          <w:i/>
          <w:sz w:val="22"/>
          <w:szCs w:val="22"/>
        </w:rPr>
      </w:pPr>
      <w:r w:rsidRPr="004F40E8">
        <w:rPr>
          <w:rFonts w:ascii="Arial Narrow" w:hAnsi="Arial Narrow"/>
          <w:b/>
          <w:bCs/>
          <w:i/>
          <w:sz w:val="22"/>
          <w:szCs w:val="22"/>
        </w:rPr>
        <w:t>Ασφάλιση, περίθαλψη και κοινωνική προστασία</w:t>
      </w:r>
    </w:p>
    <w:p w:rsidR="004F40E8" w:rsidRPr="004F40E8" w:rsidRDefault="004F40E8" w:rsidP="004F40E8">
      <w:pPr>
        <w:jc w:val="both"/>
        <w:outlineLvl w:val="3"/>
        <w:rPr>
          <w:bCs/>
        </w:rPr>
      </w:pPr>
    </w:p>
    <w:p w:rsidR="004F40E8" w:rsidRPr="004F40E8" w:rsidRDefault="004F40E8" w:rsidP="004F40E8">
      <w:pPr>
        <w:jc w:val="both"/>
        <w:outlineLvl w:val="3"/>
        <w:rPr>
          <w:bCs/>
        </w:rPr>
      </w:pPr>
      <w:r w:rsidRPr="004F40E8">
        <w:rPr>
          <w:bCs/>
        </w:rPr>
        <w:t xml:space="preserve">Οι σχετικές δαπάνες προβλέπεται να διαμορφωθούν στα 19.490 εκατ. ευρώ έναντι 19.649 </w:t>
      </w:r>
      <w:r w:rsidRPr="004F40E8">
        <w:rPr>
          <w:bCs/>
        </w:rPr>
        <w:t>ε</w:t>
      </w:r>
      <w:r w:rsidRPr="004F40E8">
        <w:rPr>
          <w:bCs/>
        </w:rPr>
        <w:t>κατ. ευρώ του στόχου του ΜΠΔΣ 2018-2021. Η μείωση κατά 160 εκατ. ευρώ, οφείλεται κ</w:t>
      </w:r>
      <w:r w:rsidRPr="004F40E8">
        <w:rPr>
          <w:bCs/>
        </w:rPr>
        <w:t>υ</w:t>
      </w:r>
      <w:r w:rsidRPr="004F40E8">
        <w:rPr>
          <w:bCs/>
        </w:rPr>
        <w:t>ρίως στη μείωση της επιχορήγησης στον ΕΦΚΑ για την πληρωμή των συντάξεων του Δημ</w:t>
      </w:r>
      <w:r w:rsidRPr="004F40E8">
        <w:rPr>
          <w:bCs/>
        </w:rPr>
        <w:t>ο</w:t>
      </w:r>
      <w:r w:rsidRPr="004F40E8">
        <w:rPr>
          <w:bCs/>
        </w:rPr>
        <w:t>σίου.</w:t>
      </w:r>
    </w:p>
    <w:p w:rsidR="004F40E8" w:rsidRPr="004F40E8" w:rsidRDefault="004F40E8" w:rsidP="004F40E8">
      <w:pPr>
        <w:jc w:val="both"/>
        <w:outlineLvl w:val="3"/>
        <w:rPr>
          <w:bCs/>
        </w:rPr>
      </w:pPr>
    </w:p>
    <w:p w:rsidR="004F40E8" w:rsidRPr="004F40E8" w:rsidRDefault="004F40E8" w:rsidP="004F40E8">
      <w:pPr>
        <w:jc w:val="both"/>
        <w:outlineLvl w:val="3"/>
        <w:rPr>
          <w:bCs/>
          <w:szCs w:val="22"/>
        </w:rPr>
      </w:pPr>
      <w:r w:rsidRPr="004F40E8">
        <w:rPr>
          <w:bCs/>
        </w:rPr>
        <w:t>Οι δαπάνες της κατηγορίας αυτής προβλέπεται να καλύψουν κυρίως επιχορηγήσεις της κο</w:t>
      </w:r>
      <w:r w:rsidRPr="004F40E8">
        <w:rPr>
          <w:bCs/>
        </w:rPr>
        <w:t>ι</w:t>
      </w:r>
      <w:r w:rsidRPr="004F40E8">
        <w:rPr>
          <w:bCs/>
        </w:rPr>
        <w:t>νωνικής ασφάλισης, των νοσοκομείων και των δαπανών για την κοινωνική προστασία όπως τα επιδόματα πολυτέκνων, το επίδομα θέρμανσης, η απόδοση πόρων στο ΑΚΑΓΕ, το Κοιν</w:t>
      </w:r>
      <w:r w:rsidRPr="004F40E8">
        <w:rPr>
          <w:bCs/>
        </w:rPr>
        <w:t>ω</w:t>
      </w:r>
      <w:r w:rsidRPr="004F40E8">
        <w:rPr>
          <w:bCs/>
        </w:rPr>
        <w:t>νικό Εισόδημα Αλληλεγγύης</w:t>
      </w:r>
      <w:r w:rsidRPr="004F40E8">
        <w:rPr>
          <w:bCs/>
          <w:szCs w:val="22"/>
        </w:rPr>
        <w:t xml:space="preserve"> και η συνεισφορά του Δημοσίου για την προστασία της κύριας κατοικίας των υπερχρεωμένων νοικοκυριών.</w:t>
      </w:r>
    </w:p>
    <w:p w:rsidR="004F40E8" w:rsidRPr="004F40E8" w:rsidRDefault="004F40E8" w:rsidP="004F40E8">
      <w:pPr>
        <w:jc w:val="both"/>
        <w:outlineLvl w:val="3"/>
        <w:rPr>
          <w:bCs/>
          <w:szCs w:val="22"/>
        </w:rPr>
      </w:pPr>
    </w:p>
    <w:p w:rsidR="004F40E8" w:rsidRPr="004F40E8" w:rsidRDefault="004F40E8" w:rsidP="004F40E8">
      <w:pPr>
        <w:jc w:val="both"/>
        <w:outlineLvl w:val="3"/>
        <w:rPr>
          <w:bCs/>
        </w:rPr>
      </w:pPr>
      <w:r w:rsidRPr="004F40E8">
        <w:rPr>
          <w:bCs/>
          <w:szCs w:val="22"/>
        </w:rPr>
        <w:t>Πέραν αυτών, προβλέπονται επιπλέον δαπάνες 320 εκατ. ευρώ στους τομείς κοινωνικής προστασίας και συνοχής που χρηματοδοτούνται πλήρως από την ολοκλήρωση της επισκόπ</w:t>
      </w:r>
      <w:r w:rsidRPr="004F40E8">
        <w:rPr>
          <w:bCs/>
          <w:szCs w:val="22"/>
        </w:rPr>
        <w:t>η</w:t>
      </w:r>
      <w:r w:rsidRPr="004F40E8">
        <w:rPr>
          <w:bCs/>
          <w:szCs w:val="22"/>
        </w:rPr>
        <w:t>σης πρωτογενών λειτουργικών δαπανών της γενικής κυβέρνησης (ενότητα 2.5).</w:t>
      </w:r>
    </w:p>
    <w:p w:rsidR="004F40E8" w:rsidRPr="004F40E8" w:rsidRDefault="004F40E8" w:rsidP="004F40E8">
      <w:pPr>
        <w:ind w:left="348"/>
        <w:jc w:val="both"/>
        <w:outlineLvl w:val="3"/>
        <w:rPr>
          <w:bCs/>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Λειτουργικές και άλλες δαπάνες (συμπεριλαμβανομένων και των επιχορηγήσεων)</w:t>
      </w:r>
    </w:p>
    <w:p w:rsidR="004F40E8" w:rsidRPr="004F40E8" w:rsidRDefault="004F40E8" w:rsidP="004F40E8">
      <w:pPr>
        <w:jc w:val="both"/>
        <w:outlineLvl w:val="3"/>
        <w:rPr>
          <w:bCs/>
        </w:rPr>
      </w:pPr>
    </w:p>
    <w:p w:rsidR="004F40E8" w:rsidRPr="004F40E8" w:rsidRDefault="004F40E8" w:rsidP="004F40E8">
      <w:pPr>
        <w:jc w:val="both"/>
        <w:outlineLvl w:val="3"/>
        <w:rPr>
          <w:bCs/>
        </w:rPr>
      </w:pPr>
      <w:r w:rsidRPr="004F40E8">
        <w:rPr>
          <w:bCs/>
        </w:rPr>
        <w:t xml:space="preserve">Για την αντιμετώπιση των δαπανών αυτών έχουν προβλεφθεί πιστώσεις ύψους 5.241 εκατ. ευρώ έναντι 5.295 εκατ. ευρώ όπου είχαν προβλεφθεί στο ΜΠΔΣ 2018-2021. Η μείωση αυτή </w:t>
      </w:r>
      <w:r w:rsidRPr="004F40E8">
        <w:rPr>
          <w:bCs/>
        </w:rPr>
        <w:lastRenderedPageBreak/>
        <w:t>οφείλεται κυρίως στη μείωση του ελλείμματος του ΕΛΕΓΕΠ, η οποία όμως αντισταθμίστηκε μερικώς από την πρόβλεψη δαπάνης για δράσεις στους τομείς της υγείας και της παιδείας ύψους 140 εκατ. ευρώ.</w:t>
      </w:r>
    </w:p>
    <w:p w:rsidR="004F40E8" w:rsidRPr="004F40E8" w:rsidRDefault="004F40E8" w:rsidP="004F40E8">
      <w:pPr>
        <w:jc w:val="both"/>
        <w:outlineLvl w:val="3"/>
        <w:rPr>
          <w:bCs/>
        </w:rPr>
      </w:pPr>
    </w:p>
    <w:p w:rsidR="004F40E8" w:rsidRPr="004F40E8" w:rsidRDefault="004F40E8" w:rsidP="004F40E8">
      <w:pPr>
        <w:jc w:val="both"/>
        <w:outlineLvl w:val="3"/>
        <w:rPr>
          <w:bCs/>
        </w:rPr>
      </w:pPr>
      <w:r w:rsidRPr="004F40E8">
        <w:rPr>
          <w:bCs/>
        </w:rPr>
        <w:t>Η κατηγορία των δαπανών αυτών γενικότερα καλύπτει:</w:t>
      </w:r>
    </w:p>
    <w:p w:rsidR="004F40E8" w:rsidRPr="004F40E8" w:rsidRDefault="004F40E8" w:rsidP="004F40E8">
      <w:pPr>
        <w:jc w:val="both"/>
        <w:outlineLvl w:val="3"/>
        <w:rPr>
          <w:bCs/>
        </w:rPr>
      </w:pPr>
    </w:p>
    <w:p w:rsidR="004F40E8" w:rsidRPr="004F40E8" w:rsidRDefault="004F40E8" w:rsidP="00C42D86">
      <w:pPr>
        <w:numPr>
          <w:ilvl w:val="0"/>
          <w:numId w:val="5"/>
        </w:numPr>
        <w:ind w:left="346" w:hanging="346"/>
        <w:jc w:val="both"/>
        <w:rPr>
          <w:bCs/>
        </w:rPr>
      </w:pPr>
      <w:r w:rsidRPr="004F40E8">
        <w:rPr>
          <w:bCs/>
        </w:rPr>
        <w:t xml:space="preserve">τις </w:t>
      </w:r>
      <w:r w:rsidRPr="004F40E8">
        <w:rPr>
          <w:bCs/>
          <w:szCs w:val="22"/>
        </w:rPr>
        <w:t>επιχορηγήσεις</w:t>
      </w:r>
      <w:r w:rsidRPr="004F40E8">
        <w:rPr>
          <w:bCs/>
        </w:rPr>
        <w:t xml:space="preserve"> σε φορείς εντός και εκτός Γενικής Κυβέρνησης (συμπεριλαμβανομένων των συγκοινωνιακών φορέων) καθώς και τις </w:t>
      </w:r>
      <w:r w:rsidRPr="004F40E8">
        <w:rPr>
          <w:bCs/>
          <w:szCs w:val="22"/>
        </w:rPr>
        <w:t>εισφορές</w:t>
      </w:r>
      <w:r w:rsidRPr="004F40E8">
        <w:rPr>
          <w:bCs/>
        </w:rPr>
        <w:t xml:space="preserve"> σε διεθνείς οργανισμούς,</w:t>
      </w:r>
    </w:p>
    <w:p w:rsidR="004F40E8" w:rsidRPr="004F40E8" w:rsidRDefault="004F40E8" w:rsidP="00C42D86">
      <w:pPr>
        <w:numPr>
          <w:ilvl w:val="0"/>
          <w:numId w:val="5"/>
        </w:numPr>
        <w:jc w:val="both"/>
        <w:rPr>
          <w:bCs/>
        </w:rPr>
      </w:pPr>
      <w:r w:rsidRPr="004F40E8">
        <w:rPr>
          <w:bCs/>
        </w:rPr>
        <w:t xml:space="preserve">τις </w:t>
      </w:r>
      <w:r w:rsidRPr="004F40E8">
        <w:rPr>
          <w:bCs/>
          <w:szCs w:val="22"/>
        </w:rPr>
        <w:t>καταναλωτικού</w:t>
      </w:r>
      <w:r w:rsidRPr="004F40E8">
        <w:rPr>
          <w:bCs/>
        </w:rPr>
        <w:t xml:space="preserve"> χαρακτήρα δαπάνες των φορέων του κράτους,</w:t>
      </w:r>
    </w:p>
    <w:p w:rsidR="004F40E8" w:rsidRPr="004F40E8" w:rsidRDefault="004F40E8" w:rsidP="00C42D86">
      <w:pPr>
        <w:numPr>
          <w:ilvl w:val="0"/>
          <w:numId w:val="5"/>
        </w:numPr>
        <w:jc w:val="both"/>
        <w:rPr>
          <w:bCs/>
        </w:rPr>
      </w:pPr>
      <w:r w:rsidRPr="004F40E8">
        <w:rPr>
          <w:bCs/>
        </w:rPr>
        <w:t xml:space="preserve">τις </w:t>
      </w:r>
      <w:r w:rsidRPr="004F40E8">
        <w:rPr>
          <w:bCs/>
          <w:szCs w:val="22"/>
        </w:rPr>
        <w:t>δαπάνες</w:t>
      </w:r>
      <w:r w:rsidRPr="004F40E8">
        <w:rPr>
          <w:bCs/>
        </w:rPr>
        <w:t xml:space="preserve"> μετακίνησης του προσωπικού για εκτέλεση υπηρεσίας και λοιπές δαπάνες,</w:t>
      </w:r>
    </w:p>
    <w:p w:rsidR="004F40E8" w:rsidRPr="004F40E8" w:rsidRDefault="004F40E8" w:rsidP="00C42D86">
      <w:pPr>
        <w:numPr>
          <w:ilvl w:val="0"/>
          <w:numId w:val="5"/>
        </w:numPr>
        <w:jc w:val="both"/>
        <w:rPr>
          <w:bCs/>
        </w:rPr>
      </w:pPr>
      <w:r w:rsidRPr="004F40E8">
        <w:rPr>
          <w:bCs/>
        </w:rPr>
        <w:t xml:space="preserve">τις λειτουργικές </w:t>
      </w:r>
      <w:r w:rsidRPr="004F40E8">
        <w:rPr>
          <w:bCs/>
          <w:szCs w:val="22"/>
        </w:rPr>
        <w:t>δαπάνες και τις δαπάνες</w:t>
      </w:r>
      <w:r w:rsidRPr="004F40E8">
        <w:rPr>
          <w:bCs/>
        </w:rPr>
        <w:t xml:space="preserve"> για προμήθεια αγαθών και υπηρεσιών και</w:t>
      </w:r>
    </w:p>
    <w:p w:rsidR="004F40E8" w:rsidRPr="004F40E8" w:rsidRDefault="004F40E8" w:rsidP="00C42D86">
      <w:pPr>
        <w:numPr>
          <w:ilvl w:val="0"/>
          <w:numId w:val="5"/>
        </w:numPr>
        <w:jc w:val="both"/>
        <w:rPr>
          <w:bCs/>
        </w:rPr>
      </w:pPr>
      <w:r w:rsidRPr="004F40E8">
        <w:rPr>
          <w:bCs/>
        </w:rPr>
        <w:t>τις αντικριζόμενες δαπάνες (</w:t>
      </w:r>
      <w:r w:rsidRPr="004F40E8">
        <w:rPr>
          <w:bCs/>
          <w:szCs w:val="22"/>
        </w:rPr>
        <w:t>αποδόσεις</w:t>
      </w:r>
      <w:r w:rsidRPr="004F40E8">
        <w:rPr>
          <w:bCs/>
        </w:rPr>
        <w:t xml:space="preserve"> προς την ΕΕ και </w:t>
      </w:r>
      <w:r w:rsidRPr="004F40E8">
        <w:rPr>
          <w:bCs/>
          <w:szCs w:val="22"/>
        </w:rPr>
        <w:t>επιδοτήσεις</w:t>
      </w:r>
      <w:r w:rsidRPr="004F40E8">
        <w:rPr>
          <w:bCs/>
        </w:rPr>
        <w:t xml:space="preserve"> γεωργίας).</w:t>
      </w:r>
    </w:p>
    <w:p w:rsidR="004F40E8" w:rsidRPr="004F40E8" w:rsidRDefault="004F40E8" w:rsidP="004F40E8">
      <w:pPr>
        <w:ind w:left="348"/>
        <w:jc w:val="both"/>
        <w:rPr>
          <w:bCs/>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Αποδιδόμενοι πόροι</w:t>
      </w:r>
    </w:p>
    <w:p w:rsidR="004F40E8" w:rsidRPr="004F40E8" w:rsidRDefault="004F40E8" w:rsidP="004F40E8">
      <w:pPr>
        <w:jc w:val="both"/>
        <w:outlineLvl w:val="3"/>
        <w:rPr>
          <w:szCs w:val="22"/>
        </w:rPr>
      </w:pPr>
    </w:p>
    <w:p w:rsidR="004F40E8" w:rsidRPr="004F40E8" w:rsidRDefault="004F40E8" w:rsidP="004F40E8">
      <w:pPr>
        <w:jc w:val="both"/>
        <w:outlineLvl w:val="3"/>
        <w:rPr>
          <w:bCs/>
          <w:szCs w:val="22"/>
        </w:rPr>
      </w:pPr>
      <w:r w:rsidRPr="004F40E8">
        <w:rPr>
          <w:bCs/>
          <w:szCs w:val="22"/>
        </w:rPr>
        <w:t>Οι δαπάνες της κατηγορίας αυτής προβλέπεται να διαμορφωθούν στα 3.256 εκατ. ευρώ με</w:t>
      </w:r>
      <w:r w:rsidRPr="004F40E8">
        <w:rPr>
          <w:bCs/>
          <w:szCs w:val="22"/>
        </w:rPr>
        <w:t>ι</w:t>
      </w:r>
      <w:r w:rsidRPr="004F40E8">
        <w:rPr>
          <w:bCs/>
          <w:szCs w:val="22"/>
        </w:rPr>
        <w:t xml:space="preserve">ωμένες κατά 138 εκατ. ευρώ σε σχέση με </w:t>
      </w:r>
      <w:r w:rsidRPr="004F40E8">
        <w:rPr>
          <w:bCs/>
        </w:rPr>
        <w:t xml:space="preserve">τον </w:t>
      </w:r>
      <w:r w:rsidRPr="004F40E8">
        <w:rPr>
          <w:bCs/>
          <w:szCs w:val="22"/>
        </w:rPr>
        <w:t xml:space="preserve">στόχο που είχε συμπεριληφθεί στο ΜΠΔΣ 2018-2021. Η μείωση αυτή οφείλεται κυρίως στην αναθεωρημένη πρόβλεψη των Κεντρικών Αυτοτελών Πόρων (ΚΑΠ) στους ΟΤΑ. </w:t>
      </w:r>
    </w:p>
    <w:p w:rsidR="004F40E8" w:rsidRPr="004F40E8" w:rsidRDefault="004F40E8" w:rsidP="004F40E8">
      <w:pPr>
        <w:jc w:val="both"/>
        <w:rPr>
          <w:rFonts w:ascii="Arial Narrow" w:hAnsi="Arial Narrow"/>
          <w:b/>
          <w:bCs/>
          <w:i/>
          <w:sz w:val="22"/>
          <w:szCs w:val="22"/>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 xml:space="preserve">Αποθεματικό </w:t>
      </w:r>
    </w:p>
    <w:p w:rsidR="004F40E8" w:rsidRPr="004F40E8" w:rsidRDefault="004F40E8" w:rsidP="004F40E8">
      <w:pPr>
        <w:contextualSpacing/>
        <w:jc w:val="both"/>
        <w:rPr>
          <w:bCs/>
        </w:rPr>
      </w:pPr>
    </w:p>
    <w:p w:rsidR="004F40E8" w:rsidRPr="004F40E8" w:rsidRDefault="004F40E8" w:rsidP="004F40E8">
      <w:pPr>
        <w:contextualSpacing/>
        <w:jc w:val="both"/>
        <w:rPr>
          <w:bCs/>
        </w:rPr>
      </w:pPr>
      <w:r w:rsidRPr="004F40E8">
        <w:rPr>
          <w:bCs/>
        </w:rPr>
        <w:t>Για την αντιμετώπιση απρόβλεπτων και έκτακτου χαρακτήρα δαπανών, έχουν προβλεφθεί πιστώσεις ύψους 1 δισ. ευρώ.</w:t>
      </w:r>
    </w:p>
    <w:p w:rsidR="004F40E8" w:rsidRPr="004F40E8" w:rsidRDefault="004F40E8" w:rsidP="004F40E8">
      <w:pPr>
        <w:jc w:val="both"/>
        <w:rPr>
          <w:rFonts w:ascii="Arial Narrow" w:hAnsi="Arial Narrow"/>
          <w:b/>
          <w:bCs/>
          <w:i/>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Δαπάνες τόκων και δαπάνες ανάληψης δανείων από τον Ευρωπαϊκό Μηχανισμό Στήριξης (ΕΜΣ) και π</w:t>
      </w:r>
      <w:r w:rsidRPr="004F40E8">
        <w:rPr>
          <w:rFonts w:ascii="Arial Narrow" w:hAnsi="Arial Narrow"/>
          <w:b/>
          <w:bCs/>
          <w:i/>
          <w:sz w:val="22"/>
          <w:szCs w:val="22"/>
        </w:rPr>
        <w:t>α</w:t>
      </w:r>
      <w:r w:rsidRPr="004F40E8">
        <w:rPr>
          <w:rFonts w:ascii="Arial Narrow" w:hAnsi="Arial Narrow"/>
          <w:b/>
          <w:bCs/>
          <w:i/>
          <w:sz w:val="22"/>
          <w:szCs w:val="22"/>
        </w:rPr>
        <w:t>ράλληλες δαπάνες εξυπηρέτησης δημοσίου χρέους</w:t>
      </w:r>
    </w:p>
    <w:p w:rsidR="004F40E8" w:rsidRPr="004F40E8" w:rsidRDefault="004F40E8" w:rsidP="004F40E8">
      <w:pPr>
        <w:jc w:val="both"/>
        <w:rPr>
          <w:bCs/>
        </w:rPr>
      </w:pPr>
    </w:p>
    <w:p w:rsidR="004F40E8" w:rsidRPr="004F40E8" w:rsidRDefault="004F40E8" w:rsidP="004F40E8">
      <w:pPr>
        <w:jc w:val="both"/>
        <w:rPr>
          <w:bCs/>
        </w:rPr>
      </w:pPr>
      <w:r w:rsidRPr="004F40E8">
        <w:rPr>
          <w:bCs/>
        </w:rPr>
        <w:t>Οι ταμειακές δαπάνες (σε καθαρή βάση) για την κάλυψη των τόκων εκτιμάται ότι θα διαμο</w:t>
      </w:r>
      <w:r w:rsidRPr="004F40E8">
        <w:rPr>
          <w:bCs/>
        </w:rPr>
        <w:t>ρ</w:t>
      </w:r>
      <w:r w:rsidRPr="004F40E8">
        <w:rPr>
          <w:bCs/>
        </w:rPr>
        <w:t>φωθούν σε 5.700 εκατ. ευρώ έναντι στόχου 5.900 εκατ. ευρώ, ενώ οι δαπάνες ανάληψης δ</w:t>
      </w:r>
      <w:r w:rsidRPr="004F40E8">
        <w:rPr>
          <w:bCs/>
        </w:rPr>
        <w:t>α</w:t>
      </w:r>
      <w:r w:rsidRPr="004F40E8">
        <w:rPr>
          <w:bCs/>
        </w:rPr>
        <w:t>νείων από τον Ευρωπαϊκό Μηχανισμό Στήριξης και οι παράλληλες δαπάνες εξυπηρέτησης δημοσίου χρέους θα διαμορφωθούν σε 65 εκατ. ευρώ έναντι 20 εκατ. ευρώ που είχαν προ</w:t>
      </w:r>
      <w:r w:rsidRPr="004F40E8">
        <w:rPr>
          <w:bCs/>
        </w:rPr>
        <w:t>β</w:t>
      </w:r>
      <w:r w:rsidRPr="004F40E8">
        <w:rPr>
          <w:bCs/>
        </w:rPr>
        <w:t>λεφθεί στο ΜΠΔΣ 2018-2021.</w:t>
      </w:r>
    </w:p>
    <w:p w:rsidR="004F40E8" w:rsidRPr="004F40E8" w:rsidRDefault="004F40E8" w:rsidP="004F40E8">
      <w:pPr>
        <w:jc w:val="both"/>
        <w:rPr>
          <w:rFonts w:ascii="Arial Narrow" w:hAnsi="Arial Narrow"/>
          <w:b/>
          <w:bCs/>
          <w:i/>
          <w:color w:val="FFFFFF" w:themeColor="background1"/>
          <w:sz w:val="22"/>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 xml:space="preserve">Εξοπλιστικά προγράμματα </w:t>
      </w:r>
    </w:p>
    <w:p w:rsidR="004F40E8" w:rsidRPr="004F40E8" w:rsidRDefault="004F40E8" w:rsidP="004F40E8">
      <w:pPr>
        <w:jc w:val="both"/>
        <w:outlineLvl w:val="3"/>
        <w:rPr>
          <w:bCs/>
        </w:rPr>
      </w:pPr>
    </w:p>
    <w:p w:rsidR="004F40E8" w:rsidRPr="004F40E8" w:rsidRDefault="004F40E8" w:rsidP="004F40E8">
      <w:pPr>
        <w:jc w:val="both"/>
      </w:pPr>
      <w:r w:rsidRPr="004F40E8">
        <w:rPr>
          <w:bCs/>
        </w:rPr>
        <w:t xml:space="preserve">Οι ταμειακές δαπάνες για την υλοποίηση των εξοπλιστικών προγραμμάτων του Υπουργείου Εθνικής Άμυνας, προβλέπονται στα 510 εκατ. ευρώ, </w:t>
      </w:r>
      <w:r w:rsidRPr="004F40E8">
        <w:rPr>
          <w:bCs/>
          <w:szCs w:val="22"/>
        </w:rPr>
        <w:t xml:space="preserve">ενώ </w:t>
      </w:r>
      <w:r w:rsidRPr="004F40E8">
        <w:t>οι φυσικές παραλαβές (</w:t>
      </w:r>
      <w:proofErr w:type="spellStart"/>
      <w:r w:rsidRPr="004F40E8">
        <w:t>δημοσιολ</w:t>
      </w:r>
      <w:r w:rsidRPr="004F40E8">
        <w:t>ο</w:t>
      </w:r>
      <w:r w:rsidRPr="004F40E8">
        <w:t>γιστική</w:t>
      </w:r>
      <w:proofErr w:type="spellEnd"/>
      <w:r w:rsidRPr="004F40E8">
        <w:t xml:space="preserve"> βάση) θα διαμορφωθούν στα 306 εκατ. ευρώ.</w:t>
      </w:r>
    </w:p>
    <w:p w:rsidR="004F40E8" w:rsidRPr="004F40E8" w:rsidRDefault="004F40E8" w:rsidP="004F40E8">
      <w:pPr>
        <w:jc w:val="both"/>
        <w:outlineLvl w:val="3"/>
        <w:rPr>
          <w:bCs/>
        </w:rPr>
      </w:pPr>
    </w:p>
    <w:p w:rsidR="004F40E8" w:rsidRPr="004F40E8" w:rsidRDefault="004F40E8" w:rsidP="004F40E8">
      <w:pPr>
        <w:jc w:val="both"/>
        <w:rPr>
          <w:rFonts w:ascii="Arial Narrow" w:hAnsi="Arial Narrow"/>
          <w:b/>
          <w:bCs/>
          <w:i/>
          <w:sz w:val="22"/>
          <w:szCs w:val="22"/>
        </w:rPr>
      </w:pPr>
      <w:r w:rsidRPr="004F40E8">
        <w:rPr>
          <w:rFonts w:ascii="Arial Narrow" w:hAnsi="Arial Narrow"/>
          <w:b/>
          <w:bCs/>
          <w:i/>
          <w:sz w:val="22"/>
          <w:szCs w:val="22"/>
        </w:rPr>
        <w:t>Καταπτώσεις εγγυήσεων</w:t>
      </w:r>
    </w:p>
    <w:p w:rsidR="004F40E8" w:rsidRPr="004F40E8" w:rsidRDefault="004F40E8" w:rsidP="004F40E8">
      <w:pPr>
        <w:jc w:val="both"/>
        <w:outlineLvl w:val="3"/>
        <w:rPr>
          <w:szCs w:val="22"/>
        </w:rPr>
      </w:pPr>
    </w:p>
    <w:p w:rsidR="004F40E8" w:rsidRPr="004F40E8" w:rsidRDefault="004F40E8" w:rsidP="004F40E8">
      <w:pPr>
        <w:contextualSpacing/>
        <w:jc w:val="both"/>
      </w:pPr>
      <w:r w:rsidRPr="004F40E8">
        <w:rPr>
          <w:bCs/>
        </w:rPr>
        <w:t>Το συνολικό ύψος των δαπανών για καταπτώσεις εγγυήσεων προς φορείς εντός (σε ακαθ</w:t>
      </w:r>
      <w:r w:rsidRPr="004F40E8">
        <w:rPr>
          <w:bCs/>
        </w:rPr>
        <w:t>ά</w:t>
      </w:r>
      <w:r w:rsidRPr="004F40E8">
        <w:rPr>
          <w:bCs/>
        </w:rPr>
        <w:t>ριστη βάση) και εκτός Γενικής Κυβέρνησης, εκτιμάται ότι θα διαμορφωθεί στα 970 εκατ. ε</w:t>
      </w:r>
      <w:r w:rsidRPr="004F40E8">
        <w:rPr>
          <w:bCs/>
        </w:rPr>
        <w:t>υ</w:t>
      </w:r>
      <w:r w:rsidRPr="004F40E8">
        <w:rPr>
          <w:bCs/>
        </w:rPr>
        <w:t xml:space="preserve">ρώ, μειωμένο κατά 75 εκατ. ευρώ σε σχέση </w:t>
      </w:r>
      <w:r w:rsidRPr="004F40E8">
        <w:t>με το στόχο του ΜΠΔΣ, λόγω της επανεκτίμησης των καταπτώσεων εγγυήσεων σε φορείς εκτός Γενικής Κυβέρνησης</w:t>
      </w:r>
      <w:r w:rsidRPr="004F40E8">
        <w:rPr>
          <w:bCs/>
        </w:rPr>
        <w:t>.</w:t>
      </w:r>
    </w:p>
    <w:p w:rsidR="004F40E8" w:rsidRPr="004F40E8" w:rsidRDefault="004F40E8" w:rsidP="004F40E8">
      <w:pPr>
        <w:contextualSpacing/>
        <w:jc w:val="both"/>
        <w:outlineLvl w:val="3"/>
        <w:rPr>
          <w:bCs/>
        </w:rPr>
      </w:pPr>
    </w:p>
    <w:p w:rsidR="004F40E8" w:rsidRPr="004F40E8" w:rsidRDefault="004F40E8" w:rsidP="004F40E8">
      <w:pPr>
        <w:contextualSpacing/>
        <w:jc w:val="both"/>
        <w:outlineLvl w:val="3"/>
        <w:rPr>
          <w:bCs/>
        </w:rPr>
      </w:pPr>
    </w:p>
    <w:p w:rsidR="004F40E8" w:rsidRPr="004F40E8" w:rsidRDefault="004F40E8" w:rsidP="004F40E8">
      <w:pPr>
        <w:contextualSpacing/>
        <w:jc w:val="both"/>
        <w:outlineLvl w:val="3"/>
        <w:rPr>
          <w:bCs/>
        </w:rPr>
      </w:pPr>
    </w:p>
    <w:p w:rsidR="004F40E8" w:rsidRPr="004F40E8" w:rsidRDefault="004F40E8" w:rsidP="004F40E8">
      <w:pPr>
        <w:contextualSpacing/>
        <w:jc w:val="both"/>
        <w:outlineLvl w:val="3"/>
        <w:rPr>
          <w:bCs/>
        </w:rPr>
      </w:pPr>
    </w:p>
    <w:p w:rsidR="004F40E8" w:rsidRPr="004F40E8" w:rsidRDefault="004F40E8" w:rsidP="004F40E8">
      <w:pPr>
        <w:contextualSpacing/>
        <w:jc w:val="both"/>
        <w:outlineLvl w:val="3"/>
        <w:rPr>
          <w:bCs/>
        </w:rPr>
      </w:pPr>
    </w:p>
    <w:p w:rsidR="004F40E8" w:rsidRPr="004F40E8" w:rsidRDefault="004F40E8" w:rsidP="004F40E8">
      <w:pPr>
        <w:contextualSpacing/>
        <w:jc w:val="both"/>
        <w:rPr>
          <w:rFonts w:ascii="Arial Narrow" w:hAnsi="Arial Narrow"/>
          <w:b/>
          <w:color w:val="000080"/>
        </w:rPr>
      </w:pPr>
      <w:r w:rsidRPr="004F40E8">
        <w:rPr>
          <w:rFonts w:ascii="Arial Narrow" w:hAnsi="Arial Narrow"/>
          <w:b/>
          <w:color w:val="000080"/>
        </w:rPr>
        <w:lastRenderedPageBreak/>
        <w:t>2.3</w:t>
      </w:r>
      <w:r w:rsidRPr="004F40E8">
        <w:rPr>
          <w:rFonts w:ascii="Arial Narrow" w:hAnsi="Arial Narrow"/>
          <w:b/>
          <w:color w:val="000080"/>
        </w:rPr>
        <w:tab/>
        <w:t>Πρόγραμμα Δημοσίων Επενδύσεων (ΠΔΕ)</w:t>
      </w:r>
    </w:p>
    <w:p w:rsidR="004F40E8" w:rsidRPr="004F40E8" w:rsidRDefault="004F40E8" w:rsidP="004F40E8">
      <w:pPr>
        <w:contextualSpacing/>
        <w:jc w:val="both"/>
      </w:pPr>
    </w:p>
    <w:p w:rsidR="004F40E8" w:rsidRPr="004F40E8" w:rsidRDefault="004F40E8" w:rsidP="004F40E8">
      <w:pPr>
        <w:contextualSpacing/>
        <w:jc w:val="both"/>
        <w:outlineLvl w:val="3"/>
      </w:pPr>
      <w:r w:rsidRPr="004F40E8">
        <w:t>Το ΠΔΕ χρηματοδοτεί την αναπτυξιακή πολιτική της χώρας με δράσεις που συμβάλλουν στην αύξηση του ιδιωτικού και δημόσιου κεφαλαίου της οικονομίας και στηρίζουν την αν</w:t>
      </w:r>
      <w:r w:rsidRPr="004F40E8">
        <w:t>α</w:t>
      </w:r>
      <w:r w:rsidRPr="004F40E8">
        <w:t xml:space="preserve">πτυξιακή διαδικασία και τον εκσυγχρονισμό της χώρας σε μακροχρόνια βάση. </w:t>
      </w:r>
    </w:p>
    <w:p w:rsidR="004F40E8" w:rsidRPr="004F40E8" w:rsidRDefault="004F40E8" w:rsidP="004F40E8">
      <w:pPr>
        <w:contextualSpacing/>
        <w:jc w:val="both"/>
        <w:outlineLvl w:val="3"/>
      </w:pPr>
    </w:p>
    <w:p w:rsidR="004F40E8" w:rsidRPr="004F40E8" w:rsidRDefault="004F40E8" w:rsidP="004F40E8">
      <w:pPr>
        <w:contextualSpacing/>
        <w:jc w:val="both"/>
        <w:outlineLvl w:val="3"/>
      </w:pPr>
      <w:r w:rsidRPr="004F40E8">
        <w:t>Για το έτος 2018 προβλέπεται η διάθεση πόρων ύψους 6,75 δισ. ευρώ, στα ίδια επίπεδα με το έτος 2017, με κατανομή της συνολικής δαπάνης μεταξύ των έργων που θα συγχρηματοδοτ</w:t>
      </w:r>
      <w:r w:rsidRPr="004F40E8">
        <w:t>η</w:t>
      </w:r>
      <w:r w:rsidRPr="004F40E8">
        <w:t>θούν από πόρους της Ευρωπαϊκής Ένωσης ύψους 5,75 δισ. ευρώ και εκείνων που θα χρημ</w:t>
      </w:r>
      <w:r w:rsidRPr="004F40E8">
        <w:t>α</w:t>
      </w:r>
      <w:r w:rsidRPr="004F40E8">
        <w:t>τοδοτηθούν αποκλειστικά από εθνικούς πόρους (1 δισ. ευρώ).</w:t>
      </w:r>
    </w:p>
    <w:p w:rsidR="004F40E8" w:rsidRPr="004F40E8" w:rsidRDefault="004F40E8" w:rsidP="004F40E8">
      <w:pPr>
        <w:contextualSpacing/>
        <w:jc w:val="both"/>
        <w:outlineLvl w:val="3"/>
      </w:pPr>
    </w:p>
    <w:p w:rsidR="004F40E8" w:rsidRPr="004F40E8" w:rsidRDefault="004F40E8" w:rsidP="004F40E8">
      <w:pPr>
        <w:contextualSpacing/>
        <w:jc w:val="both"/>
        <w:outlineLvl w:val="3"/>
      </w:pPr>
      <w:r w:rsidRPr="004F40E8">
        <w:t>Από το σύνολο της συγχρηματοδοτούμενης δαπάνης, ποσό ύψους 4,06 δισ. ευρώ αφορά δρ</w:t>
      </w:r>
      <w:r w:rsidRPr="004F40E8">
        <w:t>ά</w:t>
      </w:r>
      <w:r w:rsidRPr="004F40E8">
        <w:t>σεις του νέου ΕΣΠΑ (περιόδου 2014-2020), ενώ ποσό ύψους 1,69 δισ. ευρώ θα διατεθεί για τη χρηματοδότηση άλλων συγχρηματοδοτούμενων προγραμμάτων.</w:t>
      </w:r>
    </w:p>
    <w:p w:rsidR="004F40E8" w:rsidRPr="004F40E8" w:rsidRDefault="004F40E8" w:rsidP="004F40E8">
      <w:pPr>
        <w:contextualSpacing/>
        <w:jc w:val="both"/>
        <w:outlineLvl w:val="3"/>
        <w:rPr>
          <w:bCs/>
        </w:rPr>
      </w:pPr>
    </w:p>
    <w:p w:rsidR="004F40E8" w:rsidRPr="004F40E8" w:rsidRDefault="004F40E8" w:rsidP="004F40E8">
      <w:pPr>
        <w:contextualSpacing/>
        <w:jc w:val="both"/>
        <w:outlineLvl w:val="3"/>
      </w:pPr>
      <w:r w:rsidRPr="004F40E8">
        <w:rPr>
          <w:bCs/>
        </w:rPr>
        <w:t xml:space="preserve">Σταθερή επιδίωξη για την υλοποίηση </w:t>
      </w:r>
      <w:r w:rsidRPr="004F40E8">
        <w:t>του συγχρηματοδοτούμενου σκέλους του ΠΔΕ και για το 2018 παραμένει η απορρόφηση των πόρων, έτσι ώστε να εξασφαλιστεί η εισροή της αν</w:t>
      </w:r>
      <w:r w:rsidRPr="004F40E8">
        <w:t>α</w:t>
      </w:r>
      <w:r w:rsidRPr="004F40E8">
        <w:t>λογούσας κοινοτικής συνδρομής.</w:t>
      </w:r>
    </w:p>
    <w:p w:rsidR="004F40E8" w:rsidRPr="004F40E8" w:rsidRDefault="004F40E8" w:rsidP="004F40E8">
      <w:pPr>
        <w:contextualSpacing/>
        <w:jc w:val="both"/>
        <w:outlineLvl w:val="3"/>
      </w:pPr>
    </w:p>
    <w:p w:rsidR="004F40E8" w:rsidRPr="004F40E8" w:rsidRDefault="004F40E8" w:rsidP="004F40E8">
      <w:pPr>
        <w:contextualSpacing/>
        <w:jc w:val="both"/>
        <w:outlineLvl w:val="3"/>
      </w:pPr>
      <w:r w:rsidRPr="004F40E8">
        <w:t xml:space="preserve">Ο στόχος αυτός, θα συνδράμει θετικά στο δημοσιονομικό αποτέλεσμα και στην προώθηση της αναπτυξιακής πολιτικής και θα απαιτήσει την εντατικοποίηση των ενεργειών για την </w:t>
      </w:r>
      <w:r w:rsidRPr="004F40E8">
        <w:t>ε</w:t>
      </w:r>
      <w:r w:rsidRPr="004F40E8">
        <w:t>πίσπευση της υλοποίησης των προγραμμάτων του νέου ΕΣΠΑ. Στο πλαίσιο αυτό εξακολο</w:t>
      </w:r>
      <w:r w:rsidRPr="004F40E8">
        <w:t>υ</w:t>
      </w:r>
      <w:r w:rsidRPr="004F40E8">
        <w:t>θούν να αποτελούν προτεραιότητα οι τομείς των μεγάλων έργων υποδομών (οδικά έργα, σ</w:t>
      </w:r>
      <w:r w:rsidRPr="004F40E8">
        <w:t>ι</w:t>
      </w:r>
      <w:r w:rsidRPr="004F40E8">
        <w:t>δηρόδρομοι, μετρό κ.λπ.), η προώθηση της επιχειρηματικότητας (κυρίως στους τομείς της μ</w:t>
      </w:r>
      <w:r w:rsidRPr="004F40E8">
        <w:t>ε</w:t>
      </w:r>
      <w:r w:rsidRPr="004F40E8">
        <w:t xml:space="preserve">ταποίησης και του τουρισμού), η ενίσχυση της απασχόλησης, η εκπαίδευση και κατάρτιση, οι τομείς της υγείας και της πρόνοιας, η προστασία του περιβάλλοντος, τα έργα υποδομών των ΟΤΑ όλης της χώρας και οι δράσεις για τη διοικητική μεταρρύθμιση. </w:t>
      </w:r>
    </w:p>
    <w:p w:rsidR="004F40E8" w:rsidRPr="004F40E8" w:rsidRDefault="004F40E8" w:rsidP="004F40E8">
      <w:pPr>
        <w:contextualSpacing/>
        <w:jc w:val="both"/>
        <w:outlineLvl w:val="3"/>
      </w:pPr>
    </w:p>
    <w:p w:rsidR="004F40E8" w:rsidRPr="004F40E8" w:rsidRDefault="004F40E8" w:rsidP="004F40E8">
      <w:pPr>
        <w:contextualSpacing/>
        <w:jc w:val="both"/>
        <w:outlineLvl w:val="3"/>
      </w:pPr>
      <w:r w:rsidRPr="004F40E8">
        <w:t>Σε ό,τι αφορά τέλος το σκέλος του ΠΔΕ που χρηματοδοτείται από αμιγώς εθνικούς πόρους, η σχετική δαπάνη θα διατεθεί για την ενίσχυση των πολιτικών και δράσεων των Υπουργείων και των Περιφερειών καθώς και την αντιμετώπιση έκτακτων αναγκών.</w:t>
      </w:r>
    </w:p>
    <w:p w:rsidR="004F40E8" w:rsidRPr="004F40E8" w:rsidRDefault="004F40E8" w:rsidP="004F40E8">
      <w:pPr>
        <w:contextualSpacing/>
        <w:jc w:val="both"/>
        <w:outlineLvl w:val="3"/>
        <w:rPr>
          <w:szCs w:val="22"/>
        </w:rPr>
      </w:pPr>
    </w:p>
    <w:p w:rsidR="004F40E8" w:rsidRPr="004F40E8" w:rsidRDefault="004F40E8" w:rsidP="004F40E8">
      <w:pPr>
        <w:contextualSpacing/>
        <w:jc w:val="both"/>
        <w:rPr>
          <w:rFonts w:ascii="Arial Narrow" w:hAnsi="Arial Narrow"/>
          <w:b/>
          <w:bCs/>
          <w:color w:val="000080"/>
          <w:szCs w:val="22"/>
        </w:rPr>
      </w:pPr>
      <w:r w:rsidRPr="004F40E8">
        <w:rPr>
          <w:rFonts w:ascii="Arial Narrow" w:hAnsi="Arial Narrow"/>
          <w:b/>
          <w:bCs/>
          <w:color w:val="000080"/>
          <w:szCs w:val="22"/>
        </w:rPr>
        <w:t>2.4</w:t>
      </w:r>
      <w:r w:rsidRPr="004F40E8">
        <w:rPr>
          <w:rFonts w:ascii="Arial Narrow" w:hAnsi="Arial Narrow"/>
          <w:b/>
          <w:bCs/>
          <w:color w:val="000080"/>
          <w:szCs w:val="22"/>
        </w:rPr>
        <w:tab/>
        <w:t>Λοιποί τομείς Γενικής Κυβέρνησης</w:t>
      </w:r>
    </w:p>
    <w:p w:rsidR="004F40E8" w:rsidRPr="004F40E8" w:rsidRDefault="004F40E8" w:rsidP="004F40E8">
      <w:pPr>
        <w:contextualSpacing/>
        <w:jc w:val="both"/>
        <w:outlineLvl w:val="3"/>
        <w:rPr>
          <w:szCs w:val="22"/>
        </w:rPr>
      </w:pPr>
    </w:p>
    <w:p w:rsidR="004F40E8" w:rsidRPr="004F40E8" w:rsidRDefault="004F40E8" w:rsidP="004F40E8">
      <w:pPr>
        <w:tabs>
          <w:tab w:val="left" w:pos="360"/>
        </w:tabs>
        <w:contextualSpacing/>
        <w:jc w:val="both"/>
        <w:rPr>
          <w:rFonts w:ascii="Arial Narrow" w:hAnsi="Arial Narrow"/>
          <w:b/>
          <w:i/>
          <w:color w:val="000080"/>
          <w:sz w:val="22"/>
          <w:szCs w:val="22"/>
        </w:rPr>
      </w:pPr>
      <w:r w:rsidRPr="004F40E8">
        <w:rPr>
          <w:rFonts w:ascii="Arial Narrow" w:hAnsi="Arial Narrow"/>
          <w:b/>
          <w:i/>
          <w:color w:val="000080"/>
          <w:sz w:val="22"/>
          <w:szCs w:val="22"/>
        </w:rPr>
        <w:t>Νομικά Πρόσωπα Δημοσίου Δικαίου και Ιδιωτικού Δικαίου</w:t>
      </w:r>
    </w:p>
    <w:p w:rsidR="004F40E8" w:rsidRPr="004F40E8" w:rsidRDefault="004F40E8" w:rsidP="004F40E8">
      <w:pPr>
        <w:contextualSpacing/>
        <w:jc w:val="both"/>
        <w:outlineLvl w:val="3"/>
        <w:rPr>
          <w:szCs w:val="22"/>
        </w:rPr>
      </w:pPr>
    </w:p>
    <w:p w:rsidR="004F40E8" w:rsidRPr="004F40E8" w:rsidRDefault="004F40E8" w:rsidP="004F40E8">
      <w:pPr>
        <w:contextualSpacing/>
        <w:jc w:val="both"/>
        <w:outlineLvl w:val="3"/>
        <w:rPr>
          <w:szCs w:val="22"/>
        </w:rPr>
      </w:pPr>
      <w:r w:rsidRPr="004F40E8">
        <w:rPr>
          <w:szCs w:val="22"/>
        </w:rPr>
        <w:t>Το δημοσιονομικό αποτέλεσμα των νομικών προσώπων για το έτος 2018 εκτιμάται ότι θα δ</w:t>
      </w:r>
      <w:r w:rsidRPr="004F40E8">
        <w:rPr>
          <w:szCs w:val="22"/>
        </w:rPr>
        <w:t>ι</w:t>
      </w:r>
      <w:r w:rsidRPr="004F40E8">
        <w:rPr>
          <w:szCs w:val="22"/>
        </w:rPr>
        <w:t xml:space="preserve">αμορφωθεί στα 1.290 εκατ. ευρώ, περίπου στο ύψος του στόχου του ΜΠΔΣ 2018-2021. </w:t>
      </w:r>
    </w:p>
    <w:p w:rsidR="004F40E8" w:rsidRPr="004F40E8" w:rsidRDefault="004F40E8" w:rsidP="004F40E8">
      <w:pPr>
        <w:tabs>
          <w:tab w:val="left" w:pos="360"/>
        </w:tabs>
        <w:contextualSpacing/>
        <w:jc w:val="both"/>
        <w:rPr>
          <w:rFonts w:ascii="Arial Narrow" w:hAnsi="Arial Narrow"/>
          <w:b/>
          <w:i/>
          <w:color w:val="000080"/>
          <w:sz w:val="22"/>
          <w:szCs w:val="22"/>
        </w:rPr>
      </w:pPr>
    </w:p>
    <w:p w:rsidR="004F40E8" w:rsidRPr="004F40E8" w:rsidRDefault="004F40E8" w:rsidP="004F40E8">
      <w:pPr>
        <w:tabs>
          <w:tab w:val="left" w:pos="360"/>
        </w:tabs>
        <w:contextualSpacing/>
        <w:jc w:val="both"/>
        <w:rPr>
          <w:rFonts w:ascii="Arial Narrow" w:hAnsi="Arial Narrow"/>
          <w:b/>
          <w:i/>
          <w:color w:val="000080"/>
          <w:sz w:val="22"/>
          <w:szCs w:val="22"/>
        </w:rPr>
      </w:pPr>
      <w:proofErr w:type="spellStart"/>
      <w:r w:rsidRPr="004F40E8">
        <w:rPr>
          <w:rFonts w:ascii="Arial Narrow" w:hAnsi="Arial Narrow"/>
          <w:b/>
          <w:i/>
          <w:color w:val="000080"/>
          <w:sz w:val="22"/>
          <w:szCs w:val="22"/>
        </w:rPr>
        <w:t>Επαναταξινομημένες</w:t>
      </w:r>
      <w:proofErr w:type="spellEnd"/>
      <w:r w:rsidRPr="004F40E8">
        <w:rPr>
          <w:rFonts w:ascii="Arial Narrow" w:hAnsi="Arial Narrow"/>
          <w:b/>
          <w:i/>
          <w:color w:val="000080"/>
          <w:sz w:val="22"/>
          <w:szCs w:val="22"/>
        </w:rPr>
        <w:t xml:space="preserve"> ΔΕΚΟ</w:t>
      </w:r>
    </w:p>
    <w:p w:rsidR="004F40E8" w:rsidRPr="004F40E8" w:rsidRDefault="004F40E8" w:rsidP="004F40E8">
      <w:pPr>
        <w:contextualSpacing/>
        <w:jc w:val="both"/>
        <w:outlineLvl w:val="3"/>
        <w:rPr>
          <w:szCs w:val="22"/>
        </w:rPr>
      </w:pPr>
    </w:p>
    <w:p w:rsidR="004F40E8" w:rsidRPr="004F40E8" w:rsidRDefault="004F40E8" w:rsidP="004F40E8">
      <w:pPr>
        <w:contextualSpacing/>
        <w:jc w:val="both"/>
        <w:outlineLvl w:val="3"/>
        <w:rPr>
          <w:szCs w:val="22"/>
        </w:rPr>
      </w:pPr>
      <w:r w:rsidRPr="004F40E8">
        <w:rPr>
          <w:szCs w:val="22"/>
        </w:rPr>
        <w:t xml:space="preserve">Το δημοσιονομικό αποτέλεσμα των </w:t>
      </w:r>
      <w:proofErr w:type="spellStart"/>
      <w:r w:rsidRPr="004F40E8">
        <w:rPr>
          <w:szCs w:val="22"/>
        </w:rPr>
        <w:t>επαναταξινομημένων</w:t>
      </w:r>
      <w:proofErr w:type="spellEnd"/>
      <w:r w:rsidRPr="004F40E8">
        <w:rPr>
          <w:szCs w:val="22"/>
        </w:rPr>
        <w:t xml:space="preserve"> ΔΕΚΟ για το έτος 2018 αναμένεται να διαμορφωθεί στα 768 εκατ. ευρώ, μειωμένο κατά 87 εκατ. ευρώ σε σχέση με το ΜΠΔΣ 2018-2021. Ωστόσο, η μείωση αυτή οφείλεται σε μεθοδολογική αλλαγή (έχουν περιληφθεί και τα μεγέθη ΕΛΕΓΕΠ), δημοσιονομικά ουδέτερη σε επίπεδο Γενικής Κυβέρνησης. </w:t>
      </w:r>
    </w:p>
    <w:p w:rsidR="004F40E8" w:rsidRPr="004F40E8" w:rsidRDefault="004F40E8" w:rsidP="004F40E8">
      <w:pPr>
        <w:contextualSpacing/>
        <w:jc w:val="both"/>
        <w:outlineLvl w:val="3"/>
        <w:rPr>
          <w:szCs w:val="22"/>
        </w:rPr>
      </w:pPr>
    </w:p>
    <w:p w:rsidR="004F40E8" w:rsidRPr="004F40E8" w:rsidRDefault="004F40E8" w:rsidP="004F40E8">
      <w:pPr>
        <w:tabs>
          <w:tab w:val="left" w:pos="360"/>
        </w:tabs>
        <w:contextualSpacing/>
        <w:jc w:val="both"/>
        <w:rPr>
          <w:rFonts w:ascii="Arial Narrow" w:hAnsi="Arial Narrow"/>
          <w:b/>
          <w:i/>
          <w:color w:val="000080"/>
          <w:sz w:val="22"/>
          <w:szCs w:val="22"/>
        </w:rPr>
      </w:pPr>
      <w:r w:rsidRPr="004F40E8">
        <w:rPr>
          <w:rFonts w:ascii="Arial Narrow" w:hAnsi="Arial Narrow"/>
          <w:b/>
          <w:i/>
          <w:color w:val="000080"/>
          <w:sz w:val="22"/>
          <w:szCs w:val="22"/>
        </w:rPr>
        <w:t>Τοπική Αυτοδιοίκηση</w:t>
      </w:r>
    </w:p>
    <w:p w:rsidR="004F40E8" w:rsidRPr="004F40E8" w:rsidRDefault="004F40E8" w:rsidP="004F40E8">
      <w:pPr>
        <w:contextualSpacing/>
        <w:jc w:val="both"/>
      </w:pPr>
    </w:p>
    <w:p w:rsidR="004F40E8" w:rsidRPr="004F40E8" w:rsidRDefault="004F40E8" w:rsidP="004F40E8">
      <w:pPr>
        <w:contextualSpacing/>
        <w:jc w:val="both"/>
      </w:pPr>
      <w:r w:rsidRPr="004F40E8">
        <w:t>Το δημοσιονομικό αποτέλεσμα του ενοποιημένου Προϋπολογισμού της Τοπικής Αυτοδιο</w:t>
      </w:r>
      <w:r w:rsidRPr="004F40E8">
        <w:t>ί</w:t>
      </w:r>
      <w:r w:rsidRPr="004F40E8">
        <w:t>κησης, προβλέπεται να διαμορφωθεί σε πλεόνασμα ύψους 169 εκατ. ευρώ για το 2018, μει</w:t>
      </w:r>
      <w:r w:rsidRPr="004F40E8">
        <w:t>ω</w:t>
      </w:r>
      <w:r w:rsidRPr="004F40E8">
        <w:lastRenderedPageBreak/>
        <w:t>μένο έναντι του στόχου κατά 229 εκατ. ευρώ. Η απόκλιση αυτή οφείλεται κυρίως στις προ</w:t>
      </w:r>
      <w:r w:rsidRPr="004F40E8">
        <w:t>β</w:t>
      </w:r>
      <w:r w:rsidRPr="004F40E8">
        <w:t xml:space="preserve">λέψεις για: </w:t>
      </w:r>
    </w:p>
    <w:p w:rsidR="004F40E8" w:rsidRPr="004F40E8" w:rsidRDefault="004F40E8" w:rsidP="004F40E8">
      <w:pPr>
        <w:contextualSpacing/>
        <w:jc w:val="both"/>
      </w:pPr>
    </w:p>
    <w:p w:rsidR="004F40E8" w:rsidRPr="004F40E8" w:rsidRDefault="004F40E8" w:rsidP="00C42D86">
      <w:pPr>
        <w:numPr>
          <w:ilvl w:val="0"/>
          <w:numId w:val="12"/>
        </w:numPr>
        <w:ind w:left="284" w:hanging="284"/>
        <w:contextualSpacing/>
        <w:jc w:val="both"/>
      </w:pPr>
      <w:r w:rsidRPr="004F40E8">
        <w:t xml:space="preserve">μειωμένες αποδόσεις από τον Τακτικό Προϋπολογισμό μέσω των Κεντρικών Αυτοτελών Πόρων (ΚΑΠ) κατά 129 εκατ. ευρώ, σε σχέση με το ΜΠΔΣ 2018-2021, λόγω της νέας μειωμένης πρόβλεψης κυρίως του φόρου εισοδήματος φυσικών προσώπων (ΦΕΦΠ) του Τακτικού Προϋπολογισμού, που διαμορφώνουν τους ΚΑΠ, </w:t>
      </w:r>
    </w:p>
    <w:p w:rsidR="004F40E8" w:rsidRPr="004F40E8" w:rsidRDefault="004F40E8" w:rsidP="00C42D86">
      <w:pPr>
        <w:numPr>
          <w:ilvl w:val="0"/>
          <w:numId w:val="12"/>
        </w:numPr>
        <w:ind w:left="284" w:hanging="284"/>
        <w:contextualSpacing/>
        <w:jc w:val="both"/>
      </w:pPr>
      <w:r w:rsidRPr="004F40E8">
        <w:t>αύξηση των αμοιβών προσωπικού κατά 77 εκατ. ευρώ, κυρίως λόγω της ένταξης Νομικών Προσώπων Ιδιωτικού Δικαίου των ΟΤΑ στο μητρώο φορέων της Γενικής Κυβέρνησης,</w:t>
      </w:r>
      <w:r w:rsidRPr="004F40E8" w:rsidDel="00A805A7">
        <w:t xml:space="preserve"> </w:t>
      </w:r>
    </w:p>
    <w:p w:rsidR="004F40E8" w:rsidRPr="004F40E8" w:rsidRDefault="004F40E8" w:rsidP="00C42D86">
      <w:pPr>
        <w:numPr>
          <w:ilvl w:val="0"/>
          <w:numId w:val="12"/>
        </w:numPr>
        <w:ind w:left="284" w:hanging="284"/>
        <w:contextualSpacing/>
        <w:jc w:val="both"/>
      </w:pPr>
      <w:r w:rsidRPr="004F40E8">
        <w:t>αύξηση των λοιπών λειτουργικών δαπανών, κατά 30 εκατ. ευρώ.</w:t>
      </w:r>
    </w:p>
    <w:p w:rsidR="004F40E8" w:rsidRPr="004F40E8" w:rsidRDefault="004F40E8" w:rsidP="004F40E8">
      <w:pPr>
        <w:contextualSpacing/>
        <w:jc w:val="both"/>
      </w:pPr>
    </w:p>
    <w:p w:rsidR="004F40E8" w:rsidRPr="004F40E8" w:rsidRDefault="004F40E8" w:rsidP="004F40E8">
      <w:pPr>
        <w:contextualSpacing/>
        <w:jc w:val="both"/>
      </w:pPr>
      <w:r w:rsidRPr="004F40E8">
        <w:t xml:space="preserve">Αντίθετα, η προβλεπόμενη μείωση των απλήρωτων υποχρεώσεων κατά 16 εκατ. ευρώ θα </w:t>
      </w:r>
      <w:r w:rsidRPr="004F40E8">
        <w:t>ε</w:t>
      </w:r>
      <w:r w:rsidRPr="004F40E8">
        <w:t>πιφέρει ανάλογη βελτίωση στο ισοζύγιο των ΟΤΑ.</w:t>
      </w:r>
    </w:p>
    <w:p w:rsidR="004F40E8" w:rsidRPr="004F40E8" w:rsidRDefault="004F40E8" w:rsidP="004F40E8">
      <w:pPr>
        <w:contextualSpacing/>
        <w:jc w:val="both"/>
        <w:outlineLvl w:val="3"/>
        <w:rPr>
          <w:rFonts w:ascii="Arial Narrow" w:hAnsi="Arial Narrow"/>
          <w:szCs w:val="22"/>
        </w:rPr>
      </w:pPr>
    </w:p>
    <w:p w:rsidR="004F40E8" w:rsidRPr="004F40E8" w:rsidRDefault="004F40E8" w:rsidP="004F40E8">
      <w:pPr>
        <w:tabs>
          <w:tab w:val="left" w:pos="360"/>
        </w:tabs>
        <w:contextualSpacing/>
        <w:jc w:val="both"/>
        <w:rPr>
          <w:rFonts w:ascii="Arial Narrow" w:hAnsi="Arial Narrow"/>
          <w:b/>
          <w:i/>
          <w:color w:val="000080"/>
          <w:sz w:val="22"/>
          <w:szCs w:val="22"/>
        </w:rPr>
      </w:pPr>
      <w:r w:rsidRPr="004F40E8">
        <w:rPr>
          <w:rFonts w:ascii="Arial Narrow" w:hAnsi="Arial Narrow"/>
          <w:b/>
          <w:i/>
          <w:color w:val="000080"/>
          <w:sz w:val="22"/>
          <w:szCs w:val="22"/>
        </w:rPr>
        <w:t>Οργανισμοί Κοινωνικής Ασφάλισης (ΟΚΑ)</w:t>
      </w:r>
    </w:p>
    <w:p w:rsidR="004F40E8" w:rsidRPr="004F40E8" w:rsidRDefault="004F40E8" w:rsidP="004F40E8">
      <w:pPr>
        <w:tabs>
          <w:tab w:val="left" w:pos="360"/>
        </w:tabs>
        <w:contextualSpacing/>
        <w:jc w:val="both"/>
      </w:pPr>
    </w:p>
    <w:p w:rsidR="004F40E8" w:rsidRPr="004F40E8" w:rsidRDefault="004F40E8" w:rsidP="004F40E8">
      <w:pPr>
        <w:tabs>
          <w:tab w:val="left" w:pos="360"/>
        </w:tabs>
        <w:contextualSpacing/>
        <w:jc w:val="both"/>
      </w:pPr>
      <w:r w:rsidRPr="004F40E8">
        <w:t>Το ταμειακό ισοζύγιο των Οργανισμών Κοινωνικής Ασφάλισης (Ασφαλιστικά Ταμεία, Ο</w:t>
      </w:r>
      <w:r w:rsidRPr="004F40E8">
        <w:t>ρ</w:t>
      </w:r>
      <w:r w:rsidRPr="004F40E8">
        <w:t xml:space="preserve">γανισμοί Απασχόλησης και ΕΟΠΥΥ) προβλέπεται να διαμορφωθεί σε πλεόνασμα ύψους 1.290 εκατ. ευρώ, βελτιωμένο κατά 1.362 εκατ. ευρώ σε σχέση με τις προβλέψεις που είχαν περιληφθεί στο ΜΠΔΣ 2018-2021 (έλλειμμα ύψους 72 εκατ. ευρώ). </w:t>
      </w:r>
    </w:p>
    <w:p w:rsidR="004F40E8" w:rsidRPr="004F40E8" w:rsidRDefault="004F40E8" w:rsidP="004F40E8">
      <w:pPr>
        <w:tabs>
          <w:tab w:val="left" w:pos="360"/>
        </w:tabs>
        <w:contextualSpacing/>
        <w:jc w:val="both"/>
      </w:pPr>
    </w:p>
    <w:p w:rsidR="004F40E8" w:rsidRPr="004F40E8" w:rsidRDefault="004F40E8" w:rsidP="004F40E8">
      <w:pPr>
        <w:tabs>
          <w:tab w:val="left" w:pos="360"/>
        </w:tabs>
        <w:contextualSpacing/>
        <w:jc w:val="both"/>
      </w:pPr>
      <w:r w:rsidRPr="004F40E8">
        <w:t xml:space="preserve">Παράλληλα, το δημοσιονομικό αποτέλεσμα των ΟΚΑ προβλέπεται να βελτιωθεί κατά 1.341 εκατ. ευρώ και να διαμορφωθεί σε πλεόνασμα ύψους 1.516 εκατ. ευρώ έναντι στόχου ΜΠΔΣ για πλεόνασμα ύψους 175 εκατ. ευρώ. </w:t>
      </w:r>
    </w:p>
    <w:p w:rsidR="004F40E8" w:rsidRPr="004F40E8" w:rsidRDefault="004F40E8" w:rsidP="004F40E8">
      <w:pPr>
        <w:contextualSpacing/>
        <w:jc w:val="both"/>
        <w:outlineLvl w:val="3"/>
      </w:pPr>
    </w:p>
    <w:p w:rsidR="004F40E8" w:rsidRPr="004F40E8" w:rsidRDefault="004F40E8" w:rsidP="00C42D86">
      <w:pPr>
        <w:numPr>
          <w:ilvl w:val="0"/>
          <w:numId w:val="4"/>
        </w:numPr>
        <w:contextualSpacing/>
        <w:jc w:val="both"/>
        <w:rPr>
          <w:rFonts w:ascii="Arial Narrow" w:hAnsi="Arial Narrow"/>
        </w:rPr>
      </w:pPr>
      <w:r w:rsidRPr="004F40E8">
        <w:rPr>
          <w:rFonts w:ascii="Arial Narrow" w:hAnsi="Arial Narrow"/>
          <w:b/>
        </w:rPr>
        <w:t>Ασφαλιστικά Ταμεία</w:t>
      </w:r>
    </w:p>
    <w:p w:rsidR="004F40E8" w:rsidRPr="004F40E8" w:rsidRDefault="004F40E8" w:rsidP="004F40E8">
      <w:pPr>
        <w:contextualSpacing/>
        <w:jc w:val="both"/>
      </w:pPr>
    </w:p>
    <w:p w:rsidR="004F40E8" w:rsidRPr="004F40E8" w:rsidRDefault="004F40E8" w:rsidP="004F40E8">
      <w:pPr>
        <w:jc w:val="both"/>
      </w:pPr>
      <w:r w:rsidRPr="004F40E8">
        <w:t>Σε δημοσιονομικούς όρους, το ισοζύγιο των ασφαλιστικών ταμείων προβλέπεται σημαντικά βελτιωμένο έναντι του στόχου του ΜΠΔΣ 2018-2021. Πιο συγκεκριμένα το ταμειακό ισοζ</w:t>
      </w:r>
      <w:r w:rsidRPr="004F40E8">
        <w:t>ύ</w:t>
      </w:r>
      <w:r w:rsidRPr="004F40E8">
        <w:t xml:space="preserve">γιο των ασφαλιστικών ταμείων προβλέπεται να διαμορφωθεί σε πλεόνασμα 760 εκατ. ευρώ, έναντι ελλείμματος ύψους 563 εκατ. ευρώ του ΜΠΔΣ 2018-2021. Σε δημοσιονομική βάση το ισοζύγιο προβλέπεται να διαμορφωθεί σε πλεόνασμα 689 εκατ. ευρώ έναντι ελλείμματος </w:t>
      </w:r>
      <w:r w:rsidRPr="004F40E8">
        <w:t>ύ</w:t>
      </w:r>
      <w:r w:rsidRPr="004F40E8">
        <w:t xml:space="preserve">ψους 634 εκατ. ευρώ στο ΜΠΔΣ 2018-2021, βελτιωμένο κατά 1.323 εκατ. ευρώ. </w:t>
      </w:r>
    </w:p>
    <w:p w:rsidR="004F40E8" w:rsidRPr="004F40E8" w:rsidRDefault="004F40E8" w:rsidP="004F40E8">
      <w:pPr>
        <w:contextualSpacing/>
        <w:jc w:val="both"/>
      </w:pPr>
    </w:p>
    <w:p w:rsidR="004F40E8" w:rsidRPr="004F40E8" w:rsidRDefault="004F40E8" w:rsidP="004F40E8">
      <w:pPr>
        <w:contextualSpacing/>
        <w:jc w:val="both"/>
      </w:pPr>
      <w:r w:rsidRPr="004F40E8">
        <w:t>Αναλυτικότερα, η βελτίωση αυτή οφείλεται κυρίως:</w:t>
      </w:r>
    </w:p>
    <w:p w:rsidR="004F40E8" w:rsidRPr="004F40E8" w:rsidRDefault="004F40E8" w:rsidP="004F40E8">
      <w:pPr>
        <w:ind w:left="284"/>
        <w:contextualSpacing/>
        <w:jc w:val="both"/>
      </w:pPr>
    </w:p>
    <w:p w:rsidR="004F40E8" w:rsidRPr="004F40E8" w:rsidRDefault="004F40E8" w:rsidP="00C42D86">
      <w:pPr>
        <w:numPr>
          <w:ilvl w:val="0"/>
          <w:numId w:val="6"/>
        </w:numPr>
        <w:ind w:left="284" w:hanging="284"/>
        <w:contextualSpacing/>
        <w:jc w:val="both"/>
        <w:rPr>
          <w:strike/>
        </w:rPr>
      </w:pPr>
      <w:r w:rsidRPr="004F40E8">
        <w:t>στην αυξημένη πρόβλεψη κατά 490 εκατ. ευρώ στο σκέλος των εσόδων, αφαιρουμένων των εισπράξεων υπέρ Δημοσίου και τρίτων, που οφείλεται:</w:t>
      </w:r>
    </w:p>
    <w:p w:rsidR="004F40E8" w:rsidRPr="004F40E8" w:rsidRDefault="004F40E8" w:rsidP="004F40E8">
      <w:pPr>
        <w:ind w:left="720" w:hanging="436"/>
        <w:contextualSpacing/>
        <w:jc w:val="both"/>
      </w:pPr>
      <w:r w:rsidRPr="004F40E8">
        <w:t>-</w:t>
      </w:r>
      <w:r w:rsidRPr="004F40E8">
        <w:tab/>
        <w:t>στην αύξηση των εισφορών κατά 279 εκατ. ευρώ, η οποία βασίζεται κυρίως στην ε</w:t>
      </w:r>
      <w:r w:rsidRPr="004F40E8">
        <w:t>κ</w:t>
      </w:r>
      <w:r w:rsidRPr="004F40E8">
        <w:t>τίμηση των βελτιωμένων εσόδων έτους 2017,</w:t>
      </w:r>
    </w:p>
    <w:p w:rsidR="004F40E8" w:rsidRPr="004F40E8" w:rsidRDefault="004F40E8" w:rsidP="004F40E8">
      <w:pPr>
        <w:ind w:left="720" w:hanging="436"/>
        <w:contextualSpacing/>
        <w:jc w:val="both"/>
      </w:pPr>
      <w:r w:rsidRPr="004F40E8">
        <w:t>-</w:t>
      </w:r>
      <w:r w:rsidRPr="004F40E8">
        <w:tab/>
        <w:t>στην αύξηση των εσόδων από ρυθμίσεις παλαιών οφειλών κατά 206 εκατ. ευρώ, λα</w:t>
      </w:r>
      <w:r w:rsidRPr="004F40E8">
        <w:t>μ</w:t>
      </w:r>
      <w:r w:rsidRPr="004F40E8">
        <w:t>βάνοντας υπόψη τα δεδομένα του έτους 2017, σύμφωνα με τα οποία παρατηρείται α</w:t>
      </w:r>
      <w:r w:rsidRPr="004F40E8">
        <w:t>ύ</w:t>
      </w:r>
      <w:r w:rsidRPr="004F40E8">
        <w:t>ξηση των εσόδων από τους διακανονισμούς κυρίως αυτών της πάγιας ρύθμισης,</w:t>
      </w:r>
    </w:p>
    <w:p w:rsidR="004F40E8" w:rsidRPr="004F40E8" w:rsidRDefault="004F40E8" w:rsidP="004F40E8">
      <w:pPr>
        <w:ind w:left="720" w:hanging="436"/>
        <w:contextualSpacing/>
        <w:jc w:val="both"/>
      </w:pPr>
      <w:r w:rsidRPr="004F40E8">
        <w:t>-</w:t>
      </w:r>
      <w:r w:rsidRPr="004F40E8">
        <w:tab/>
        <w:t>στην αύξηση των λοιπών εσόδων κατά 5 εκατ. ευρώ,</w:t>
      </w:r>
    </w:p>
    <w:p w:rsidR="004F40E8" w:rsidRPr="004F40E8" w:rsidRDefault="004F40E8" w:rsidP="004F40E8">
      <w:pPr>
        <w:ind w:left="720" w:hanging="436"/>
        <w:contextualSpacing/>
        <w:jc w:val="both"/>
      </w:pPr>
    </w:p>
    <w:p w:rsidR="004F40E8" w:rsidRPr="004F40E8" w:rsidRDefault="004F40E8" w:rsidP="00C42D86">
      <w:pPr>
        <w:numPr>
          <w:ilvl w:val="0"/>
          <w:numId w:val="6"/>
        </w:numPr>
        <w:ind w:left="284" w:hanging="284"/>
        <w:contextualSpacing/>
        <w:jc w:val="both"/>
      </w:pPr>
      <w:r w:rsidRPr="004F40E8">
        <w:t xml:space="preserve">στη μειωμένη πρόβλεψη κατά 833 εκατ. ευρώ στο σκέλος των δαπανών, αφαιρουμένων των αποδόσεων υπέρ Δημοσίου και τρίτων, που οφείλεται: </w:t>
      </w:r>
    </w:p>
    <w:p w:rsidR="004F40E8" w:rsidRPr="004F40E8" w:rsidRDefault="004F40E8" w:rsidP="004F40E8">
      <w:pPr>
        <w:ind w:left="720" w:hanging="436"/>
        <w:contextualSpacing/>
        <w:jc w:val="both"/>
      </w:pPr>
      <w:r w:rsidRPr="004F40E8">
        <w:t>-</w:t>
      </w:r>
      <w:r w:rsidRPr="004F40E8">
        <w:tab/>
        <w:t>στη μείωση κατά 480 εκατ. ευρώ της συνταξιοδοτικής δαπάνης για κύριες συντάξεις λόγω του μειωμένου αριθμού εκκρεμών συντάξεων και κατ’ επέκταση στη μείωση κατά 190 εκατ. ευρώ της δαπάνης για τις επικουρικές συντάξεις,</w:t>
      </w:r>
    </w:p>
    <w:p w:rsidR="004F40E8" w:rsidRPr="004F40E8" w:rsidRDefault="004F40E8" w:rsidP="004F40E8">
      <w:pPr>
        <w:ind w:left="720" w:hanging="436"/>
        <w:contextualSpacing/>
        <w:jc w:val="both"/>
      </w:pPr>
      <w:r w:rsidRPr="004F40E8">
        <w:lastRenderedPageBreak/>
        <w:t>-</w:t>
      </w:r>
      <w:r w:rsidRPr="004F40E8">
        <w:tab/>
        <w:t>στη μείωση των λοιπών δαπανών κατά 163 εκατ. ευρώ.</w:t>
      </w:r>
    </w:p>
    <w:p w:rsidR="004F40E8" w:rsidRPr="004F40E8" w:rsidRDefault="004F40E8" w:rsidP="004F40E8">
      <w:pPr>
        <w:jc w:val="both"/>
      </w:pPr>
    </w:p>
    <w:p w:rsidR="004F40E8" w:rsidRPr="004F40E8" w:rsidRDefault="004F40E8" w:rsidP="004F40E8">
      <w:pPr>
        <w:jc w:val="both"/>
      </w:pPr>
      <w:r w:rsidRPr="004F40E8">
        <w:t>Σε εφαρμογή του Ν.4387/2016, ενοποιήθηκαν οι φορείς κύριας ασφάλισης στο νέο Ενιαίο Φορέα Κοινωνικής Ασφάλισης (ΕΦΚΑ) περιλαμβανομένων και των συντάξεων του Δημοσ</w:t>
      </w:r>
      <w:r w:rsidRPr="004F40E8">
        <w:t>ί</w:t>
      </w:r>
      <w:r w:rsidRPr="004F40E8">
        <w:t>ου.</w:t>
      </w:r>
    </w:p>
    <w:p w:rsidR="004F40E8" w:rsidRPr="004F40E8" w:rsidRDefault="004F40E8" w:rsidP="004F40E8">
      <w:pPr>
        <w:jc w:val="both"/>
      </w:pPr>
    </w:p>
    <w:p w:rsidR="004F40E8" w:rsidRPr="004F40E8" w:rsidRDefault="004F40E8" w:rsidP="004F40E8">
      <w:pPr>
        <w:jc w:val="both"/>
      </w:pPr>
      <w:r w:rsidRPr="004F40E8">
        <w:t>Βασικός στόχος που έχει τεθεί στη λειτουργία του ΕΦΚΑ είναι η απλοποίηση της διαδικασ</w:t>
      </w:r>
      <w:r w:rsidRPr="004F40E8">
        <w:t>ί</w:t>
      </w:r>
      <w:r w:rsidRPr="004F40E8">
        <w:t>ας και η ταχύτερη απονομή των συντάξεων. Προς την κατεύθυνση αυτή λειτουργεί μέσω της ιστοσελίδας του ΕΦΚΑ η εφαρμογή «ηλεκτρονική αίτηση συνταξιοδότησης», ενώ παράλλ</w:t>
      </w:r>
      <w:r w:rsidRPr="004F40E8">
        <w:t>η</w:t>
      </w:r>
      <w:r w:rsidRPr="004F40E8">
        <w:t>λα αναμορφώθηκε το λογισμικό απονομής συντάξεων και προωθήθηκαν οι αναγκαίες πρ</w:t>
      </w:r>
      <w:r w:rsidRPr="004F40E8">
        <w:t>ο</w:t>
      </w:r>
      <w:r w:rsidRPr="004F40E8">
        <w:t>σαρμογές στις μηχανογραφικές εφαρμογές για την ενοποίηση του συστήματος απονομής συντάξεων. Περαιτέρω συνεχίζεται η διαδικασία εκκαθάρισης των παλαιών αιτήσεων και δ</w:t>
      </w:r>
      <w:r w:rsidRPr="004F40E8">
        <w:t>ι</w:t>
      </w:r>
      <w:r w:rsidRPr="004F40E8">
        <w:t>ευθέτησης όλων των σχετικών εκκρεμοτήτων έτσι ώστε μέχρι τον Ιούνιο 2018 να ολοκληρ</w:t>
      </w:r>
      <w:r w:rsidRPr="004F40E8">
        <w:t>ω</w:t>
      </w:r>
      <w:r w:rsidRPr="004F40E8">
        <w:t>θεί η αποπληρωμή όλων των ληξιπρόθεσμων (άνω των 90 ημερών) υποθέσεων/αιτήσεων.</w:t>
      </w:r>
    </w:p>
    <w:p w:rsidR="004F40E8" w:rsidRPr="004F40E8" w:rsidRDefault="004F40E8" w:rsidP="004F40E8">
      <w:pPr>
        <w:jc w:val="both"/>
      </w:pPr>
    </w:p>
    <w:p w:rsidR="004F40E8" w:rsidRPr="004F40E8" w:rsidRDefault="004F40E8" w:rsidP="004F40E8">
      <w:pPr>
        <w:jc w:val="both"/>
      </w:pPr>
      <w:r w:rsidRPr="004F40E8">
        <w:t>Παράλληλα, σύμφωνα με τις διατάξεις του ν.4387/2016 ενσωματώθηκαν στο Ενιαίο Ταμείο Επικουρικής Ασφάλισης και Εφάπαξ Παροχών (ΕΤΕΑΕΠ) όλα τα πρώην ταμεία πρόνοιας σε ένα ενιαίο κλάδο με γνώμονα τόσο την απλοποίηση των κοινωνικοασφαλιστικών διαδικασ</w:t>
      </w:r>
      <w:r w:rsidRPr="004F40E8">
        <w:t>ι</w:t>
      </w:r>
      <w:r w:rsidRPr="004F40E8">
        <w:t>ών όσο και την τήρηση της αρχής της ισονομίας για το σύνολο των ασφαλισμένων. Η εφα</w:t>
      </w:r>
      <w:r w:rsidRPr="004F40E8">
        <w:t>ρ</w:t>
      </w:r>
      <w:r w:rsidRPr="004F40E8">
        <w:t>μογή των ανωτέρω διατάξεων στις εφάπαξ παροχές θα επιτρέψει την εκκαθάριση μεγάλου αριθμού εκκρεμών αιτήσεων με αποτέλεσμα τη μείωση του ύψους των υποχρεώσεων αυτών, η οποία αναμένεται να ολοκληρωθεί εντός του 2018.</w:t>
      </w:r>
    </w:p>
    <w:p w:rsidR="004F40E8" w:rsidRPr="004F40E8" w:rsidRDefault="004F40E8" w:rsidP="004F40E8">
      <w:pPr>
        <w:contextualSpacing/>
        <w:jc w:val="both"/>
      </w:pPr>
    </w:p>
    <w:p w:rsidR="004F40E8" w:rsidRPr="004F40E8" w:rsidRDefault="004F40E8" w:rsidP="00C42D86">
      <w:pPr>
        <w:numPr>
          <w:ilvl w:val="0"/>
          <w:numId w:val="4"/>
        </w:numPr>
        <w:contextualSpacing/>
        <w:jc w:val="both"/>
        <w:rPr>
          <w:rFonts w:ascii="Arial Narrow" w:hAnsi="Arial Narrow"/>
          <w:b/>
          <w:sz w:val="22"/>
          <w:szCs w:val="22"/>
        </w:rPr>
      </w:pPr>
      <w:r w:rsidRPr="004F40E8">
        <w:rPr>
          <w:rFonts w:ascii="Arial Narrow" w:hAnsi="Arial Narrow"/>
          <w:b/>
          <w:sz w:val="22"/>
          <w:szCs w:val="22"/>
        </w:rPr>
        <w:t>Οργανισμοί Απασχόλησης</w:t>
      </w:r>
    </w:p>
    <w:p w:rsidR="004F40E8" w:rsidRPr="004F40E8" w:rsidRDefault="004F40E8" w:rsidP="004F40E8">
      <w:pPr>
        <w:contextualSpacing/>
        <w:jc w:val="both"/>
      </w:pPr>
    </w:p>
    <w:p w:rsidR="004F40E8" w:rsidRPr="004F40E8" w:rsidRDefault="004F40E8" w:rsidP="004F40E8">
      <w:pPr>
        <w:jc w:val="both"/>
      </w:pPr>
      <w:r w:rsidRPr="004F40E8">
        <w:t>Ο Οργανισμός Απασχόλησης Εργατικού Δυναμικού (ΟΑΕΔ) αναμένεται να παρουσιάσει βελτιωμένο αποτέλεσμα ύψους 615 εκατ. ευρώ τόσο σε ταμειακή όσο και σε δημοσιονομική βάση έναντι στόχου του ΜΠΔΣ 2018-2021 ύψους 568 εκατ. ευρώ (δημοσιονομικό ισοζύγιο). Η βελτίωση αυτή του δημοσιονομικού πλεονάσματος κατά 47 εκατ. ευρώ οφείλεται στην ε</w:t>
      </w:r>
      <w:r w:rsidRPr="004F40E8">
        <w:t>κ</w:t>
      </w:r>
      <w:r w:rsidRPr="004F40E8">
        <w:t>τιμώμενη αύξηση των εσόδων του οργανισμού από ασφαλιστικές εισφορές κατά 61 εκατ. ε</w:t>
      </w:r>
      <w:r w:rsidRPr="004F40E8">
        <w:t>υ</w:t>
      </w:r>
      <w:r w:rsidRPr="004F40E8">
        <w:t>ρώ και στην αύξηση των δαπανών του κατά 33 εκατ. ευρώ.</w:t>
      </w:r>
    </w:p>
    <w:p w:rsidR="004F40E8" w:rsidRPr="004F40E8" w:rsidRDefault="004F40E8" w:rsidP="004F40E8">
      <w:pPr>
        <w:jc w:val="both"/>
      </w:pPr>
    </w:p>
    <w:p w:rsidR="004F40E8" w:rsidRPr="004F40E8" w:rsidRDefault="004F40E8" w:rsidP="004F40E8">
      <w:pPr>
        <w:jc w:val="both"/>
      </w:pPr>
      <w:r w:rsidRPr="004F40E8">
        <w:t>Ειδικότερα, η δαπάνη για τα επιδόματα ανεργίας θα ανέλθει στα 986 εκατ. ευρώ, ενώ παρά</w:t>
      </w:r>
      <w:r w:rsidRPr="004F40E8">
        <w:t>λ</w:t>
      </w:r>
      <w:r w:rsidRPr="004F40E8">
        <w:t xml:space="preserve">ληλα προβλέπεται δαπάνη ύψους 450 εκατ. ευρώ με σκοπό την εφαρμογή των σχεδιαζόμενων ενεργητικών πολιτικών για την τόνωση της απασχόλησης μέσω των διαφόρων προγραμμάτων ενίσχυσης, κατάρτισης και επανένταξης στην αγορά εργασίας. </w:t>
      </w:r>
    </w:p>
    <w:p w:rsidR="004F40E8" w:rsidRPr="004F40E8" w:rsidRDefault="004F40E8" w:rsidP="004F40E8">
      <w:pPr>
        <w:ind w:firstLine="720"/>
        <w:jc w:val="both"/>
      </w:pPr>
    </w:p>
    <w:p w:rsidR="004F40E8" w:rsidRPr="004F40E8" w:rsidRDefault="004F40E8" w:rsidP="00C42D86">
      <w:pPr>
        <w:numPr>
          <w:ilvl w:val="0"/>
          <w:numId w:val="7"/>
        </w:numPr>
        <w:ind w:left="426" w:hanging="426"/>
        <w:contextualSpacing/>
        <w:jc w:val="both"/>
        <w:rPr>
          <w:rFonts w:ascii="Arial Narrow" w:hAnsi="Arial Narrow"/>
          <w:b/>
          <w:sz w:val="22"/>
        </w:rPr>
      </w:pPr>
      <w:r w:rsidRPr="004F40E8">
        <w:rPr>
          <w:rFonts w:ascii="Arial Narrow" w:hAnsi="Arial Narrow"/>
          <w:b/>
          <w:sz w:val="22"/>
        </w:rPr>
        <w:t>Εθνικός Οργανισμός Παροχής Υπηρεσιών Υγείας (ΕΟΠΥΥ)</w:t>
      </w:r>
    </w:p>
    <w:p w:rsidR="004F40E8" w:rsidRPr="004F40E8" w:rsidRDefault="004F40E8" w:rsidP="004F40E8">
      <w:pPr>
        <w:contextualSpacing/>
        <w:jc w:val="both"/>
        <w:rPr>
          <w:rFonts w:ascii="Arial Narrow" w:hAnsi="Arial Narrow"/>
          <w:b/>
          <w:sz w:val="22"/>
        </w:rPr>
      </w:pPr>
    </w:p>
    <w:p w:rsidR="004F40E8" w:rsidRPr="004F40E8" w:rsidRDefault="004F40E8" w:rsidP="004F40E8">
      <w:pPr>
        <w:contextualSpacing/>
        <w:jc w:val="both"/>
      </w:pPr>
      <w:r w:rsidRPr="004F40E8">
        <w:t>Για το έτος 2018 δεν αναμένονται μεγάλες διαφοροποιήσεις στον προϋπολογισμό του φορέα σε σχέση με το ΜΠΔΣ 2018-2021, παρά την αναμενόμενη καλύτερη πορεία των εσόδων από ασφαλιστικές εισφορές, που αντισταθμίζεται όμως από τις αυξημένες λοιπές δαπάνες με την ενσωμάτωση υποχρεώσεων για την εκτέλεση δικαστικών αποφάσεων, νομοθετικών ρυθμίσ</w:t>
      </w:r>
      <w:r w:rsidRPr="004F40E8">
        <w:t>ε</w:t>
      </w:r>
      <w:r w:rsidRPr="004F40E8">
        <w:t>ων κ.ά. Τα παραπάνω προβλέπεται να οδηγήσουν σε επίτευξη θετικού δημοσιονομικού απ</w:t>
      </w:r>
      <w:r w:rsidRPr="004F40E8">
        <w:t>ο</w:t>
      </w:r>
      <w:r w:rsidRPr="004F40E8">
        <w:t xml:space="preserve">τελέσματος ύψους 212 εκατ. ευρώ, μειωμένο σε σχέση με το ΜΠΔΣ 2018-2021 κατά 29 </w:t>
      </w:r>
      <w:r w:rsidRPr="004F40E8">
        <w:t>ε</w:t>
      </w:r>
      <w:r w:rsidRPr="004F40E8">
        <w:t xml:space="preserve">κατ. ευρώ. </w:t>
      </w:r>
    </w:p>
    <w:p w:rsidR="004F40E8" w:rsidRPr="004F40E8" w:rsidRDefault="004F40E8" w:rsidP="004F40E8">
      <w:pPr>
        <w:contextualSpacing/>
        <w:jc w:val="both"/>
      </w:pPr>
    </w:p>
    <w:p w:rsidR="004F40E8" w:rsidRPr="004F40E8" w:rsidRDefault="004F40E8" w:rsidP="004F40E8">
      <w:pPr>
        <w:contextualSpacing/>
        <w:jc w:val="both"/>
      </w:pPr>
      <w:r w:rsidRPr="004F40E8">
        <w:t>Σημειώνεται ότι η χρηματοδότηση του ΕΟΠΥΥ από τον τακτικό προϋπολογισμό προβλέπ</w:t>
      </w:r>
      <w:r w:rsidRPr="004F40E8">
        <w:t>ε</w:t>
      </w:r>
      <w:r w:rsidRPr="004F40E8">
        <w:t>ται μειωμένη κατά 226 εκατ. ευρώ λόγω της αύξησης των εσόδων του από ασφαλιστικές ει</w:t>
      </w:r>
      <w:r w:rsidRPr="004F40E8">
        <w:t>σ</w:t>
      </w:r>
      <w:r w:rsidRPr="004F40E8">
        <w:t>φορές αλλά και της αναμενόμενης ομαλοποίησης των αποδόσεων των εσόδων αυτών από τ</w:t>
      </w:r>
      <w:r w:rsidRPr="004F40E8">
        <w:t>ο</w:t>
      </w:r>
      <w:r w:rsidRPr="004F40E8">
        <w:lastRenderedPageBreak/>
        <w:t xml:space="preserve">υς Φορείς Κοινωνικής Ασφάλισης. Το ύψος της κρατικής επιχορήγησης </w:t>
      </w:r>
      <w:r w:rsidRPr="004F40E8">
        <w:rPr>
          <w:color w:val="000000" w:themeColor="text1"/>
        </w:rPr>
        <w:t xml:space="preserve">προβλέπεται </w:t>
      </w:r>
      <w:r w:rsidRPr="004F40E8">
        <w:t xml:space="preserve">να </w:t>
      </w:r>
      <w:r w:rsidRPr="004F40E8">
        <w:t>α</w:t>
      </w:r>
      <w:r w:rsidRPr="004F40E8">
        <w:t xml:space="preserve">νέλθει στα 100 εκατ. ευρώ και προορίζεται κυρίως για την κάλυψη της δαπάνης υγειονομικής περίθαλψης των ανασφάλιστων πολιτών. </w:t>
      </w:r>
    </w:p>
    <w:p w:rsidR="004F40E8" w:rsidRPr="004F40E8" w:rsidRDefault="004F40E8" w:rsidP="004F40E8">
      <w:pPr>
        <w:contextualSpacing/>
        <w:jc w:val="both"/>
      </w:pPr>
    </w:p>
    <w:p w:rsidR="004F40E8" w:rsidRPr="004F40E8" w:rsidRDefault="004F40E8" w:rsidP="004F40E8">
      <w:pPr>
        <w:tabs>
          <w:tab w:val="left" w:pos="360"/>
        </w:tabs>
        <w:contextualSpacing/>
        <w:jc w:val="both"/>
        <w:rPr>
          <w:rFonts w:ascii="Arial Narrow" w:hAnsi="Arial Narrow"/>
          <w:b/>
          <w:color w:val="000080"/>
          <w:sz w:val="22"/>
          <w:szCs w:val="22"/>
        </w:rPr>
      </w:pPr>
      <w:r w:rsidRPr="004F40E8">
        <w:rPr>
          <w:rFonts w:ascii="Arial Narrow" w:hAnsi="Arial Narrow"/>
          <w:b/>
          <w:color w:val="000080"/>
          <w:sz w:val="22"/>
          <w:szCs w:val="22"/>
        </w:rPr>
        <w:t>Νοσοκομεία – Πρωτοβάθμιο Εθνικό Δίκτυο Υγείας (ΠΕΔΥ)</w:t>
      </w:r>
    </w:p>
    <w:p w:rsidR="004F40E8" w:rsidRPr="004F40E8" w:rsidRDefault="004F40E8" w:rsidP="004F40E8">
      <w:pPr>
        <w:tabs>
          <w:tab w:val="left" w:pos="5054"/>
        </w:tabs>
        <w:contextualSpacing/>
        <w:jc w:val="both"/>
        <w:rPr>
          <w:rFonts w:ascii="Arial Narrow" w:hAnsi="Arial Narrow"/>
          <w:b/>
          <w:sz w:val="22"/>
          <w:szCs w:val="22"/>
        </w:rPr>
      </w:pPr>
      <w:r w:rsidRPr="004F40E8">
        <w:rPr>
          <w:rFonts w:ascii="Arial Narrow" w:hAnsi="Arial Narrow"/>
          <w:b/>
          <w:sz w:val="22"/>
          <w:szCs w:val="22"/>
        </w:rPr>
        <w:tab/>
      </w:r>
    </w:p>
    <w:p w:rsidR="004F40E8" w:rsidRPr="004F40E8" w:rsidRDefault="004F40E8" w:rsidP="004F40E8">
      <w:pPr>
        <w:contextualSpacing/>
        <w:jc w:val="both"/>
      </w:pPr>
      <w:r w:rsidRPr="004F40E8">
        <w:t>Ο προϋπολογισμός των δημόσιων νοσοκομείων και των ΥΠΕ-ΠΕΔΥ στο σκέλος των εσόδων αναμένεται να κινηθεί εντός των ορίων που έχουν τεθεί στο ΜΔΠΣ 2018-2021. Σημειώνεται ότι το ύψος των μεταβιβάσεων από τον Τακτικό Προϋπολογισμό είναι μειωμένο κατά 350 εκατ. ευρώ σε σχέση με τα αντίστοιχα μεγέθη του 2017. Ωστόσο, οι επιδράσεις της μείωσης αυτής αναμένεται να εξισορροπηθούν από την ομαλοποίηση της απόδοσης των μεταβιβάσ</w:t>
      </w:r>
      <w:r w:rsidRPr="004F40E8">
        <w:t>ε</w:t>
      </w:r>
      <w:r w:rsidRPr="004F40E8">
        <w:t>ων από το ασφαλιστικό σύστημα (ΕΟΠΥΥ).</w:t>
      </w:r>
    </w:p>
    <w:p w:rsidR="004F40E8" w:rsidRPr="004F40E8" w:rsidRDefault="004F40E8" w:rsidP="004F40E8">
      <w:pPr>
        <w:contextualSpacing/>
        <w:jc w:val="both"/>
      </w:pPr>
    </w:p>
    <w:p w:rsidR="004F40E8" w:rsidRPr="004F40E8" w:rsidRDefault="004F40E8" w:rsidP="004F40E8">
      <w:pPr>
        <w:contextualSpacing/>
        <w:jc w:val="both"/>
      </w:pPr>
      <w:r w:rsidRPr="004F40E8">
        <w:t>Τα έξοδα προβλέπονται αυξημένα κατά 135 εκατ. ευρώ, σε σχέση με το στόχο του ΜΠΔΣ. Η προβλεπόμενη αύξηση, αν και συμβάλλει αρνητικά στη διαμόρφωση ταμειακού αποτελέσμ</w:t>
      </w:r>
      <w:r w:rsidRPr="004F40E8">
        <w:t>α</w:t>
      </w:r>
      <w:r w:rsidRPr="004F40E8">
        <w:t xml:space="preserve">τος της τάξης των 97 εκατ. ευρώ, ωστόσο, σε συνδυασμό με την εκκαθάριση σημαντικού </w:t>
      </w:r>
      <w:r w:rsidRPr="004F40E8">
        <w:t>ύ</w:t>
      </w:r>
      <w:r w:rsidRPr="004F40E8">
        <w:t>ψους απλήρωτων υποχρεώσεων, το δημοσιονομικό αποτέλεσμα εκτιμάται ότι θα διαμορφ</w:t>
      </w:r>
      <w:r w:rsidRPr="004F40E8">
        <w:t>ω</w:t>
      </w:r>
      <w:r w:rsidRPr="004F40E8">
        <w:t xml:space="preserve">θεί σε πλεόνασμα ύψους 106 εκατ. ευρώ. </w:t>
      </w:r>
    </w:p>
    <w:p w:rsidR="004F40E8" w:rsidRPr="004F40E8" w:rsidRDefault="004F40E8" w:rsidP="004F40E8">
      <w:pPr>
        <w:contextualSpacing/>
        <w:jc w:val="both"/>
      </w:pPr>
    </w:p>
    <w:p w:rsidR="004F40E8" w:rsidRPr="004F40E8" w:rsidRDefault="004F40E8" w:rsidP="004F40E8">
      <w:pPr>
        <w:contextualSpacing/>
        <w:jc w:val="both"/>
      </w:pPr>
      <w:r w:rsidRPr="004F40E8">
        <w:t>Στο οικονομικό έτος 2018 το Υπουργείο Υγείας αναμένεται, μεταξύ άλλων, να συνεχίσει σε</w:t>
      </w:r>
      <w:r w:rsidRPr="004F40E8">
        <w:t>ι</w:t>
      </w:r>
      <w:r w:rsidRPr="004F40E8">
        <w:t>ρά διαρθρωτικών παρεμβάσεων με σκοπό τη μεταρρύθμιση στην Πρωτοβάθμια Φροντίδα Υγείας για την παροχή υπηρεσιών υψηλής ποιότητας σε όλο τον πληθυσμό, την παγίωση της νέας φαρμακευτικής πολιτικής, την κατάρτιση της «Λίστας Χειρουργείου» και τη λειτουργία Γραφείων Προστασίας Δικαιωμάτων Ασθενών, την εναρμόνιση του ωραρίου των γιατρών με την ισχύουσα ευρωπαϊκή Οδηγία, την αλλαγή της διαδικασίας κρίσεων κατά τη διενέργεια προσλήψεων ιατρών κλάδου ΕΣΥ, την τροποποίηση των Οργανισμών των νοσοκομείων, την αποκέντρωση της διοίκησης των υπηρεσιών ψυχικής υγείας, την έμφαση στον καθολικό ε</w:t>
      </w:r>
      <w:r w:rsidRPr="004F40E8">
        <w:t>μ</w:t>
      </w:r>
      <w:r w:rsidRPr="004F40E8">
        <w:t>βολιασμό του παιδικού πληθυσμού, την ενίσχυση μέσω συγκεκριμένων δράσεων της ηλε</w:t>
      </w:r>
      <w:r w:rsidRPr="004F40E8">
        <w:t>κ</w:t>
      </w:r>
      <w:r w:rsidRPr="004F40E8">
        <w:t>τρονικής διακυβέρνησης του συστήματος υγείας και την αναβαθμισμένη υγειονομική φροντ</w:t>
      </w:r>
      <w:r w:rsidRPr="004F40E8">
        <w:t>ί</w:t>
      </w:r>
      <w:r w:rsidRPr="004F40E8">
        <w:t>δα προσφύγων και μεταναστών.</w:t>
      </w:r>
    </w:p>
    <w:p w:rsidR="004F40E8" w:rsidRPr="004F40E8" w:rsidRDefault="004F40E8" w:rsidP="004F40E8">
      <w:pPr>
        <w:contextualSpacing/>
        <w:jc w:val="both"/>
      </w:pPr>
    </w:p>
    <w:p w:rsidR="004F40E8" w:rsidRPr="004F40E8" w:rsidRDefault="004F40E8" w:rsidP="004F40E8">
      <w:pPr>
        <w:contextualSpacing/>
        <w:jc w:val="both"/>
      </w:pPr>
    </w:p>
    <w:p w:rsidR="004F40E8" w:rsidRPr="004F40E8" w:rsidRDefault="004F40E8" w:rsidP="004F40E8">
      <w:pPr>
        <w:jc w:val="both"/>
        <w:rPr>
          <w:rFonts w:ascii="Arial Narrow" w:hAnsi="Arial Narrow"/>
          <w:b/>
          <w:color w:val="000080"/>
        </w:rPr>
      </w:pPr>
      <w:r w:rsidRPr="004F40E8">
        <w:rPr>
          <w:rFonts w:ascii="Arial Narrow" w:hAnsi="Arial Narrow"/>
          <w:b/>
          <w:color w:val="000080"/>
        </w:rPr>
        <w:t>2.5</w:t>
      </w:r>
      <w:r w:rsidRPr="004F40E8">
        <w:rPr>
          <w:rFonts w:ascii="Arial Narrow" w:hAnsi="Arial Narrow"/>
          <w:b/>
          <w:color w:val="000080"/>
        </w:rPr>
        <w:tab/>
        <w:t xml:space="preserve">Επισκόπηση δαπανών </w:t>
      </w:r>
    </w:p>
    <w:p w:rsidR="004F40E8" w:rsidRPr="004F40E8" w:rsidRDefault="004F40E8" w:rsidP="004F40E8">
      <w:pPr>
        <w:contextualSpacing/>
        <w:jc w:val="both"/>
      </w:pPr>
    </w:p>
    <w:p w:rsidR="004F40E8" w:rsidRPr="004F40E8" w:rsidRDefault="004F40E8" w:rsidP="004F40E8">
      <w:pPr>
        <w:jc w:val="both"/>
        <w:rPr>
          <w:szCs w:val="22"/>
        </w:rPr>
      </w:pPr>
      <w:r w:rsidRPr="004F40E8">
        <w:rPr>
          <w:szCs w:val="22"/>
        </w:rPr>
        <w:t>Σε συνέχεια της πιλοτικής εφαρμογής της επισκόπησης των πρωτογενών λειτουργικών δαπ</w:t>
      </w:r>
      <w:r w:rsidRPr="004F40E8">
        <w:rPr>
          <w:szCs w:val="22"/>
        </w:rPr>
        <w:t>α</w:t>
      </w:r>
      <w:r w:rsidRPr="004F40E8">
        <w:rPr>
          <w:szCs w:val="22"/>
        </w:rPr>
        <w:t>νών σε τρία Υπουργεία (Οικονομικών, Πολιτισμού &amp; Αθλητισμού και Οικονομίας &amp; Ανά</w:t>
      </w:r>
      <w:r w:rsidRPr="004F40E8">
        <w:rPr>
          <w:szCs w:val="22"/>
        </w:rPr>
        <w:t>π</w:t>
      </w:r>
      <w:r w:rsidRPr="004F40E8">
        <w:rPr>
          <w:szCs w:val="22"/>
        </w:rPr>
        <w:t>τυξης) από το Σεπτέμβριο 2016 το Γενικό Λογιστήριο του Κράτους προχώρησε από τις αρχές του 2017 σε καθολική επέκταση του εγχειρήματος σε όλους τους φορείς γενικής κυβέρνησης. Ο στόχος της επισκόπησης δαπανών είναι η συγκέντρωση, επεξεργασία και αποτίμηση πρ</w:t>
      </w:r>
      <w:r w:rsidRPr="004F40E8">
        <w:rPr>
          <w:szCs w:val="22"/>
        </w:rPr>
        <w:t>ο</w:t>
      </w:r>
      <w:r w:rsidRPr="004F40E8">
        <w:rPr>
          <w:szCs w:val="22"/>
        </w:rPr>
        <w:t>τάσεων για πολιτικές εξοικονόμησης πόρων με στόχο τη δημιουργία δημοσιονομικού περ</w:t>
      </w:r>
      <w:r w:rsidRPr="004F40E8">
        <w:rPr>
          <w:szCs w:val="22"/>
        </w:rPr>
        <w:t>ι</w:t>
      </w:r>
      <w:r w:rsidRPr="004F40E8">
        <w:rPr>
          <w:szCs w:val="22"/>
        </w:rPr>
        <w:t xml:space="preserve">θωρίου, ώστε να ενισχυθούν οι δράσεις για την κοινωνική προστασία ευάλωτων πληθυσμών σε τομείς με υψηλή κοινωνική αποτελεσματικότητα και να μειωθεί η φορολογική επιβάρυνση φυσικών προσώπων και επιχειρήσεων με τρόπο διατηρήσιμο και χωρίς να τίθεται σε κίνδυνο η επίτευξη των δημοσιονομικών στόχων πρωτογενών πλεονασμάτων. </w:t>
      </w:r>
    </w:p>
    <w:p w:rsidR="004F40E8" w:rsidRPr="004F40E8" w:rsidRDefault="004F40E8" w:rsidP="004F40E8">
      <w:pPr>
        <w:jc w:val="both"/>
        <w:rPr>
          <w:szCs w:val="22"/>
        </w:rPr>
      </w:pPr>
    </w:p>
    <w:p w:rsidR="004213BC" w:rsidRDefault="004F40E8" w:rsidP="004F40E8">
      <w:pPr>
        <w:jc w:val="both"/>
        <w:rPr>
          <w:szCs w:val="22"/>
        </w:rPr>
        <w:sectPr w:rsidR="004213BC" w:rsidSect="004213BC">
          <w:headerReference w:type="even" r:id="rId14"/>
          <w:headerReference w:type="default" r:id="rId15"/>
          <w:footerReference w:type="even" r:id="rId16"/>
          <w:footerReference w:type="default" r:id="rId17"/>
          <w:pgSz w:w="11906" w:h="16838" w:code="9"/>
          <w:pgMar w:top="1418" w:right="1418" w:bottom="1418" w:left="1418" w:header="709" w:footer="709" w:gutter="0"/>
          <w:cols w:space="708"/>
          <w:docGrid w:linePitch="360"/>
        </w:sectPr>
      </w:pPr>
      <w:r w:rsidRPr="004F40E8">
        <w:rPr>
          <w:szCs w:val="22"/>
        </w:rPr>
        <w:t xml:space="preserve">Η επισκόπηση των πρωτογενών δαπανών της γενικής κυβέρνησης ωστόσο, δεν αποτελεί </w:t>
      </w:r>
      <w:r w:rsidRPr="004F40E8">
        <w:rPr>
          <w:szCs w:val="22"/>
        </w:rPr>
        <w:t>ε</w:t>
      </w:r>
      <w:r w:rsidRPr="004F40E8">
        <w:rPr>
          <w:szCs w:val="22"/>
        </w:rPr>
        <w:t>φάπαξ άσκηση εξοικονόμησης πόρων. Με το νέο οργανόγραμμα του Υπουργείου Οικονομ</w:t>
      </w:r>
      <w:r w:rsidRPr="004F40E8">
        <w:rPr>
          <w:szCs w:val="22"/>
        </w:rPr>
        <w:t>ι</w:t>
      </w:r>
      <w:r w:rsidRPr="004F40E8">
        <w:rPr>
          <w:szCs w:val="22"/>
        </w:rPr>
        <w:t>κών ιδρύεται νέα Διεύθυνση Επισκόπησης Δαπανών με στόχο τη διαρκή συγκριτική αξιολ</w:t>
      </w:r>
      <w:r w:rsidRPr="004F40E8">
        <w:rPr>
          <w:szCs w:val="22"/>
        </w:rPr>
        <w:t>ό</w:t>
      </w:r>
      <w:r w:rsidRPr="004F40E8">
        <w:rPr>
          <w:szCs w:val="22"/>
        </w:rPr>
        <w:t>γηση κάθε πρωτογενούς δαπάνης του Ελληνικού Δημοσίου ώστε οι φόροι που συλλέγει το Υπουργείο Οικονομικών να έχουν υψηλή και μετρήσιμη κοινωνική ανταποδοτικότητα.</w:t>
      </w:r>
    </w:p>
    <w:p w:rsidR="004213BC" w:rsidRDefault="004213BC" w:rsidP="004F40E8">
      <w:pPr>
        <w:jc w:val="both"/>
        <w:rPr>
          <w:szCs w:val="22"/>
        </w:rPr>
      </w:pPr>
    </w:p>
    <w:p w:rsidR="00F5330F" w:rsidRPr="00F5330F" w:rsidRDefault="00F5330F" w:rsidP="00F5330F">
      <w:pPr>
        <w:jc w:val="both"/>
        <w:rPr>
          <w:rFonts w:ascii="Arial Narrow" w:hAnsi="Arial Narrow"/>
          <w:b/>
          <w:color w:val="000080"/>
          <w:sz w:val="40"/>
          <w:szCs w:val="22"/>
        </w:rPr>
      </w:pPr>
      <w:r w:rsidRPr="00F5330F">
        <w:rPr>
          <w:rFonts w:ascii="Arial Narrow" w:hAnsi="Arial Narrow"/>
          <w:b/>
          <w:color w:val="000080"/>
          <w:sz w:val="40"/>
          <w:szCs w:val="22"/>
        </w:rPr>
        <w:t>ΔΗΜΟΣΙΟ ΧΡΕΟΣ</w:t>
      </w:r>
    </w:p>
    <w:p w:rsidR="00F5330F" w:rsidRPr="00F5330F" w:rsidRDefault="00F5330F" w:rsidP="00F5330F">
      <w:pPr>
        <w:jc w:val="both"/>
        <w:rPr>
          <w:szCs w:val="22"/>
        </w:rPr>
      </w:pPr>
    </w:p>
    <w:p w:rsidR="00F5330F" w:rsidRPr="00F5330F" w:rsidRDefault="00F5330F" w:rsidP="00F5330F">
      <w:pPr>
        <w:jc w:val="both"/>
        <w:rPr>
          <w:sz w:val="18"/>
          <w:szCs w:val="22"/>
        </w:rPr>
      </w:pPr>
    </w:p>
    <w:p w:rsidR="00F5330F" w:rsidRPr="00F5330F" w:rsidRDefault="00F5330F" w:rsidP="00F5330F">
      <w:pPr>
        <w:jc w:val="both"/>
      </w:pPr>
      <w:r w:rsidRPr="00F5330F">
        <w:t xml:space="preserve">Από τις αρχές του τρέχοντος έτους έχει ήδη ξεκινήσει η εφαρμογή των βραχυχρόνιων μέτρων ελάφρυνσης του χρέους, όπως αποτυπώθηκαν στις αποφάσεις του </w:t>
      </w:r>
      <w:r w:rsidRPr="00F5330F">
        <w:rPr>
          <w:lang w:val="en-US"/>
        </w:rPr>
        <w:t>Eurogroup</w:t>
      </w:r>
      <w:r w:rsidRPr="00F5330F">
        <w:t xml:space="preserve"> της 25</w:t>
      </w:r>
      <w:r w:rsidRPr="00F5330F">
        <w:rPr>
          <w:vertAlign w:val="superscript"/>
        </w:rPr>
        <w:t>ης</w:t>
      </w:r>
      <w:r w:rsidRPr="00F5330F">
        <w:t xml:space="preserve"> Μαΐου 2016, τα οποία περιλαμβάνουν την εξομάλυνση των λήξεων των δανείων του </w:t>
      </w:r>
      <w:r w:rsidRPr="00F5330F">
        <w:rPr>
          <w:lang w:val="en-US"/>
        </w:rPr>
        <w:t>EFSF</w:t>
      </w:r>
      <w:r w:rsidRPr="00F5330F">
        <w:t>, τη μεί</w:t>
      </w:r>
      <w:r w:rsidRPr="00F5330F">
        <w:t>ω</w:t>
      </w:r>
      <w:r w:rsidRPr="00F5330F">
        <w:t xml:space="preserve">ση του </w:t>
      </w:r>
      <w:proofErr w:type="spellStart"/>
      <w:r w:rsidRPr="00F5330F">
        <w:t>επιτοκιακού</w:t>
      </w:r>
      <w:proofErr w:type="spellEnd"/>
      <w:r w:rsidRPr="00F5330F">
        <w:t xml:space="preserve"> τους κινδύνου, καθώς επίσης και την άρση για το έτος 2017 του περιθ</w:t>
      </w:r>
      <w:r w:rsidRPr="00F5330F">
        <w:t>ω</w:t>
      </w:r>
      <w:r w:rsidRPr="00F5330F">
        <w:t>ρίου του δανείου για την επαναγορά χρέους του 2012.</w:t>
      </w:r>
    </w:p>
    <w:p w:rsidR="00F5330F" w:rsidRPr="00F5330F" w:rsidRDefault="00F5330F" w:rsidP="00F5330F">
      <w:pPr>
        <w:jc w:val="both"/>
      </w:pPr>
    </w:p>
    <w:p w:rsidR="00F5330F" w:rsidRPr="00F5330F" w:rsidRDefault="00F5330F" w:rsidP="00F5330F">
      <w:pPr>
        <w:jc w:val="both"/>
      </w:pPr>
      <w:r w:rsidRPr="00F5330F">
        <w:t>Η εφαρμογή των παραπάνω μέτρων αναμένεται να συνεχιστεί έως τη λήξη του τρέχοντος προγράμματος, τον Αύγουστο του 2018. Στη συνέχεια θα εξεταστεί η εφαρμογή του δεύτερου πακέτου μέτρων προκειμένου να ενισχυθεί η βιωσιμότητα του χρέους, έτσι ώστε οι ετήσιες μικτές χρηματοδοτικές ανάγκες να παραμένουν κάτω του 15% ως ποσοστό του ΑΕΠ σε μ</w:t>
      </w:r>
      <w:r w:rsidRPr="00F5330F">
        <w:t>ε</w:t>
      </w:r>
      <w:r w:rsidRPr="00F5330F">
        <w:t>σοπρόθεσμο χρονικό ορίζοντα και κάτω του 20% μακροπρόθεσμα. Τα μεσοπρόθεσμα μέτρα ελάφρυνσης του χρέους περιλαμβάνουν τη μείωση του επιτοκίου του δανείου που είχε σ</w:t>
      </w:r>
      <w:r w:rsidRPr="00F5330F">
        <w:t>υ</w:t>
      </w:r>
      <w:r w:rsidRPr="00F5330F">
        <w:t>ναφθεί το 2012 στα πλαίσια της επαναγοράς του χρέους, μέσω της πλήρους κατάργησης από το 2018 του περιθωρίου που εφαρμόζεται επί του τρέχοντος επιτοκίου, τη χρησιμοποίηση από το 2017 των κερδών από τα ελληνικά ομόλογα “</w:t>
      </w:r>
      <w:r w:rsidRPr="00F5330F">
        <w:rPr>
          <w:lang w:val="en-US"/>
        </w:rPr>
        <w:t>ANFA</w:t>
      </w:r>
      <w:r w:rsidRPr="00F5330F">
        <w:t>” και "</w:t>
      </w:r>
      <w:r w:rsidRPr="00F5330F">
        <w:rPr>
          <w:lang w:val="en-US"/>
        </w:rPr>
        <w:t>SMP</w:t>
      </w:r>
      <w:r w:rsidRPr="00F5330F">
        <w:t xml:space="preserve">”για τη μείωση των μικτών χρηματοδοτικών αναγκών, περιλαμβανομένων και των κερδών του έτους 2014, τη μερική αποπληρωμή δανείων </w:t>
      </w:r>
      <w:r w:rsidRPr="00F5330F">
        <w:rPr>
          <w:rFonts w:ascii="Times New (W1)" w:hAnsi="Times New (W1)"/>
        </w:rPr>
        <w:t>του</w:t>
      </w:r>
      <w:r w:rsidRPr="00F5330F">
        <w:t xml:space="preserve"> «επίσημου τομέα» μέσω αχρησιμοποίητων πόρων του </w:t>
      </w:r>
      <w:r w:rsidRPr="00F5330F">
        <w:rPr>
          <w:lang w:val="en-US"/>
        </w:rPr>
        <w:t>ESM</w:t>
      </w:r>
      <w:r w:rsidRPr="00F5330F">
        <w:t xml:space="preserve"> και την περαιτέρω εξομάλυνση των λήξεων των δανείων του </w:t>
      </w:r>
      <w:r w:rsidRPr="00F5330F">
        <w:rPr>
          <w:lang w:val="en-US"/>
        </w:rPr>
        <w:t>EFSF</w:t>
      </w:r>
      <w:r w:rsidRPr="00F5330F">
        <w:t xml:space="preserve"> με επιμήκυνση της μέσης σταθμικής τους διάρκειας, σταθεροποίηση των επιτοκίων τους και αναβολή πληρωμής τ</w:t>
      </w:r>
      <w:r w:rsidRPr="00F5330F">
        <w:t>ό</w:t>
      </w:r>
      <w:r w:rsidRPr="00F5330F">
        <w:t xml:space="preserve">κων. </w:t>
      </w:r>
    </w:p>
    <w:p w:rsidR="00F5330F" w:rsidRPr="00F5330F" w:rsidRDefault="00F5330F" w:rsidP="00F5330F">
      <w:pPr>
        <w:jc w:val="both"/>
      </w:pPr>
    </w:p>
    <w:p w:rsidR="00F5330F" w:rsidRPr="00F5330F" w:rsidRDefault="00F5330F" w:rsidP="00F5330F">
      <w:pPr>
        <w:jc w:val="both"/>
      </w:pPr>
      <w:r w:rsidRPr="00F5330F">
        <w:t>Οι χρηματοδοτικές ανάγκες του Ελληνικού Δημοσίου κατά το πρώτο εξάμηνο του 2017 κ</w:t>
      </w:r>
      <w:r w:rsidRPr="00F5330F">
        <w:t>α</w:t>
      </w:r>
      <w:r w:rsidRPr="00F5330F">
        <w:t>λύφθηκαν ως επί το πλείστον με βραχυπρόθεσμο εσωτερικό δανεισμό: μηνιαίες εκδόσεις ε</w:t>
      </w:r>
      <w:r w:rsidRPr="00F5330F">
        <w:t>ν</w:t>
      </w:r>
      <w:r w:rsidRPr="00F5330F">
        <w:t>τόκων γραμματίων τρίμηνης και εξάμηνης διάρκειας και πράξεις διαχείρισης ταμειακής ρ</w:t>
      </w:r>
      <w:r w:rsidRPr="00F5330F">
        <w:t>ε</w:t>
      </w:r>
      <w:r w:rsidRPr="00F5330F">
        <w:t xml:space="preserve">υστότητας υπό τη μορφή </w:t>
      </w:r>
      <w:proofErr w:type="spellStart"/>
      <w:r w:rsidRPr="00F5330F">
        <w:t>repo</w:t>
      </w:r>
      <w:proofErr w:type="spellEnd"/>
      <w:r w:rsidRPr="00F5330F">
        <w:t xml:space="preserve"> </w:t>
      </w:r>
      <w:proofErr w:type="spellStart"/>
      <w:r w:rsidRPr="00F5330F">
        <w:t>agreements</w:t>
      </w:r>
      <w:proofErr w:type="spellEnd"/>
      <w:r w:rsidRPr="00F5330F">
        <w:t xml:space="preserve">, τις οποίες συνάπτει ο Οργανισμός Διαχείρισης Δημοσίου Χρέους (ΟΔΔΗΧ) για την αξιοποίηση των διαθεσίμων, κυρίως, των φορέων της Γενικής Κυβέρνησης. Επιπλέον, στο πλαίσιο της σύμβασης χρηματοδότησης με τον </w:t>
      </w:r>
      <w:r w:rsidRPr="00F5330F">
        <w:rPr>
          <w:lang w:val="en-US"/>
        </w:rPr>
        <w:t>ESM</w:t>
      </w:r>
      <w:r w:rsidRPr="00F5330F">
        <w:t>, εκταμιεύτηκαν 7.700 εκατ. ευρώ τον Ιούλιο και αναμένεται η εκταμίευση επιπλέον ποσού της τάξης των 5.500 εκατ. ευρώ, μετά την ολοκλήρωση της τρίτης αξιολόγησης, ενώ είναι πιθανό να πραγματοποιηθεί νέα έκδοση ομολόγων. Η υπόθεση εκταμίευσης του παραπάνω ποσού σε συνδυασμό με την υπόθεση διατήρησής του ως ταμειακά διαθέσιμα ασφαλείας (</w:t>
      </w:r>
      <w:proofErr w:type="spellStart"/>
      <w:r w:rsidRPr="00F5330F">
        <w:t>cash</w:t>
      </w:r>
      <w:proofErr w:type="spellEnd"/>
      <w:r w:rsidRPr="00F5330F">
        <w:t xml:space="preserve"> </w:t>
      </w:r>
      <w:proofErr w:type="spellStart"/>
      <w:r w:rsidRPr="00F5330F">
        <w:t>buffer</w:t>
      </w:r>
      <w:proofErr w:type="spellEnd"/>
      <w:r w:rsidRPr="00F5330F">
        <w:t>) εξηγεί την αύξηση του δημοσίου χρέους το 2017. Σε περίπτωση μη υλοποίησης των παραπ</w:t>
      </w:r>
      <w:r w:rsidRPr="00F5330F">
        <w:t>ά</w:t>
      </w:r>
      <w:r w:rsidRPr="00F5330F">
        <w:t>νω εκταμιεύσεων, έστω μερικώς, θα υπάρξει ανάλογη προσαρμογή στο ύψος του δημοσίου χρέους στο τέλος του 2017.</w:t>
      </w:r>
    </w:p>
    <w:p w:rsidR="00F5330F" w:rsidRPr="00F5330F" w:rsidRDefault="00F5330F" w:rsidP="00F5330F">
      <w:pPr>
        <w:jc w:val="both"/>
      </w:pPr>
    </w:p>
    <w:p w:rsidR="00F5330F" w:rsidRPr="00F5330F" w:rsidRDefault="00F5330F" w:rsidP="00F5330F">
      <w:pPr>
        <w:jc w:val="both"/>
      </w:pPr>
      <w:r w:rsidRPr="00F5330F">
        <w:t>Αξιοσημείωτη συμβολή στην αναδημιουργία της καμπύλης αποδόσεων των τίτλων του Ε</w:t>
      </w:r>
      <w:r w:rsidRPr="00F5330F">
        <w:t>λ</w:t>
      </w:r>
      <w:r w:rsidRPr="00F5330F">
        <w:t>ληνικού Δημοσίου είχε η κοινοπρακτική έκδοση ομολόγου σταθερού επιτοκίου, πενταετούς διάρκειας, ύψους 3.000 εκατ. ευρώ, με την οποία η ελληνική οικονομία επέστρεψε στη χρ</w:t>
      </w:r>
      <w:r w:rsidRPr="00F5330F">
        <w:t>η</w:t>
      </w:r>
      <w:r w:rsidRPr="00F5330F">
        <w:t>ματοδότηση μέσω των διεθνών αγορών ύστερα από τρία περίπου έτη. Η καμπύλη αποδόσεων αναμένεται να εμπλουτιστεί περαιτέρω με την πραγματοποίηση νέων εκδόσεων ομολόγων σταθερού επιτοκίου.</w:t>
      </w:r>
    </w:p>
    <w:p w:rsidR="00F5330F" w:rsidRPr="00F5330F" w:rsidRDefault="00F5330F" w:rsidP="00F5330F">
      <w:pPr>
        <w:jc w:val="both"/>
      </w:pPr>
    </w:p>
    <w:p w:rsidR="00F5330F" w:rsidRPr="00F5330F" w:rsidRDefault="00F5330F" w:rsidP="00F5330F">
      <w:pPr>
        <w:jc w:val="both"/>
      </w:pPr>
      <w:r w:rsidRPr="00F5330F">
        <w:t>Οι αποφάσεις του Eurogroup της 15ης Ιουνίου 2017, υποστηρίζουν την επιστροφή της Ελλ</w:t>
      </w:r>
      <w:r w:rsidRPr="00F5330F">
        <w:t>ά</w:t>
      </w:r>
      <w:r w:rsidRPr="00F5330F">
        <w:t>δας στις αγορές με τη δημιουργία ταμειακών διαθεσίμων ασφαλείας (</w:t>
      </w:r>
      <w:proofErr w:type="spellStart"/>
      <w:r w:rsidRPr="00F5330F">
        <w:t>cash</w:t>
      </w:r>
      <w:proofErr w:type="spellEnd"/>
      <w:r w:rsidRPr="00F5330F">
        <w:t xml:space="preserve"> </w:t>
      </w:r>
      <w:proofErr w:type="spellStart"/>
      <w:r w:rsidRPr="00F5330F">
        <w:t>buffer</w:t>
      </w:r>
      <w:bookmarkStart w:id="3" w:name="_GoBack"/>
      <w:bookmarkEnd w:id="3"/>
      <w:proofErr w:type="spellEnd"/>
      <w:r w:rsidRPr="00F5330F">
        <w:t xml:space="preserve">), όπως έγινε και με τις υπόλοιπες χώρες που ολοκλήρωσαν τα προγράμματα προσαρμογής. Η δημιουργία ταμειακών διαθεσίμων ασφαλείας θα γίνει μέσω του ESM και πιθανόν μέσω νέων εκδόσεων </w:t>
      </w:r>
      <w:r w:rsidRPr="00F5330F">
        <w:lastRenderedPageBreak/>
        <w:t>ομολόγων και ως εκ τούτου αναμένεται μία προσωρινή αύξηση του δημοσίου χρέους για το 2018, το τελικό ύψος της οποίας θα διαμορφωθεί από τα ποσά που θα αντληθούν για το σκ</w:t>
      </w:r>
      <w:r w:rsidRPr="00F5330F">
        <w:t>ο</w:t>
      </w:r>
      <w:r w:rsidRPr="00F5330F">
        <w:t>πό αυτό.</w:t>
      </w:r>
    </w:p>
    <w:p w:rsidR="00F5330F" w:rsidRPr="00F5330F" w:rsidRDefault="00F5330F" w:rsidP="00F5330F">
      <w:pPr>
        <w:jc w:val="both"/>
      </w:pPr>
    </w:p>
    <w:p w:rsidR="00F5330F" w:rsidRPr="00F5330F" w:rsidRDefault="00F5330F" w:rsidP="00F5330F">
      <w:pPr>
        <w:jc w:val="both"/>
      </w:pPr>
      <w:r w:rsidRPr="00F5330F">
        <w:t>Στις 31/08/2017, το σύνολο των ευρωπαϊκών δανείων του πρώτου, του δεύτερου και του τρ</w:t>
      </w:r>
      <w:r w:rsidRPr="00F5330F">
        <w:t>ί</w:t>
      </w:r>
      <w:r w:rsidRPr="00F5330F">
        <w:t>του προγράμματος στήριξης (</w:t>
      </w:r>
      <w:r w:rsidRPr="00F5330F">
        <w:rPr>
          <w:lang w:val="en-US"/>
        </w:rPr>
        <w:t>GLF</w:t>
      </w:r>
      <w:r w:rsidRPr="00F5330F">
        <w:t xml:space="preserve">, </w:t>
      </w:r>
      <w:r w:rsidRPr="00F5330F">
        <w:rPr>
          <w:lang w:val="en-US"/>
        </w:rPr>
        <w:t>EFSF</w:t>
      </w:r>
      <w:r w:rsidRPr="00F5330F">
        <w:t xml:space="preserve">, </w:t>
      </w:r>
      <w:r w:rsidRPr="00F5330F">
        <w:rPr>
          <w:lang w:val="en-US"/>
        </w:rPr>
        <w:t>ESM</w:t>
      </w:r>
      <w:r w:rsidRPr="00F5330F">
        <w:t xml:space="preserve">) ανήλθε σε 221.182,3 εκατ. ευρώ, ενώ τα </w:t>
      </w:r>
      <w:r w:rsidRPr="00F5330F">
        <w:t>α</w:t>
      </w:r>
      <w:r w:rsidRPr="00F5330F">
        <w:t>νεξόφλητα δάνεια προς το Διεθνές Νομισματικό Ταμείο διαμορφώθηκαν σε 11.663,5 εκατ. ευρώ.</w:t>
      </w:r>
    </w:p>
    <w:p w:rsidR="00F5330F" w:rsidRPr="00F5330F" w:rsidRDefault="00F5330F" w:rsidP="00F5330F">
      <w:pPr>
        <w:jc w:val="both"/>
        <w:rPr>
          <w:szCs w:val="22"/>
        </w:rPr>
      </w:pPr>
      <w:r w:rsidRPr="00F5330F">
        <w:t xml:space="preserve"> </w:t>
      </w:r>
    </w:p>
    <w:p w:rsidR="00F5330F" w:rsidRPr="00F5330F" w:rsidRDefault="00F5330F" w:rsidP="00F5330F">
      <w:pPr>
        <w:jc w:val="both"/>
        <w:rPr>
          <w:szCs w:val="22"/>
        </w:rPr>
      </w:pPr>
    </w:p>
    <w:p w:rsidR="00F5330F" w:rsidRPr="00F5330F" w:rsidRDefault="00F5330F" w:rsidP="00F5330F">
      <w:pPr>
        <w:shd w:val="clear" w:color="auto" w:fill="BFBFBF" w:themeFill="background1" w:themeFillShade="BF"/>
        <w:tabs>
          <w:tab w:val="left" w:pos="540"/>
        </w:tabs>
        <w:ind w:left="540" w:hanging="540"/>
        <w:jc w:val="both"/>
        <w:rPr>
          <w:rFonts w:ascii="Arial Narrow" w:hAnsi="Arial Narrow"/>
          <w:b/>
          <w:sz w:val="26"/>
          <w:szCs w:val="22"/>
        </w:rPr>
      </w:pPr>
      <w:r w:rsidRPr="00F5330F">
        <w:rPr>
          <w:rFonts w:ascii="Arial Narrow" w:hAnsi="Arial Narrow"/>
          <w:b/>
          <w:sz w:val="26"/>
          <w:szCs w:val="22"/>
        </w:rPr>
        <w:t>1.</w:t>
      </w:r>
      <w:r w:rsidRPr="00F5330F">
        <w:rPr>
          <w:rFonts w:ascii="Arial Narrow" w:hAnsi="Arial Narrow"/>
          <w:b/>
          <w:sz w:val="26"/>
          <w:szCs w:val="22"/>
        </w:rPr>
        <w:tab/>
        <w:t>Σύνθεση δημόσιου χρέους</w:t>
      </w:r>
    </w:p>
    <w:p w:rsidR="00F5330F" w:rsidRPr="00F5330F" w:rsidRDefault="00F5330F" w:rsidP="00F5330F">
      <w:pPr>
        <w:jc w:val="both"/>
        <w:rPr>
          <w:b/>
          <w:szCs w:val="22"/>
        </w:rPr>
      </w:pPr>
    </w:p>
    <w:p w:rsidR="00F5330F" w:rsidRPr="00F5330F" w:rsidRDefault="00F5330F" w:rsidP="00F5330F">
      <w:pPr>
        <w:keepNext/>
        <w:jc w:val="both"/>
        <w:outlineLvl w:val="3"/>
        <w:rPr>
          <w:rFonts w:ascii="Arial Narrow" w:hAnsi="Arial Narrow"/>
          <w:b/>
          <w:color w:val="000080"/>
          <w:szCs w:val="22"/>
        </w:rPr>
      </w:pPr>
      <w:r w:rsidRPr="00F5330F">
        <w:rPr>
          <w:rFonts w:ascii="Arial Narrow" w:hAnsi="Arial Narrow"/>
          <w:b/>
          <w:color w:val="000080"/>
          <w:szCs w:val="22"/>
        </w:rPr>
        <w:t>Το χρέος της Κεντρικής και Γενικής Κυβέρνησης</w:t>
      </w:r>
    </w:p>
    <w:p w:rsidR="00F5330F" w:rsidRPr="00F5330F" w:rsidRDefault="00F5330F" w:rsidP="00F5330F">
      <w:pPr>
        <w:jc w:val="both"/>
        <w:rPr>
          <w:sz w:val="22"/>
          <w:szCs w:val="22"/>
        </w:rPr>
      </w:pPr>
    </w:p>
    <w:p w:rsidR="00F5330F" w:rsidRPr="00F5330F" w:rsidRDefault="00F5330F" w:rsidP="00F5330F">
      <w:pPr>
        <w:jc w:val="both"/>
        <w:rPr>
          <w:szCs w:val="22"/>
        </w:rPr>
      </w:pPr>
      <w:r w:rsidRPr="00F5330F">
        <w:rPr>
          <w:szCs w:val="22"/>
        </w:rPr>
        <w:t xml:space="preserve">Το χρέος της Κεντρικής Διοίκησης εκτιμάται ότι θα ανέλθει στα 334.700 εκατ. ευρώ ή 185,7% ως ποσοστό του ΑΕΠ στο τέλος του 2017, έναντι 326.358 εκατ. ευρώ ή 185,5% ως ποσοστό του ΑΕΠ το 2016. </w:t>
      </w:r>
    </w:p>
    <w:p w:rsidR="00F5330F" w:rsidRPr="00F5330F" w:rsidRDefault="00F5330F" w:rsidP="00F5330F">
      <w:pPr>
        <w:jc w:val="both"/>
        <w:rPr>
          <w:szCs w:val="22"/>
        </w:rPr>
      </w:pPr>
    </w:p>
    <w:p w:rsidR="00F5330F" w:rsidRPr="00F5330F" w:rsidRDefault="00F5330F" w:rsidP="00F5330F">
      <w:pPr>
        <w:jc w:val="both"/>
        <w:rPr>
          <w:szCs w:val="22"/>
        </w:rPr>
      </w:pPr>
      <w:r w:rsidRPr="00F5330F">
        <w:rPr>
          <w:szCs w:val="22"/>
        </w:rPr>
        <w:t>Το 2018 το ύψος του χρέους της Κεντρικής Διοίκησης προβλέπεται ότι θα διαμορφωθεί στα 344.900 εκατ. ευρώ ή 184,7% ως ποσοστό του ΑΕΠ, παρουσιάζοντας μείωση κατά 1 ποσο</w:t>
      </w:r>
      <w:r w:rsidRPr="00F5330F">
        <w:rPr>
          <w:szCs w:val="22"/>
        </w:rPr>
        <w:t>σ</w:t>
      </w:r>
      <w:r w:rsidRPr="00F5330F">
        <w:rPr>
          <w:szCs w:val="22"/>
        </w:rPr>
        <w:t>τιαία μονάδα έναντι του 2017.</w:t>
      </w:r>
    </w:p>
    <w:p w:rsidR="00F5330F" w:rsidRPr="00F5330F" w:rsidRDefault="00F5330F" w:rsidP="00F5330F">
      <w:pPr>
        <w:jc w:val="both"/>
        <w:rPr>
          <w:szCs w:val="22"/>
        </w:rPr>
      </w:pPr>
    </w:p>
    <w:p w:rsidR="00F5330F" w:rsidRPr="00F5330F" w:rsidRDefault="00F5330F" w:rsidP="00F5330F">
      <w:pPr>
        <w:jc w:val="both"/>
        <w:rPr>
          <w:szCs w:val="22"/>
        </w:rPr>
      </w:pPr>
      <w:r w:rsidRPr="00F5330F">
        <w:rPr>
          <w:szCs w:val="22"/>
        </w:rPr>
        <w:t>Το χρέος της Γενικής Κυβέρνησης εκτιμάται ότι θα ανέλθει στα 318.700 εκατ. ευρώ ή 176,8% ως ποσοστό του ΑΕΠ στο τέλος του 2017, έναντι 314.897 εκατ. ευρώ ή 179,0% ως ποσοστό του ΑΕΠ το 2016. Το 2018, το χρέος της Γενικής Κυβέρνησης προβλέπεται ότι θα διαμορφωθεί στα 327.900 εκατ. ευρώ ή 175,6% ως ποσοστό του ΑΕΠ, παρουσιάζοντας με</w:t>
      </w:r>
      <w:r w:rsidRPr="00F5330F">
        <w:rPr>
          <w:szCs w:val="22"/>
        </w:rPr>
        <w:t>ί</w:t>
      </w:r>
      <w:r w:rsidRPr="00F5330F">
        <w:rPr>
          <w:szCs w:val="22"/>
        </w:rPr>
        <w:t xml:space="preserve">ωση κατά 1,2 ποσοστιαίες μονάδες του ΑΕΠ έναντι του 2017 (πίνακας 3.1). </w:t>
      </w:r>
    </w:p>
    <w:p w:rsidR="00F5330F" w:rsidRPr="00F5330F" w:rsidRDefault="00F5330F" w:rsidP="00F5330F">
      <w:pPr>
        <w:jc w:val="both"/>
        <w:rPr>
          <w:szCs w:val="22"/>
          <w:highlight w:val="lightGray"/>
        </w:rPr>
      </w:pPr>
    </w:p>
    <w:tbl>
      <w:tblPr>
        <w:tblW w:w="9087" w:type="dxa"/>
        <w:tblInd w:w="93" w:type="dxa"/>
        <w:tblLayout w:type="fixed"/>
        <w:tblLook w:val="04A0"/>
      </w:tblPr>
      <w:tblGrid>
        <w:gridCol w:w="4268"/>
        <w:gridCol w:w="850"/>
        <w:gridCol w:w="851"/>
        <w:gridCol w:w="850"/>
        <w:gridCol w:w="851"/>
        <w:gridCol w:w="709"/>
        <w:gridCol w:w="708"/>
      </w:tblGrid>
      <w:tr w:rsidR="00F5330F" w:rsidRPr="00F5330F" w:rsidTr="003B594D">
        <w:trPr>
          <w:trHeight w:val="561"/>
        </w:trPr>
        <w:tc>
          <w:tcPr>
            <w:tcW w:w="9087" w:type="dxa"/>
            <w:gridSpan w:val="7"/>
            <w:tcBorders>
              <w:top w:val="single" w:sz="4" w:space="0" w:color="auto"/>
              <w:left w:val="single" w:sz="4" w:space="0" w:color="auto"/>
              <w:right w:val="single" w:sz="4" w:space="0" w:color="000000"/>
            </w:tcBorders>
            <w:shd w:val="clear" w:color="auto" w:fill="auto"/>
            <w:noWrap/>
            <w:tcMar>
              <w:left w:w="57" w:type="dxa"/>
              <w:right w:w="57" w:type="dxa"/>
            </w:tcMar>
            <w:vAlign w:val="bottom"/>
            <w:hideMark/>
          </w:tcPr>
          <w:p w:rsidR="00F5330F" w:rsidRPr="00F5330F" w:rsidRDefault="00F5330F" w:rsidP="00F5330F">
            <w:pPr>
              <w:spacing w:before="120"/>
              <w:jc w:val="center"/>
              <w:rPr>
                <w:rFonts w:ascii="Arial Narrow" w:hAnsi="Arial Narrow" w:cs="Arial"/>
                <w:b/>
                <w:bCs/>
              </w:rPr>
            </w:pPr>
            <w:r w:rsidRPr="00F5330F">
              <w:rPr>
                <w:rFonts w:ascii="Arial Narrow" w:hAnsi="Arial Narrow" w:cs="Arial"/>
                <w:b/>
                <w:bCs/>
              </w:rPr>
              <w:t>Πίνακας 3.1   Σύνθεση δημόσιου χρέους</w:t>
            </w:r>
          </w:p>
          <w:p w:rsidR="00F5330F" w:rsidRPr="00F5330F" w:rsidRDefault="00F5330F" w:rsidP="00F5330F">
            <w:pPr>
              <w:spacing w:after="120"/>
              <w:jc w:val="center"/>
              <w:rPr>
                <w:rFonts w:ascii="Arial Narrow" w:hAnsi="Arial Narrow" w:cs="Arial"/>
                <w:b/>
                <w:bCs/>
              </w:rPr>
            </w:pPr>
            <w:r w:rsidRPr="00F5330F">
              <w:rPr>
                <w:rFonts w:ascii="Arial Narrow" w:hAnsi="Arial Narrow" w:cs="Arial"/>
                <w:b/>
                <w:bCs/>
              </w:rPr>
              <w:t>(σε εκατ. ευρώ)</w:t>
            </w:r>
          </w:p>
        </w:tc>
      </w:tr>
      <w:tr w:rsidR="00F5330F" w:rsidRPr="00F5330F" w:rsidTr="003B594D">
        <w:trPr>
          <w:trHeight w:val="255"/>
        </w:trPr>
        <w:tc>
          <w:tcPr>
            <w:tcW w:w="4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5330F" w:rsidRPr="00F5330F" w:rsidRDefault="00F5330F" w:rsidP="00F5330F">
            <w:pPr>
              <w:jc w:val="center"/>
              <w:rPr>
                <w:rFonts w:ascii="Arial Narrow" w:hAnsi="Arial Narrow" w:cs="Arial"/>
                <w:sz w:val="16"/>
                <w:szCs w:val="16"/>
              </w:rPr>
            </w:pP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F5330F" w:rsidRPr="00F5330F" w:rsidRDefault="00F5330F" w:rsidP="00F5330F">
            <w:pPr>
              <w:jc w:val="center"/>
              <w:rPr>
                <w:rFonts w:ascii="Arial Narrow" w:hAnsi="Arial Narrow" w:cs="Arial"/>
                <w:b/>
                <w:bCs/>
                <w:sz w:val="16"/>
                <w:szCs w:val="16"/>
                <w:lang w:val="en-US"/>
              </w:rPr>
            </w:pPr>
            <w:r w:rsidRPr="00F5330F">
              <w:rPr>
                <w:rFonts w:ascii="Arial Narrow" w:hAnsi="Arial Narrow" w:cs="Arial"/>
                <w:b/>
                <w:bCs/>
                <w:sz w:val="16"/>
                <w:szCs w:val="16"/>
              </w:rPr>
              <w:t>201</w:t>
            </w:r>
            <w:r w:rsidRPr="00F5330F">
              <w:rPr>
                <w:rFonts w:ascii="Arial Narrow" w:hAnsi="Arial Narrow" w:cs="Arial"/>
                <w:b/>
                <w:bCs/>
                <w:sz w:val="16"/>
                <w:szCs w:val="16"/>
                <w:lang w:val="en-US"/>
              </w:rPr>
              <w:t>3</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F5330F" w:rsidRPr="00F5330F" w:rsidRDefault="00F5330F" w:rsidP="00F5330F">
            <w:pPr>
              <w:jc w:val="center"/>
              <w:rPr>
                <w:rFonts w:ascii="Arial Narrow" w:hAnsi="Arial Narrow" w:cs="Arial"/>
                <w:b/>
                <w:bCs/>
                <w:sz w:val="16"/>
                <w:szCs w:val="16"/>
                <w:lang w:val="en-US"/>
              </w:rPr>
            </w:pPr>
            <w:r w:rsidRPr="00F5330F">
              <w:rPr>
                <w:rFonts w:ascii="Arial Narrow" w:hAnsi="Arial Narrow" w:cs="Arial"/>
                <w:b/>
                <w:bCs/>
                <w:sz w:val="16"/>
                <w:szCs w:val="16"/>
              </w:rPr>
              <w:t>201</w:t>
            </w:r>
            <w:r w:rsidRPr="00F5330F">
              <w:rPr>
                <w:rFonts w:ascii="Arial Narrow" w:hAnsi="Arial Narrow" w:cs="Arial"/>
                <w:b/>
                <w:bCs/>
                <w:sz w:val="16"/>
                <w:szCs w:val="16"/>
                <w:lang w:val="en-US"/>
              </w:rPr>
              <w:t>4</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F5330F" w:rsidRPr="00F5330F" w:rsidRDefault="00F5330F" w:rsidP="00F5330F">
            <w:pPr>
              <w:jc w:val="center"/>
              <w:rPr>
                <w:rFonts w:ascii="Arial Narrow" w:hAnsi="Arial Narrow" w:cs="Arial"/>
                <w:b/>
                <w:bCs/>
                <w:sz w:val="16"/>
                <w:szCs w:val="16"/>
                <w:lang w:val="en-US"/>
              </w:rPr>
            </w:pPr>
            <w:r w:rsidRPr="00F5330F">
              <w:rPr>
                <w:rFonts w:ascii="Arial Narrow" w:hAnsi="Arial Narrow" w:cs="Arial"/>
                <w:b/>
                <w:bCs/>
                <w:sz w:val="16"/>
                <w:szCs w:val="16"/>
              </w:rPr>
              <w:t>201</w:t>
            </w:r>
            <w:r w:rsidRPr="00F5330F">
              <w:rPr>
                <w:rFonts w:ascii="Arial Narrow" w:hAnsi="Arial Narrow" w:cs="Arial"/>
                <w:b/>
                <w:bCs/>
                <w:sz w:val="16"/>
                <w:szCs w:val="16"/>
                <w:lang w:val="en-US"/>
              </w:rPr>
              <w:t>5</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F5330F" w:rsidRPr="00F5330F" w:rsidRDefault="00F5330F" w:rsidP="00F5330F">
            <w:pPr>
              <w:jc w:val="center"/>
              <w:rPr>
                <w:rFonts w:ascii="Arial Narrow" w:hAnsi="Arial Narrow" w:cs="Arial"/>
                <w:b/>
                <w:bCs/>
                <w:sz w:val="16"/>
                <w:szCs w:val="16"/>
                <w:lang w:val="en-US"/>
              </w:rPr>
            </w:pPr>
            <w:r w:rsidRPr="00F5330F">
              <w:rPr>
                <w:rFonts w:ascii="Arial Narrow" w:hAnsi="Arial Narrow" w:cs="Arial"/>
                <w:b/>
                <w:bCs/>
                <w:sz w:val="16"/>
                <w:szCs w:val="16"/>
              </w:rPr>
              <w:t>201</w:t>
            </w:r>
            <w:r w:rsidRPr="00F5330F">
              <w:rPr>
                <w:rFonts w:ascii="Arial Narrow" w:hAnsi="Arial Narrow" w:cs="Arial"/>
                <w:b/>
                <w:bCs/>
                <w:sz w:val="16"/>
                <w:szCs w:val="16"/>
                <w:lang w:val="en-US"/>
              </w:rPr>
              <w:t>6</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F5330F" w:rsidRPr="00F5330F" w:rsidRDefault="00F5330F" w:rsidP="00F5330F">
            <w:pPr>
              <w:jc w:val="center"/>
              <w:rPr>
                <w:rFonts w:ascii="Arial Narrow" w:hAnsi="Arial Narrow" w:cs="Arial"/>
                <w:b/>
                <w:bCs/>
                <w:sz w:val="16"/>
                <w:szCs w:val="16"/>
              </w:rPr>
            </w:pPr>
            <w:r w:rsidRPr="00F5330F">
              <w:rPr>
                <w:rFonts w:ascii="Arial Narrow" w:hAnsi="Arial Narrow" w:cs="Arial"/>
                <w:b/>
                <w:bCs/>
                <w:sz w:val="16"/>
                <w:szCs w:val="16"/>
              </w:rPr>
              <w:t>201</w:t>
            </w:r>
            <w:r w:rsidRPr="00F5330F">
              <w:rPr>
                <w:rFonts w:ascii="Arial Narrow" w:hAnsi="Arial Narrow" w:cs="Arial"/>
                <w:b/>
                <w:bCs/>
                <w:sz w:val="16"/>
                <w:szCs w:val="16"/>
                <w:lang w:val="en-US"/>
              </w:rPr>
              <w:t>7</w:t>
            </w:r>
            <w:r w:rsidRPr="00F5330F">
              <w:rPr>
                <w:rFonts w:ascii="Arial Narrow" w:hAnsi="Arial Narrow" w:cs="Arial"/>
                <w:b/>
                <w:bCs/>
                <w:sz w:val="16"/>
                <w:szCs w:val="16"/>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F5330F" w:rsidRPr="00F5330F" w:rsidRDefault="00F5330F" w:rsidP="00F5330F">
            <w:pPr>
              <w:jc w:val="center"/>
              <w:rPr>
                <w:rFonts w:ascii="Arial Narrow" w:hAnsi="Arial Narrow" w:cs="Arial"/>
                <w:b/>
                <w:bCs/>
                <w:sz w:val="16"/>
                <w:szCs w:val="16"/>
              </w:rPr>
            </w:pPr>
            <w:r w:rsidRPr="00F5330F">
              <w:rPr>
                <w:rFonts w:ascii="Arial Narrow" w:hAnsi="Arial Narrow" w:cs="Arial"/>
                <w:b/>
                <w:bCs/>
                <w:sz w:val="16"/>
                <w:szCs w:val="16"/>
              </w:rPr>
              <w:t>201</w:t>
            </w:r>
            <w:r w:rsidRPr="00F5330F">
              <w:rPr>
                <w:rFonts w:ascii="Arial Narrow" w:hAnsi="Arial Narrow" w:cs="Arial"/>
                <w:b/>
                <w:bCs/>
                <w:sz w:val="16"/>
                <w:szCs w:val="16"/>
                <w:lang w:val="en-US"/>
              </w:rPr>
              <w:t>8</w:t>
            </w:r>
            <w:r w:rsidRPr="00F5330F">
              <w:rPr>
                <w:rFonts w:ascii="Arial Narrow" w:hAnsi="Arial Narrow" w:cs="Arial"/>
                <w:b/>
                <w:bCs/>
                <w:sz w:val="16"/>
                <w:szCs w:val="16"/>
              </w:rPr>
              <w:t>**</w:t>
            </w:r>
          </w:p>
        </w:tc>
      </w:tr>
      <w:tr w:rsidR="00F5330F" w:rsidRPr="00F5330F" w:rsidTr="003B594D">
        <w:trPr>
          <w:trHeight w:val="184"/>
        </w:trPr>
        <w:tc>
          <w:tcPr>
            <w:tcW w:w="426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F5330F" w:rsidRPr="00F5330F" w:rsidRDefault="00F5330F" w:rsidP="00F5330F">
            <w:pPr>
              <w:rPr>
                <w:rFonts w:ascii="Arial Narrow" w:hAnsi="Arial Narrow" w:cs="Arial"/>
                <w:sz w:val="16"/>
                <w:szCs w:val="16"/>
              </w:rPr>
            </w:pPr>
          </w:p>
        </w:tc>
        <w:tc>
          <w:tcPr>
            <w:tcW w:w="850"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F5330F" w:rsidRPr="00F5330F" w:rsidRDefault="00F5330F" w:rsidP="00F5330F">
            <w:pPr>
              <w:rPr>
                <w:rFonts w:ascii="Arial Narrow" w:hAnsi="Arial Narrow" w:cs="Arial"/>
                <w:b/>
                <w:bCs/>
                <w:sz w:val="16"/>
                <w:szCs w:val="16"/>
              </w:rPr>
            </w:pPr>
          </w:p>
        </w:tc>
        <w:tc>
          <w:tcPr>
            <w:tcW w:w="851"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F5330F" w:rsidRPr="00F5330F" w:rsidRDefault="00F5330F" w:rsidP="00F5330F">
            <w:pPr>
              <w:rPr>
                <w:rFonts w:ascii="Arial Narrow" w:hAnsi="Arial Narrow" w:cs="Arial"/>
                <w:b/>
                <w:bCs/>
                <w:sz w:val="16"/>
                <w:szCs w:val="16"/>
              </w:rPr>
            </w:pPr>
          </w:p>
        </w:tc>
        <w:tc>
          <w:tcPr>
            <w:tcW w:w="850"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F5330F" w:rsidRPr="00F5330F" w:rsidRDefault="00F5330F" w:rsidP="00F5330F">
            <w:pPr>
              <w:rPr>
                <w:rFonts w:ascii="Arial Narrow" w:hAnsi="Arial Narrow" w:cs="Arial"/>
                <w:b/>
                <w:bCs/>
                <w:sz w:val="16"/>
                <w:szCs w:val="16"/>
              </w:rPr>
            </w:pPr>
          </w:p>
        </w:tc>
        <w:tc>
          <w:tcPr>
            <w:tcW w:w="851"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F5330F" w:rsidRPr="00F5330F" w:rsidRDefault="00F5330F" w:rsidP="00F5330F">
            <w:pPr>
              <w:rPr>
                <w:rFonts w:ascii="Arial Narrow" w:hAnsi="Arial Narrow" w:cs="Arial"/>
                <w:b/>
                <w:bCs/>
                <w:sz w:val="16"/>
                <w:szCs w:val="16"/>
              </w:rPr>
            </w:pPr>
          </w:p>
        </w:tc>
        <w:tc>
          <w:tcPr>
            <w:tcW w:w="709"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F5330F" w:rsidRPr="00F5330F" w:rsidRDefault="00F5330F" w:rsidP="00F5330F">
            <w:pPr>
              <w:rPr>
                <w:rFonts w:ascii="Arial Narrow" w:hAnsi="Arial Narrow" w:cs="Arial"/>
                <w:b/>
                <w:bCs/>
                <w:sz w:val="16"/>
                <w:szCs w:val="16"/>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F5330F" w:rsidRPr="00F5330F" w:rsidRDefault="00F5330F" w:rsidP="00F5330F">
            <w:pPr>
              <w:rPr>
                <w:rFonts w:ascii="Arial Narrow" w:hAnsi="Arial Narrow" w:cs="Arial"/>
                <w:b/>
                <w:bCs/>
                <w:sz w:val="16"/>
                <w:szCs w:val="16"/>
              </w:rPr>
            </w:pPr>
          </w:p>
        </w:tc>
      </w:tr>
      <w:tr w:rsidR="00F5330F" w:rsidRPr="00F5330F" w:rsidTr="003B594D">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5330F" w:rsidRPr="00F5330F" w:rsidRDefault="00F5330F" w:rsidP="00F5330F">
            <w:pPr>
              <w:rPr>
                <w:rFonts w:ascii="Arial Narrow" w:hAnsi="Arial Narrow" w:cs="Arial"/>
                <w:sz w:val="16"/>
                <w:szCs w:val="16"/>
              </w:rPr>
            </w:pPr>
            <w:r w:rsidRPr="00F5330F">
              <w:rPr>
                <w:rFonts w:ascii="Arial Narrow" w:hAnsi="Arial Narrow" w:cs="Arial"/>
                <w:sz w:val="16"/>
                <w:szCs w:val="16"/>
              </w:rPr>
              <w:t>Ομόλογα</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76.296</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66.560</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59.819</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56.717</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52.180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57.280</w:t>
            </w:r>
          </w:p>
        </w:tc>
      </w:tr>
      <w:tr w:rsidR="00F5330F" w:rsidRPr="00F5330F" w:rsidTr="003B594D">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5330F" w:rsidRPr="00F5330F" w:rsidRDefault="00F5330F" w:rsidP="00F5330F">
            <w:pPr>
              <w:rPr>
                <w:rFonts w:ascii="Arial Narrow" w:hAnsi="Arial Narrow" w:cs="Arial"/>
                <w:sz w:val="16"/>
                <w:szCs w:val="16"/>
              </w:rPr>
            </w:pPr>
            <w:r w:rsidRPr="00F5330F">
              <w:rPr>
                <w:rFonts w:ascii="Arial Narrow" w:hAnsi="Arial Narrow" w:cs="Arial"/>
                <w:sz w:val="16"/>
                <w:szCs w:val="16"/>
              </w:rPr>
              <w:t>Βραχυπρόθεσμοι τίτλοι</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14.971</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14.529</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14.880</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14.890</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14.900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13.700</w:t>
            </w:r>
          </w:p>
        </w:tc>
      </w:tr>
      <w:tr w:rsidR="00F5330F" w:rsidRPr="00F5330F" w:rsidTr="003B594D">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5330F" w:rsidRPr="00F5330F" w:rsidRDefault="00F5330F" w:rsidP="00F5330F">
            <w:pPr>
              <w:rPr>
                <w:rFonts w:ascii="Arial Narrow" w:hAnsi="Arial Narrow" w:cs="Arial"/>
                <w:sz w:val="16"/>
                <w:szCs w:val="16"/>
              </w:rPr>
            </w:pPr>
            <w:r w:rsidRPr="00F5330F">
              <w:rPr>
                <w:rFonts w:ascii="Arial Narrow" w:hAnsi="Arial Narrow" w:cs="Arial"/>
                <w:sz w:val="16"/>
                <w:szCs w:val="16"/>
              </w:rPr>
              <w:t>Δάνεια</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230.211</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234.434</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236.633</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243.388</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252.620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264.920</w:t>
            </w:r>
          </w:p>
        </w:tc>
      </w:tr>
      <w:tr w:rsidR="00F5330F" w:rsidRPr="00F5330F" w:rsidTr="003B594D">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5330F" w:rsidRPr="00F5330F" w:rsidRDefault="00F5330F" w:rsidP="00F5330F">
            <w:pPr>
              <w:rPr>
                <w:rFonts w:ascii="Arial Narrow" w:hAnsi="Arial Narrow" w:cs="Arial"/>
                <w:sz w:val="16"/>
                <w:szCs w:val="16"/>
              </w:rPr>
            </w:pPr>
            <w:r w:rsidRPr="00F5330F">
              <w:rPr>
                <w:rFonts w:ascii="Arial Narrow" w:hAnsi="Arial Narrow" w:cs="Arial"/>
                <w:sz w:val="16"/>
                <w:szCs w:val="16"/>
              </w:rPr>
              <w:t>Βραχυπρόθεσμα Δάνεια</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8.605</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10.000</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11.363</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15.000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9.000</w:t>
            </w:r>
          </w:p>
        </w:tc>
      </w:tr>
      <w:tr w:rsidR="00F5330F" w:rsidRPr="00F5330F" w:rsidTr="003B594D">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5330F" w:rsidRPr="00F5330F" w:rsidRDefault="00F5330F" w:rsidP="00F5330F">
            <w:pPr>
              <w:rPr>
                <w:rFonts w:ascii="Arial Narrow" w:hAnsi="Arial Narrow" w:cs="Arial"/>
                <w:b/>
                <w:bCs/>
                <w:sz w:val="16"/>
                <w:szCs w:val="16"/>
              </w:rPr>
            </w:pPr>
            <w:r w:rsidRPr="00F5330F">
              <w:rPr>
                <w:rFonts w:ascii="Arial Narrow" w:hAnsi="Arial Narrow" w:cs="Arial"/>
                <w:b/>
                <w:bCs/>
                <w:sz w:val="16"/>
                <w:szCs w:val="16"/>
              </w:rPr>
              <w:t>Α. Χρέος Κεντρικής Διοίκησης</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321.478</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324.128</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321.332</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326.358</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334.700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344.900</w:t>
            </w:r>
          </w:p>
        </w:tc>
      </w:tr>
      <w:tr w:rsidR="00F5330F" w:rsidRPr="00F5330F" w:rsidTr="003B594D">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5330F" w:rsidRPr="00F5330F" w:rsidRDefault="00F5330F" w:rsidP="00F5330F">
            <w:pPr>
              <w:rPr>
                <w:rFonts w:ascii="Arial Narrow" w:hAnsi="Arial Narrow" w:cs="Arial"/>
                <w:b/>
                <w:bCs/>
                <w:sz w:val="16"/>
                <w:szCs w:val="16"/>
              </w:rPr>
            </w:pPr>
            <w:r w:rsidRPr="00F5330F">
              <w:rPr>
                <w:rFonts w:ascii="Arial Narrow" w:hAnsi="Arial Narrow" w:cs="Arial"/>
                <w:b/>
                <w:bCs/>
                <w:sz w:val="16"/>
                <w:szCs w:val="16"/>
              </w:rPr>
              <w:t>(ως % του ΑΕΠ)</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178,0%</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182,2%</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182,9%</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185,5%</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185,7%</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184,7%</w:t>
            </w:r>
          </w:p>
        </w:tc>
      </w:tr>
      <w:tr w:rsidR="00F5330F" w:rsidRPr="00F5330F" w:rsidTr="003B594D">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5330F" w:rsidRPr="00F5330F" w:rsidRDefault="00F5330F" w:rsidP="00F5330F">
            <w:pPr>
              <w:rPr>
                <w:rFonts w:ascii="Arial Narrow" w:hAnsi="Arial Narrow" w:cs="Arial"/>
                <w:sz w:val="16"/>
                <w:szCs w:val="16"/>
              </w:rPr>
            </w:pPr>
            <w:r w:rsidRPr="00F5330F">
              <w:rPr>
                <w:rFonts w:ascii="Arial Narrow" w:hAnsi="Arial Narrow" w:cs="Arial"/>
                <w:sz w:val="16"/>
                <w:szCs w:val="16"/>
              </w:rPr>
              <w:t>Β. Χρέος ΝΠΔΔ, κέρματα κ.λπ. μείον επενδύσεις σε τίτλους ΕΔ</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6.779</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5.836</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1.976</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463</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-900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-1.000</w:t>
            </w:r>
          </w:p>
        </w:tc>
      </w:tr>
      <w:tr w:rsidR="00F5330F" w:rsidRPr="00F5330F" w:rsidTr="003B594D">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5330F" w:rsidRPr="00F5330F" w:rsidRDefault="00F5330F" w:rsidP="00F5330F">
            <w:pPr>
              <w:rPr>
                <w:rFonts w:ascii="Arial Narrow" w:hAnsi="Arial Narrow" w:cs="Arial"/>
                <w:b/>
                <w:bCs/>
                <w:sz w:val="16"/>
                <w:szCs w:val="16"/>
              </w:rPr>
            </w:pPr>
            <w:r w:rsidRPr="00F5330F">
              <w:rPr>
                <w:rFonts w:ascii="Arial Narrow" w:hAnsi="Arial Narrow" w:cs="Arial"/>
                <w:b/>
                <w:bCs/>
                <w:sz w:val="16"/>
                <w:szCs w:val="16"/>
              </w:rPr>
              <w:t>Γ. Χρέος Κεντρικής Κυβέρνησης κατά ESA (A+B)</w:t>
            </w:r>
          </w:p>
        </w:tc>
        <w:tc>
          <w:tcPr>
            <w:tcW w:w="850" w:type="dxa"/>
            <w:tcBorders>
              <w:top w:val="nil"/>
              <w:left w:val="nil"/>
              <w:bottom w:val="nil"/>
              <w:right w:val="nil"/>
            </w:tcBorders>
            <w:shd w:val="clear" w:color="auto" w:fill="auto"/>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328.257</w:t>
            </w:r>
          </w:p>
        </w:tc>
        <w:tc>
          <w:tcPr>
            <w:tcW w:w="851" w:type="dxa"/>
            <w:tcBorders>
              <w:top w:val="nil"/>
              <w:left w:val="nil"/>
              <w:bottom w:val="nil"/>
              <w:right w:val="nil"/>
            </w:tcBorders>
            <w:shd w:val="clear" w:color="auto" w:fill="auto"/>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329.964</w:t>
            </w:r>
          </w:p>
        </w:tc>
        <w:tc>
          <w:tcPr>
            <w:tcW w:w="850" w:type="dxa"/>
            <w:tcBorders>
              <w:top w:val="nil"/>
              <w:left w:val="nil"/>
              <w:bottom w:val="nil"/>
              <w:right w:val="nil"/>
            </w:tcBorders>
            <w:shd w:val="clear" w:color="auto" w:fill="auto"/>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323.308</w:t>
            </w:r>
          </w:p>
        </w:tc>
        <w:tc>
          <w:tcPr>
            <w:tcW w:w="851" w:type="dxa"/>
            <w:tcBorders>
              <w:top w:val="nil"/>
              <w:left w:val="nil"/>
              <w:bottom w:val="nil"/>
              <w:right w:val="nil"/>
            </w:tcBorders>
            <w:shd w:val="clear" w:color="auto" w:fill="auto"/>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326.821</w:t>
            </w:r>
          </w:p>
        </w:tc>
        <w:tc>
          <w:tcPr>
            <w:tcW w:w="709" w:type="dxa"/>
            <w:tcBorders>
              <w:top w:val="nil"/>
              <w:left w:val="nil"/>
              <w:bottom w:val="nil"/>
              <w:right w:val="nil"/>
            </w:tcBorders>
            <w:shd w:val="clear" w:color="auto" w:fill="auto"/>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333.800</w:t>
            </w:r>
          </w:p>
        </w:tc>
        <w:tc>
          <w:tcPr>
            <w:tcW w:w="708" w:type="dxa"/>
            <w:tcBorders>
              <w:top w:val="nil"/>
              <w:left w:val="nil"/>
              <w:bottom w:val="nil"/>
              <w:right w:val="single" w:sz="4" w:space="0" w:color="auto"/>
            </w:tcBorders>
            <w:shd w:val="clear" w:color="auto" w:fill="auto"/>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343.900</w:t>
            </w:r>
          </w:p>
        </w:tc>
      </w:tr>
      <w:tr w:rsidR="00F5330F" w:rsidRPr="00F5330F" w:rsidTr="003B594D">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5330F" w:rsidRPr="00F5330F" w:rsidRDefault="00F5330F" w:rsidP="00F5330F">
            <w:pPr>
              <w:rPr>
                <w:rFonts w:ascii="Arial Narrow" w:hAnsi="Arial Narrow" w:cs="Arial"/>
                <w:b/>
                <w:bCs/>
                <w:sz w:val="16"/>
                <w:szCs w:val="16"/>
              </w:rPr>
            </w:pPr>
            <w:r w:rsidRPr="00F5330F">
              <w:rPr>
                <w:rFonts w:ascii="Arial Narrow" w:hAnsi="Arial Narrow" w:cs="Arial"/>
                <w:b/>
                <w:bCs/>
                <w:sz w:val="16"/>
                <w:szCs w:val="16"/>
              </w:rPr>
              <w:t>(ως % του ΑΕΠ)</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181,7%</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185,4%</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184,0%</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185,8%</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185,2%</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184,2%</w:t>
            </w:r>
          </w:p>
        </w:tc>
      </w:tr>
      <w:tr w:rsidR="00F5330F" w:rsidRPr="00F5330F" w:rsidTr="003B594D">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5330F" w:rsidRPr="00F5330F" w:rsidRDefault="00F5330F" w:rsidP="00F5330F">
            <w:pPr>
              <w:rPr>
                <w:rFonts w:ascii="Arial Narrow" w:hAnsi="Arial Narrow" w:cs="Arial"/>
                <w:sz w:val="16"/>
                <w:szCs w:val="16"/>
              </w:rPr>
            </w:pPr>
            <w:r w:rsidRPr="00F5330F">
              <w:rPr>
                <w:rFonts w:ascii="Arial Narrow" w:hAnsi="Arial Narrow" w:cs="Arial"/>
                <w:sz w:val="16"/>
                <w:szCs w:val="16"/>
              </w:rPr>
              <w:t>Δ. Χρέος ΟΤΑ, ΟΚΑ μείον ενδοκυβερνητικό χρέος</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-7.746</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-10.236</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-11.640</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-11.924</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-15.100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-16.000</w:t>
            </w:r>
          </w:p>
        </w:tc>
      </w:tr>
      <w:tr w:rsidR="00F5330F" w:rsidRPr="00F5330F" w:rsidTr="003B594D">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5330F" w:rsidRPr="00F5330F" w:rsidRDefault="00F5330F" w:rsidP="00F5330F">
            <w:pPr>
              <w:rPr>
                <w:rFonts w:ascii="Arial Narrow" w:hAnsi="Arial Narrow" w:cs="Arial"/>
                <w:b/>
                <w:bCs/>
                <w:sz w:val="16"/>
                <w:szCs w:val="16"/>
              </w:rPr>
            </w:pPr>
            <w:r w:rsidRPr="00F5330F">
              <w:rPr>
                <w:rFonts w:ascii="Arial Narrow" w:hAnsi="Arial Narrow" w:cs="Arial"/>
                <w:b/>
                <w:bCs/>
                <w:sz w:val="16"/>
                <w:szCs w:val="16"/>
              </w:rPr>
              <w:t>Ε. Χρέος Γενικής Κυβέρνησης (Γ+Δ)</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320.511</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319.728</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311.668</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314.897</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318.700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327.900</w:t>
            </w:r>
          </w:p>
        </w:tc>
      </w:tr>
      <w:tr w:rsidR="00F5330F" w:rsidRPr="00F5330F" w:rsidTr="003B594D">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5330F" w:rsidRPr="00F5330F" w:rsidRDefault="00F5330F" w:rsidP="00F5330F">
            <w:pPr>
              <w:rPr>
                <w:rFonts w:ascii="Arial Narrow" w:hAnsi="Arial Narrow" w:cs="Arial"/>
                <w:b/>
                <w:bCs/>
                <w:sz w:val="16"/>
                <w:szCs w:val="16"/>
              </w:rPr>
            </w:pPr>
            <w:r w:rsidRPr="00F5330F">
              <w:rPr>
                <w:rFonts w:ascii="Arial Narrow" w:hAnsi="Arial Narrow" w:cs="Arial"/>
                <w:b/>
                <w:bCs/>
                <w:sz w:val="16"/>
                <w:szCs w:val="16"/>
              </w:rPr>
              <w:t>(ως % του ΑΕΠ)</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177,4%</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179,7%</w:t>
            </w:r>
          </w:p>
        </w:tc>
        <w:tc>
          <w:tcPr>
            <w:tcW w:w="850"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177,4%</w:t>
            </w:r>
          </w:p>
        </w:tc>
        <w:tc>
          <w:tcPr>
            <w:tcW w:w="851"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179,0%</w:t>
            </w:r>
          </w:p>
        </w:tc>
        <w:tc>
          <w:tcPr>
            <w:tcW w:w="709" w:type="dxa"/>
            <w:tcBorders>
              <w:top w:val="nil"/>
              <w:left w:val="nil"/>
              <w:bottom w:val="nil"/>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176,8%</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b/>
                <w:bCs/>
                <w:sz w:val="16"/>
                <w:szCs w:val="16"/>
              </w:rPr>
            </w:pPr>
            <w:r w:rsidRPr="00F5330F">
              <w:rPr>
                <w:rFonts w:ascii="Arial Narrow" w:hAnsi="Arial Narrow" w:cs="Arial"/>
                <w:b/>
                <w:bCs/>
                <w:sz w:val="16"/>
                <w:szCs w:val="16"/>
              </w:rPr>
              <w:t>175,6%</w:t>
            </w:r>
          </w:p>
        </w:tc>
      </w:tr>
      <w:tr w:rsidR="00F5330F" w:rsidRPr="00F5330F" w:rsidTr="003B594D">
        <w:trPr>
          <w:trHeight w:val="340"/>
        </w:trPr>
        <w:tc>
          <w:tcPr>
            <w:tcW w:w="4268" w:type="dxa"/>
            <w:tcBorders>
              <w:top w:val="nil"/>
              <w:left w:val="single" w:sz="4" w:space="0" w:color="auto"/>
              <w:bottom w:val="single" w:sz="4" w:space="0" w:color="auto"/>
              <w:right w:val="nil"/>
            </w:tcBorders>
            <w:shd w:val="clear" w:color="auto" w:fill="auto"/>
            <w:noWrap/>
            <w:tcMar>
              <w:left w:w="57" w:type="dxa"/>
              <w:right w:w="57" w:type="dxa"/>
            </w:tcMar>
            <w:vAlign w:val="bottom"/>
            <w:hideMark/>
          </w:tcPr>
          <w:p w:rsidR="00F5330F" w:rsidRPr="00F5330F" w:rsidRDefault="00F5330F" w:rsidP="00F5330F">
            <w:pPr>
              <w:rPr>
                <w:rFonts w:ascii="Arial Narrow" w:hAnsi="Arial Narrow" w:cs="Arial"/>
                <w:sz w:val="16"/>
                <w:szCs w:val="16"/>
              </w:rPr>
            </w:pPr>
            <w:r w:rsidRPr="00F5330F">
              <w:rPr>
                <w:rFonts w:ascii="Arial Narrow" w:hAnsi="Arial Narrow" w:cs="Arial"/>
                <w:sz w:val="16"/>
                <w:szCs w:val="16"/>
              </w:rPr>
              <w:t xml:space="preserve">ΑΕΠ </w:t>
            </w:r>
          </w:p>
        </w:tc>
        <w:tc>
          <w:tcPr>
            <w:tcW w:w="850" w:type="dxa"/>
            <w:tcBorders>
              <w:top w:val="nil"/>
              <w:left w:val="nil"/>
              <w:bottom w:val="single" w:sz="4" w:space="0" w:color="auto"/>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180.654</w:t>
            </w:r>
          </w:p>
        </w:tc>
        <w:tc>
          <w:tcPr>
            <w:tcW w:w="851" w:type="dxa"/>
            <w:tcBorders>
              <w:top w:val="nil"/>
              <w:left w:val="nil"/>
              <w:bottom w:val="single" w:sz="4" w:space="0" w:color="auto"/>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177.941</w:t>
            </w:r>
          </w:p>
        </w:tc>
        <w:tc>
          <w:tcPr>
            <w:tcW w:w="850" w:type="dxa"/>
            <w:tcBorders>
              <w:top w:val="nil"/>
              <w:left w:val="nil"/>
              <w:bottom w:val="single" w:sz="4" w:space="0" w:color="auto"/>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175.697</w:t>
            </w:r>
          </w:p>
        </w:tc>
        <w:tc>
          <w:tcPr>
            <w:tcW w:w="851" w:type="dxa"/>
            <w:tcBorders>
              <w:top w:val="nil"/>
              <w:left w:val="nil"/>
              <w:bottom w:val="single" w:sz="4" w:space="0" w:color="auto"/>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175.888</w:t>
            </w:r>
          </w:p>
        </w:tc>
        <w:tc>
          <w:tcPr>
            <w:tcW w:w="709" w:type="dxa"/>
            <w:tcBorders>
              <w:top w:val="nil"/>
              <w:left w:val="nil"/>
              <w:bottom w:val="single" w:sz="4" w:space="0" w:color="auto"/>
              <w:right w:val="nil"/>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180.236</w:t>
            </w:r>
          </w:p>
        </w:tc>
        <w:tc>
          <w:tcPr>
            <w:tcW w:w="70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rsidR="00F5330F" w:rsidRPr="00F5330F" w:rsidRDefault="00F5330F" w:rsidP="00F5330F">
            <w:pPr>
              <w:ind w:right="85"/>
              <w:jc w:val="right"/>
              <w:rPr>
                <w:rFonts w:ascii="Arial Narrow" w:hAnsi="Arial Narrow" w:cs="Arial"/>
                <w:sz w:val="16"/>
                <w:szCs w:val="16"/>
              </w:rPr>
            </w:pPr>
            <w:r w:rsidRPr="00F5330F">
              <w:rPr>
                <w:rFonts w:ascii="Arial Narrow" w:hAnsi="Arial Narrow" w:cs="Arial"/>
                <w:sz w:val="16"/>
                <w:szCs w:val="16"/>
              </w:rPr>
              <w:t>186.742</w:t>
            </w:r>
          </w:p>
        </w:tc>
      </w:tr>
    </w:tbl>
    <w:p w:rsidR="00F5330F" w:rsidRPr="00F5330F" w:rsidRDefault="00F5330F" w:rsidP="00F5330F">
      <w:pPr>
        <w:tabs>
          <w:tab w:val="left" w:pos="360"/>
        </w:tabs>
        <w:spacing w:line="228" w:lineRule="auto"/>
        <w:ind w:left="360" w:right="249" w:hanging="360"/>
        <w:jc w:val="both"/>
        <w:rPr>
          <w:rFonts w:ascii="Arial Narrow" w:hAnsi="Arial Narrow"/>
          <w:sz w:val="18"/>
          <w:szCs w:val="16"/>
        </w:rPr>
      </w:pPr>
      <w:r w:rsidRPr="00F5330F">
        <w:rPr>
          <w:rFonts w:ascii="Arial Narrow" w:hAnsi="Arial Narrow"/>
          <w:sz w:val="18"/>
          <w:szCs w:val="16"/>
        </w:rPr>
        <w:t>*</w:t>
      </w:r>
      <w:r w:rsidRPr="00F5330F">
        <w:rPr>
          <w:rFonts w:ascii="Arial Narrow" w:hAnsi="Arial Narrow"/>
          <w:sz w:val="18"/>
          <w:szCs w:val="16"/>
        </w:rPr>
        <w:tab/>
        <w:t>Εκτιμήσεις</w:t>
      </w:r>
    </w:p>
    <w:p w:rsidR="00F5330F" w:rsidRPr="00F5330F" w:rsidRDefault="00F5330F" w:rsidP="00F5330F">
      <w:pPr>
        <w:tabs>
          <w:tab w:val="left" w:pos="360"/>
        </w:tabs>
        <w:spacing w:line="228" w:lineRule="auto"/>
        <w:ind w:right="249"/>
        <w:jc w:val="both"/>
        <w:rPr>
          <w:rFonts w:ascii="Arial Narrow" w:hAnsi="Arial Narrow"/>
          <w:sz w:val="18"/>
          <w:szCs w:val="16"/>
        </w:rPr>
      </w:pPr>
      <w:r w:rsidRPr="00F5330F">
        <w:rPr>
          <w:rFonts w:ascii="Arial Narrow" w:hAnsi="Arial Narrow"/>
          <w:sz w:val="18"/>
          <w:szCs w:val="16"/>
        </w:rPr>
        <w:t>**</w:t>
      </w:r>
      <w:r w:rsidRPr="00F5330F">
        <w:rPr>
          <w:rFonts w:ascii="Arial Narrow" w:hAnsi="Arial Narrow"/>
          <w:sz w:val="18"/>
          <w:szCs w:val="16"/>
        </w:rPr>
        <w:tab/>
        <w:t>Προβλέψεις</w:t>
      </w:r>
    </w:p>
    <w:p w:rsidR="00F5330F" w:rsidRPr="00F5330F" w:rsidRDefault="00F5330F" w:rsidP="00F5330F">
      <w:pPr>
        <w:tabs>
          <w:tab w:val="left" w:pos="360"/>
        </w:tabs>
        <w:spacing w:line="228" w:lineRule="auto"/>
        <w:ind w:right="249"/>
        <w:jc w:val="both"/>
        <w:rPr>
          <w:rFonts w:ascii="Arial Narrow" w:hAnsi="Arial Narrow"/>
          <w:sz w:val="18"/>
          <w:szCs w:val="16"/>
        </w:rPr>
      </w:pPr>
    </w:p>
    <w:p w:rsidR="00F5330F" w:rsidRPr="00F5330F" w:rsidRDefault="00F5330F" w:rsidP="00F5330F">
      <w:pPr>
        <w:tabs>
          <w:tab w:val="left" w:pos="360"/>
        </w:tabs>
        <w:spacing w:line="228" w:lineRule="auto"/>
        <w:ind w:right="249"/>
        <w:jc w:val="both"/>
        <w:rPr>
          <w:rFonts w:ascii="Arial Narrow" w:hAnsi="Arial Narrow"/>
          <w:sz w:val="18"/>
          <w:szCs w:val="16"/>
        </w:rPr>
      </w:pPr>
    </w:p>
    <w:p w:rsidR="00F5330F" w:rsidRPr="00F5330F" w:rsidRDefault="00F5330F" w:rsidP="00F5330F">
      <w:pPr>
        <w:keepNext/>
        <w:jc w:val="both"/>
        <w:outlineLvl w:val="3"/>
        <w:rPr>
          <w:rFonts w:ascii="Arial Narrow" w:hAnsi="Arial Narrow"/>
          <w:b/>
          <w:color w:val="000080"/>
          <w:szCs w:val="22"/>
        </w:rPr>
      </w:pPr>
      <w:r w:rsidRPr="00F5330F">
        <w:rPr>
          <w:rFonts w:ascii="Arial Narrow" w:hAnsi="Arial Narrow"/>
          <w:b/>
          <w:color w:val="000080"/>
          <w:szCs w:val="22"/>
        </w:rPr>
        <w:t>Δομή και χαρακτηριστικά του χρέους της Κεντρικής Διοίκησης</w:t>
      </w:r>
    </w:p>
    <w:p w:rsidR="00F5330F" w:rsidRPr="00F5330F" w:rsidRDefault="00F5330F" w:rsidP="00F5330F">
      <w:pPr>
        <w:jc w:val="both"/>
        <w:rPr>
          <w:sz w:val="22"/>
          <w:szCs w:val="22"/>
        </w:rPr>
      </w:pPr>
    </w:p>
    <w:p w:rsidR="00F5330F" w:rsidRPr="00F5330F" w:rsidRDefault="00F5330F" w:rsidP="00F5330F">
      <w:pPr>
        <w:jc w:val="both"/>
        <w:rPr>
          <w:szCs w:val="22"/>
        </w:rPr>
      </w:pPr>
      <w:r w:rsidRPr="00F5330F">
        <w:rPr>
          <w:szCs w:val="22"/>
        </w:rPr>
        <w:t>Ο χρονικός ορίζοντας των λήξεων του χρέους της Κεντρικής Διοίκησης στις 31/8/2017 εκτε</w:t>
      </w:r>
      <w:r w:rsidRPr="00F5330F">
        <w:rPr>
          <w:szCs w:val="22"/>
        </w:rPr>
        <w:t>ί</w:t>
      </w:r>
      <w:r w:rsidRPr="00F5330F">
        <w:rPr>
          <w:szCs w:val="22"/>
        </w:rPr>
        <w:t>νεται μέχρι το έτος 2059. Η αδυναμία προσφυγής για δανεισμό στις αγορές από το Μάιο του 2010, είχε ως αποτέλεσμα τη δραστική μείωση των ομολόγων και την αντικατάστασή τους με δάνεια (διάγραμμα 3.1). Η αναλογία αυτή αναμένεται να αντιστραφεί τα επόμενα έτη με τη σταδιακή επάνοδο του Ελληνικού Δημοσίου στις αγορές για δανεισμό.</w:t>
      </w:r>
    </w:p>
    <w:p w:rsidR="00F5330F" w:rsidRPr="00F5330F" w:rsidRDefault="00F5330F" w:rsidP="00F5330F">
      <w:pPr>
        <w:jc w:val="both"/>
        <w:rPr>
          <w:szCs w:val="22"/>
        </w:rPr>
      </w:pPr>
    </w:p>
    <w:p w:rsidR="00F5330F" w:rsidRPr="00F5330F" w:rsidRDefault="00F5330F" w:rsidP="00F5330F">
      <w:pPr>
        <w:jc w:val="both"/>
        <w:rPr>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F5330F" w:rsidRPr="00F5330F" w:rsidTr="003B594D">
        <w:tc>
          <w:tcPr>
            <w:tcW w:w="9286" w:type="dxa"/>
          </w:tcPr>
          <w:p w:rsidR="00F5330F" w:rsidRPr="00F5330F" w:rsidRDefault="00F5330F" w:rsidP="00F5330F">
            <w:pPr>
              <w:jc w:val="center"/>
              <w:rPr>
                <w:rFonts w:ascii="Arial Narrow" w:hAnsi="Arial Narrow"/>
                <w:b/>
              </w:rPr>
            </w:pPr>
            <w:r w:rsidRPr="00F5330F">
              <w:rPr>
                <w:rFonts w:ascii="Arial Narrow" w:hAnsi="Arial Narrow"/>
                <w:b/>
              </w:rPr>
              <w:t>Διάγραμμα 3.1 Χρονοδιάγραμμα λήξης χρέους της Κεντρικής Διοίκησης την 31/08/2017</w:t>
            </w:r>
          </w:p>
          <w:p w:rsidR="00F5330F" w:rsidRPr="00F5330F" w:rsidRDefault="00F5330F" w:rsidP="00F5330F">
            <w:pPr>
              <w:jc w:val="center"/>
              <w:rPr>
                <w:rFonts w:ascii="Arial Narrow" w:hAnsi="Arial Narrow"/>
                <w:b/>
              </w:rPr>
            </w:pPr>
            <w:r w:rsidRPr="00F5330F">
              <w:rPr>
                <w:rFonts w:ascii="Arial Narrow" w:hAnsi="Arial Narrow"/>
                <w:b/>
              </w:rPr>
              <w:t>(σε εκατ. ευρώ)</w:t>
            </w:r>
          </w:p>
        </w:tc>
      </w:tr>
      <w:tr w:rsidR="00F5330F" w:rsidRPr="00F5330F" w:rsidTr="003B594D">
        <w:tc>
          <w:tcPr>
            <w:tcW w:w="9286" w:type="dxa"/>
          </w:tcPr>
          <w:p w:rsidR="00F5330F" w:rsidRPr="00F5330F" w:rsidRDefault="00F5330F" w:rsidP="00F5330F">
            <w:pPr>
              <w:jc w:val="center"/>
              <w:rPr>
                <w:szCs w:val="22"/>
              </w:rPr>
            </w:pPr>
            <w:r w:rsidRPr="00F5330F">
              <w:rPr>
                <w:noProof/>
                <w:szCs w:val="22"/>
              </w:rPr>
              <w:drawing>
                <wp:inline distT="0" distB="0" distL="0" distR="0">
                  <wp:extent cx="5486400" cy="2657475"/>
                  <wp:effectExtent l="0" t="0" r="0" b="0"/>
                  <wp:docPr id="1"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F5330F" w:rsidRPr="00F5330F" w:rsidRDefault="00F5330F" w:rsidP="00F5330F">
      <w:pPr>
        <w:jc w:val="both"/>
        <w:rPr>
          <w:sz w:val="22"/>
          <w:szCs w:val="22"/>
        </w:rPr>
      </w:pPr>
    </w:p>
    <w:p w:rsidR="00F5330F" w:rsidRPr="00F5330F" w:rsidRDefault="00F5330F" w:rsidP="00F5330F">
      <w:pPr>
        <w:tabs>
          <w:tab w:val="left" w:pos="2267"/>
        </w:tabs>
        <w:jc w:val="both"/>
        <w:rPr>
          <w:sz w:val="22"/>
          <w:szCs w:val="22"/>
        </w:rPr>
      </w:pPr>
    </w:p>
    <w:p w:rsidR="00F5330F" w:rsidRPr="00F5330F" w:rsidRDefault="00F5330F" w:rsidP="00F5330F">
      <w:pPr>
        <w:tabs>
          <w:tab w:val="left" w:pos="2267"/>
        </w:tabs>
        <w:jc w:val="both"/>
        <w:rPr>
          <w:sz w:val="22"/>
          <w:szCs w:val="22"/>
        </w:rPr>
      </w:pPr>
    </w:p>
    <w:p w:rsidR="00F5330F" w:rsidRPr="00F5330F" w:rsidRDefault="00F5330F" w:rsidP="00F5330F">
      <w:pPr>
        <w:shd w:val="clear" w:color="auto" w:fill="BFBFBF" w:themeFill="background1" w:themeFillShade="BF"/>
        <w:tabs>
          <w:tab w:val="left" w:pos="540"/>
        </w:tabs>
        <w:ind w:left="540" w:hanging="540"/>
        <w:jc w:val="both"/>
        <w:rPr>
          <w:rFonts w:ascii="Arial Narrow" w:hAnsi="Arial Narrow"/>
          <w:b/>
          <w:sz w:val="26"/>
          <w:szCs w:val="22"/>
        </w:rPr>
      </w:pPr>
      <w:r w:rsidRPr="00F5330F">
        <w:rPr>
          <w:rFonts w:ascii="Arial Narrow" w:hAnsi="Arial Narrow"/>
          <w:b/>
          <w:sz w:val="26"/>
          <w:szCs w:val="22"/>
        </w:rPr>
        <w:t>2.</w:t>
      </w:r>
      <w:r w:rsidRPr="00F5330F">
        <w:rPr>
          <w:rFonts w:ascii="Arial Narrow" w:hAnsi="Arial Narrow"/>
          <w:b/>
          <w:sz w:val="26"/>
          <w:szCs w:val="22"/>
        </w:rPr>
        <w:tab/>
        <w:t>Δαπάνες εξυπηρέτησης χρέους</w:t>
      </w:r>
    </w:p>
    <w:p w:rsidR="00F5330F" w:rsidRPr="00F5330F" w:rsidRDefault="00F5330F" w:rsidP="00F5330F">
      <w:pPr>
        <w:jc w:val="both"/>
        <w:rPr>
          <w:b/>
          <w:bCs/>
          <w:sz w:val="22"/>
          <w:szCs w:val="22"/>
        </w:rPr>
      </w:pPr>
    </w:p>
    <w:p w:rsidR="00F5330F" w:rsidRPr="00F5330F" w:rsidRDefault="00F5330F" w:rsidP="00F5330F">
      <w:pPr>
        <w:jc w:val="both"/>
      </w:pPr>
      <w:r w:rsidRPr="00F5330F">
        <w:t xml:space="preserve">Όπως φαίνεται στον πίνακα, οι δαπάνες για τόκους του χρέους της Κεντρικής Διοίκησης, </w:t>
      </w:r>
      <w:bookmarkStart w:id="4" w:name="OLE_LINK2"/>
      <w:r w:rsidRPr="00F5330F">
        <w:t>μ</w:t>
      </w:r>
      <w:r w:rsidRPr="00F5330F">
        <w:t>ε</w:t>
      </w:r>
      <w:r w:rsidRPr="00F5330F">
        <w:t>τά το 2012, διαμορφώνονται στα επίπεδα των 5.500-6.000 εκατ. ευρώ, ενώ το ύψος των δ</w:t>
      </w:r>
      <w:r w:rsidRPr="00F5330F">
        <w:t>α</w:t>
      </w:r>
      <w:r w:rsidRPr="00F5330F">
        <w:t xml:space="preserve">πανών για τόκους </w:t>
      </w:r>
      <w:bookmarkEnd w:id="4"/>
      <w:r w:rsidRPr="00F5330F">
        <w:t>διαμορφώνεται γύρω στο 3% ως ποσοστό του ΑΕΠ (πίνακας 3.2). Η μεί</w:t>
      </w:r>
      <w:r w:rsidRPr="00F5330F">
        <w:t>ω</w:t>
      </w:r>
      <w:r w:rsidRPr="00F5330F">
        <w:t xml:space="preserve">ση αυτή οφείλεται στη μείωση του ύψους του δημόσιου χρέους μετά την ανταλλαγή των </w:t>
      </w:r>
      <w:r w:rsidRPr="00F5330F">
        <w:t>ο</w:t>
      </w:r>
      <w:r w:rsidRPr="00F5330F">
        <w:t>μολόγων (</w:t>
      </w:r>
      <w:r w:rsidRPr="00F5330F">
        <w:rPr>
          <w:lang w:val="en-US"/>
        </w:rPr>
        <w:t>PSI</w:t>
      </w:r>
      <w:r w:rsidRPr="00F5330F">
        <w:t>) του Μαρτίου 2012 και την επαναγορά του Δεκεμβρίου 2012, τη μείωση των επιτοκίων των δανείων του μηχανισμού στήριξης και την αναβολή καταβολής τόκων για τα δάνεια που χορηγήθηκαν από το Ευρωπαϊκό Ταμείο Χρηματοπιστωτικής Σταθερότητας.</w:t>
      </w:r>
    </w:p>
    <w:p w:rsidR="00F5330F" w:rsidRPr="00F5330F" w:rsidRDefault="00F5330F" w:rsidP="00F5330F">
      <w:pPr>
        <w:jc w:val="both"/>
      </w:pPr>
    </w:p>
    <w:p w:rsidR="00F5330F" w:rsidRPr="00F5330F" w:rsidRDefault="00F5330F" w:rsidP="00F5330F">
      <w:pPr>
        <w:jc w:val="both"/>
      </w:pPr>
    </w:p>
    <w:tbl>
      <w:tblPr>
        <w:tblW w:w="8115" w:type="dxa"/>
        <w:jc w:val="center"/>
        <w:tblCellMar>
          <w:left w:w="0" w:type="dxa"/>
          <w:right w:w="0" w:type="dxa"/>
        </w:tblCellMar>
        <w:tblLook w:val="0000"/>
      </w:tblPr>
      <w:tblGrid>
        <w:gridCol w:w="1684"/>
        <w:gridCol w:w="1080"/>
        <w:gridCol w:w="1080"/>
        <w:gridCol w:w="1031"/>
        <w:gridCol w:w="900"/>
        <w:gridCol w:w="1210"/>
        <w:gridCol w:w="1130"/>
      </w:tblGrid>
      <w:tr w:rsidR="00F5330F" w:rsidRPr="00F5330F" w:rsidTr="003B594D">
        <w:trPr>
          <w:jc w:val="center"/>
        </w:trPr>
        <w:tc>
          <w:tcPr>
            <w:tcW w:w="8115" w:type="dxa"/>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F5330F" w:rsidRPr="00F5330F" w:rsidRDefault="00F5330F" w:rsidP="00F5330F">
            <w:pPr>
              <w:spacing w:before="120"/>
              <w:jc w:val="center"/>
              <w:rPr>
                <w:rFonts w:ascii="Arial Narrow" w:hAnsi="Arial Narrow"/>
                <w:b/>
                <w:bCs/>
              </w:rPr>
            </w:pPr>
            <w:r w:rsidRPr="00F5330F">
              <w:rPr>
                <w:rFonts w:ascii="Arial Narrow" w:hAnsi="Arial Narrow"/>
                <w:b/>
                <w:bCs/>
              </w:rPr>
              <w:t>Πίνακας 3.2 Ύψος δαπανών για τόκους χρέους Κεντρικής Διοίκησης</w:t>
            </w:r>
          </w:p>
          <w:p w:rsidR="00F5330F" w:rsidRPr="00F5330F" w:rsidRDefault="00F5330F" w:rsidP="00F5330F">
            <w:pPr>
              <w:spacing w:after="120"/>
              <w:jc w:val="center"/>
              <w:rPr>
                <w:rFonts w:ascii="Arial Narrow" w:hAnsi="Arial Narrow"/>
                <w:b/>
                <w:bCs/>
              </w:rPr>
            </w:pPr>
            <w:r w:rsidRPr="00F5330F">
              <w:rPr>
                <w:rFonts w:ascii="Arial Narrow" w:hAnsi="Arial Narrow"/>
                <w:b/>
                <w:bCs/>
              </w:rPr>
              <w:t xml:space="preserve"> (σε εκατ. ευρώ)</w:t>
            </w:r>
          </w:p>
        </w:tc>
      </w:tr>
      <w:tr w:rsidR="00F5330F" w:rsidRPr="00F5330F" w:rsidTr="003B594D">
        <w:trPr>
          <w:jc w:val="center"/>
        </w:trPr>
        <w:tc>
          <w:tcPr>
            <w:tcW w:w="1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F5330F" w:rsidRPr="00F5330F" w:rsidRDefault="00F5330F" w:rsidP="00F5330F">
            <w:pPr>
              <w:spacing w:before="120" w:after="120"/>
              <w:jc w:val="center"/>
              <w:rPr>
                <w:rFonts w:ascii="Arial Narrow" w:hAnsi="Arial Narrow"/>
                <w:b/>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F5330F" w:rsidRPr="00F5330F" w:rsidRDefault="00F5330F" w:rsidP="00F5330F">
            <w:pPr>
              <w:spacing w:before="120" w:after="120"/>
              <w:jc w:val="center"/>
              <w:rPr>
                <w:rFonts w:ascii="Arial Narrow" w:hAnsi="Arial Narrow"/>
                <w:b/>
                <w:bCs/>
                <w:sz w:val="16"/>
              </w:rPr>
            </w:pPr>
            <w:r w:rsidRPr="00F5330F">
              <w:rPr>
                <w:rFonts w:ascii="Arial Narrow" w:hAnsi="Arial Narrow"/>
                <w:b/>
                <w:bCs/>
                <w:sz w:val="16"/>
              </w:rPr>
              <w:t>2013</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F5330F" w:rsidRPr="00F5330F" w:rsidRDefault="00F5330F" w:rsidP="00F5330F">
            <w:pPr>
              <w:spacing w:before="120" w:after="120"/>
              <w:jc w:val="center"/>
              <w:rPr>
                <w:rFonts w:ascii="Arial Narrow" w:hAnsi="Arial Narrow"/>
                <w:b/>
                <w:bCs/>
                <w:sz w:val="16"/>
              </w:rPr>
            </w:pPr>
            <w:r w:rsidRPr="00F5330F">
              <w:rPr>
                <w:rFonts w:ascii="Arial Narrow" w:hAnsi="Arial Narrow"/>
                <w:b/>
                <w:bCs/>
                <w:sz w:val="16"/>
              </w:rPr>
              <w:t>2014</w:t>
            </w:r>
          </w:p>
        </w:tc>
        <w:tc>
          <w:tcPr>
            <w:tcW w:w="10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F5330F" w:rsidRPr="00F5330F" w:rsidRDefault="00F5330F" w:rsidP="00F5330F">
            <w:pPr>
              <w:spacing w:before="120" w:after="120"/>
              <w:jc w:val="center"/>
              <w:rPr>
                <w:rFonts w:ascii="Arial Narrow" w:hAnsi="Arial Narrow"/>
                <w:b/>
                <w:bCs/>
                <w:sz w:val="16"/>
              </w:rPr>
            </w:pPr>
            <w:r w:rsidRPr="00F5330F">
              <w:rPr>
                <w:rFonts w:ascii="Arial Narrow" w:hAnsi="Arial Narrow"/>
                <w:b/>
                <w:bCs/>
                <w:sz w:val="16"/>
              </w:rPr>
              <w:t>2015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F5330F" w:rsidRPr="00F5330F" w:rsidRDefault="00F5330F" w:rsidP="00F5330F">
            <w:pPr>
              <w:spacing w:before="120" w:after="120"/>
              <w:jc w:val="center"/>
              <w:rPr>
                <w:rFonts w:ascii="Arial Narrow" w:hAnsi="Arial Narrow"/>
                <w:b/>
                <w:bCs/>
                <w:sz w:val="16"/>
              </w:rPr>
            </w:pPr>
            <w:r w:rsidRPr="00F5330F">
              <w:rPr>
                <w:rFonts w:ascii="Arial Narrow" w:hAnsi="Arial Narrow"/>
                <w:b/>
                <w:bCs/>
                <w:sz w:val="16"/>
              </w:rPr>
              <w:t>2016</w:t>
            </w:r>
          </w:p>
        </w:tc>
        <w:tc>
          <w:tcPr>
            <w:tcW w:w="1210" w:type="dxa"/>
            <w:tcBorders>
              <w:top w:val="single" w:sz="4" w:space="0" w:color="auto"/>
              <w:left w:val="single" w:sz="4" w:space="0" w:color="auto"/>
              <w:bottom w:val="single" w:sz="4" w:space="0" w:color="auto"/>
              <w:right w:val="single" w:sz="4" w:space="0" w:color="auto"/>
            </w:tcBorders>
            <w:vAlign w:val="bottom"/>
          </w:tcPr>
          <w:p w:rsidR="00F5330F" w:rsidRPr="00F5330F" w:rsidRDefault="00F5330F" w:rsidP="00F5330F">
            <w:pPr>
              <w:spacing w:before="120" w:after="120"/>
              <w:jc w:val="center"/>
              <w:rPr>
                <w:rFonts w:ascii="Arial Narrow" w:hAnsi="Arial Narrow"/>
                <w:b/>
                <w:bCs/>
                <w:sz w:val="16"/>
              </w:rPr>
            </w:pPr>
            <w:r w:rsidRPr="00F5330F">
              <w:rPr>
                <w:rFonts w:ascii="Arial Narrow" w:hAnsi="Arial Narrow"/>
                <w:b/>
                <w:bCs/>
                <w:sz w:val="16"/>
              </w:rPr>
              <w:t>2017*</w:t>
            </w:r>
          </w:p>
        </w:tc>
        <w:tc>
          <w:tcPr>
            <w:tcW w:w="11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F5330F" w:rsidRPr="00F5330F" w:rsidRDefault="00F5330F" w:rsidP="00F5330F">
            <w:pPr>
              <w:spacing w:before="120" w:after="120"/>
              <w:jc w:val="center"/>
              <w:rPr>
                <w:rFonts w:ascii="Arial Narrow" w:hAnsi="Arial Narrow"/>
                <w:b/>
                <w:bCs/>
                <w:sz w:val="16"/>
              </w:rPr>
            </w:pPr>
            <w:r w:rsidRPr="00F5330F">
              <w:rPr>
                <w:rFonts w:ascii="Arial Narrow" w:hAnsi="Arial Narrow"/>
                <w:b/>
                <w:bCs/>
                <w:sz w:val="16"/>
              </w:rPr>
              <w:t>2018**</w:t>
            </w:r>
          </w:p>
        </w:tc>
      </w:tr>
      <w:tr w:rsidR="00F5330F" w:rsidRPr="00F5330F" w:rsidTr="003B594D">
        <w:trPr>
          <w:jc w:val="center"/>
        </w:trPr>
        <w:tc>
          <w:tcPr>
            <w:tcW w:w="0" w:type="auto"/>
            <w:tcBorders>
              <w:top w:val="single" w:sz="4" w:space="0" w:color="auto"/>
              <w:left w:val="single" w:sz="4" w:space="0" w:color="auto"/>
            </w:tcBorders>
            <w:shd w:val="clear" w:color="auto" w:fill="auto"/>
            <w:noWrap/>
            <w:tcMar>
              <w:top w:w="15" w:type="dxa"/>
              <w:left w:w="15" w:type="dxa"/>
              <w:bottom w:w="0" w:type="dxa"/>
              <w:right w:w="15" w:type="dxa"/>
            </w:tcMar>
            <w:vAlign w:val="center"/>
          </w:tcPr>
          <w:p w:rsidR="00F5330F" w:rsidRPr="00F5330F" w:rsidRDefault="00F5330F" w:rsidP="00F5330F">
            <w:pPr>
              <w:spacing w:before="120" w:after="120"/>
              <w:rPr>
                <w:rFonts w:ascii="Arial Narrow" w:hAnsi="Arial Narrow"/>
                <w:bCs/>
                <w:sz w:val="16"/>
              </w:rPr>
            </w:pPr>
            <w:r w:rsidRPr="00F5330F">
              <w:rPr>
                <w:rFonts w:ascii="Arial Narrow" w:hAnsi="Arial Narrow"/>
                <w:bCs/>
                <w:sz w:val="16"/>
              </w:rPr>
              <w:t xml:space="preserve"> Τόκοι</w:t>
            </w:r>
          </w:p>
        </w:tc>
        <w:tc>
          <w:tcPr>
            <w:tcW w:w="0" w:type="auto"/>
            <w:tcBorders>
              <w:top w:val="single" w:sz="4" w:space="0" w:color="auto"/>
            </w:tcBorders>
            <w:shd w:val="clear" w:color="auto" w:fill="auto"/>
            <w:noWrap/>
            <w:tcMar>
              <w:top w:w="15" w:type="dxa"/>
              <w:left w:w="15" w:type="dxa"/>
              <w:bottom w:w="0" w:type="dxa"/>
              <w:right w:w="15" w:type="dxa"/>
            </w:tcMar>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6.021</w:t>
            </w:r>
          </w:p>
        </w:tc>
        <w:tc>
          <w:tcPr>
            <w:tcW w:w="0" w:type="auto"/>
            <w:tcBorders>
              <w:top w:val="single" w:sz="4" w:space="0" w:color="auto"/>
            </w:tcBorders>
            <w:shd w:val="clear" w:color="auto" w:fill="auto"/>
            <w:noWrap/>
            <w:tcMar>
              <w:top w:w="15" w:type="dxa"/>
              <w:left w:w="15" w:type="dxa"/>
              <w:bottom w:w="0" w:type="dxa"/>
              <w:right w:w="15" w:type="dxa"/>
            </w:tcMar>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5.528</w:t>
            </w:r>
          </w:p>
        </w:tc>
        <w:tc>
          <w:tcPr>
            <w:tcW w:w="1031" w:type="dxa"/>
            <w:tcBorders>
              <w:top w:val="single" w:sz="4" w:space="0" w:color="auto"/>
            </w:tcBorders>
            <w:shd w:val="clear" w:color="auto" w:fill="auto"/>
            <w:noWrap/>
            <w:tcMar>
              <w:top w:w="15" w:type="dxa"/>
              <w:left w:w="15" w:type="dxa"/>
              <w:bottom w:w="0" w:type="dxa"/>
              <w:right w:w="15" w:type="dxa"/>
            </w:tcMar>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5.800</w:t>
            </w:r>
          </w:p>
        </w:tc>
        <w:tc>
          <w:tcPr>
            <w:tcW w:w="900" w:type="dxa"/>
            <w:tcBorders>
              <w:top w:val="single" w:sz="4" w:space="0" w:color="auto"/>
            </w:tcBorders>
            <w:shd w:val="clear" w:color="auto" w:fill="auto"/>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5.588</w:t>
            </w:r>
          </w:p>
        </w:tc>
        <w:tc>
          <w:tcPr>
            <w:tcW w:w="1210" w:type="dxa"/>
            <w:tcBorders>
              <w:top w:val="single" w:sz="4" w:space="0" w:color="auto"/>
            </w:tcBorders>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5.650</w:t>
            </w:r>
          </w:p>
        </w:tc>
        <w:tc>
          <w:tcPr>
            <w:tcW w:w="1130" w:type="dxa"/>
            <w:tcBorders>
              <w:top w:val="single" w:sz="4" w:space="0" w:color="auto"/>
              <w:right w:val="single" w:sz="4" w:space="0" w:color="auto"/>
            </w:tcBorders>
            <w:shd w:val="clear" w:color="auto" w:fill="auto"/>
            <w:noWrap/>
            <w:tcMar>
              <w:top w:w="15" w:type="dxa"/>
              <w:left w:w="15" w:type="dxa"/>
              <w:bottom w:w="0" w:type="dxa"/>
              <w:right w:w="15" w:type="dxa"/>
            </w:tcMar>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5.700</w:t>
            </w:r>
          </w:p>
        </w:tc>
      </w:tr>
      <w:tr w:rsidR="00F5330F" w:rsidRPr="00F5330F" w:rsidTr="003B594D">
        <w:trPr>
          <w:jc w:val="center"/>
        </w:trPr>
        <w:tc>
          <w:tcPr>
            <w:tcW w:w="0" w:type="auto"/>
            <w:tcBorders>
              <w:left w:val="single" w:sz="4" w:space="0" w:color="auto"/>
              <w:bottom w:val="single" w:sz="4" w:space="0" w:color="auto"/>
            </w:tcBorders>
            <w:shd w:val="clear" w:color="auto" w:fill="auto"/>
            <w:noWrap/>
            <w:tcMar>
              <w:top w:w="15" w:type="dxa"/>
              <w:left w:w="15" w:type="dxa"/>
              <w:bottom w:w="0" w:type="dxa"/>
              <w:right w:w="15" w:type="dxa"/>
            </w:tcMar>
            <w:vAlign w:val="center"/>
          </w:tcPr>
          <w:p w:rsidR="00F5330F" w:rsidRPr="00F5330F" w:rsidRDefault="00F5330F" w:rsidP="00F5330F">
            <w:pPr>
              <w:spacing w:before="120" w:after="120"/>
              <w:rPr>
                <w:rFonts w:ascii="Arial Narrow" w:hAnsi="Arial Narrow"/>
                <w:bCs/>
                <w:sz w:val="16"/>
              </w:rPr>
            </w:pPr>
            <w:r w:rsidRPr="00F5330F">
              <w:rPr>
                <w:rFonts w:ascii="Arial Narrow" w:hAnsi="Arial Narrow"/>
                <w:bCs/>
                <w:sz w:val="16"/>
              </w:rPr>
              <w:t xml:space="preserve"> ως % του ΑΕΠ</w:t>
            </w:r>
          </w:p>
        </w:tc>
        <w:tc>
          <w:tcPr>
            <w:tcW w:w="0" w:type="auto"/>
            <w:tcBorders>
              <w:bottom w:val="single" w:sz="4" w:space="0" w:color="auto"/>
            </w:tcBorders>
            <w:shd w:val="clear" w:color="auto" w:fill="auto"/>
            <w:noWrap/>
            <w:tcMar>
              <w:top w:w="15" w:type="dxa"/>
              <w:left w:w="15" w:type="dxa"/>
              <w:bottom w:w="0" w:type="dxa"/>
              <w:right w:w="15" w:type="dxa"/>
            </w:tcMar>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3,3%</w:t>
            </w:r>
          </w:p>
        </w:tc>
        <w:tc>
          <w:tcPr>
            <w:tcW w:w="0" w:type="auto"/>
            <w:tcBorders>
              <w:bottom w:val="single" w:sz="4" w:space="0" w:color="auto"/>
            </w:tcBorders>
            <w:shd w:val="clear" w:color="auto" w:fill="auto"/>
            <w:noWrap/>
            <w:tcMar>
              <w:top w:w="15" w:type="dxa"/>
              <w:left w:w="15" w:type="dxa"/>
              <w:bottom w:w="0" w:type="dxa"/>
              <w:right w:w="15" w:type="dxa"/>
            </w:tcMar>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3,1%</w:t>
            </w:r>
          </w:p>
        </w:tc>
        <w:tc>
          <w:tcPr>
            <w:tcW w:w="1031" w:type="dxa"/>
            <w:tcBorders>
              <w:bottom w:val="single" w:sz="4" w:space="0" w:color="auto"/>
            </w:tcBorders>
            <w:shd w:val="clear" w:color="auto" w:fill="auto"/>
            <w:noWrap/>
            <w:tcMar>
              <w:top w:w="15" w:type="dxa"/>
              <w:left w:w="15" w:type="dxa"/>
              <w:bottom w:w="0" w:type="dxa"/>
              <w:right w:w="15" w:type="dxa"/>
            </w:tcMar>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3,3%</w:t>
            </w:r>
          </w:p>
        </w:tc>
        <w:tc>
          <w:tcPr>
            <w:tcW w:w="900" w:type="dxa"/>
            <w:tcBorders>
              <w:bottom w:val="single" w:sz="4" w:space="0" w:color="auto"/>
            </w:tcBorders>
            <w:shd w:val="clear" w:color="auto" w:fill="auto"/>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3,2%</w:t>
            </w:r>
          </w:p>
        </w:tc>
        <w:tc>
          <w:tcPr>
            <w:tcW w:w="1210" w:type="dxa"/>
            <w:tcBorders>
              <w:bottom w:val="single" w:sz="4" w:space="0" w:color="auto"/>
            </w:tcBorders>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3,1%</w:t>
            </w:r>
          </w:p>
        </w:tc>
        <w:tc>
          <w:tcPr>
            <w:tcW w:w="1130" w:type="dxa"/>
            <w:tcBorders>
              <w:bottom w:val="single" w:sz="4" w:space="0" w:color="auto"/>
              <w:right w:val="single" w:sz="4" w:space="0" w:color="auto"/>
            </w:tcBorders>
            <w:shd w:val="clear" w:color="auto" w:fill="auto"/>
            <w:noWrap/>
            <w:tcMar>
              <w:top w:w="15" w:type="dxa"/>
              <w:left w:w="15" w:type="dxa"/>
              <w:bottom w:w="0" w:type="dxa"/>
              <w:right w:w="15" w:type="dxa"/>
            </w:tcMar>
            <w:vAlign w:val="center"/>
          </w:tcPr>
          <w:p w:rsidR="00F5330F" w:rsidRPr="00F5330F" w:rsidRDefault="00F5330F" w:rsidP="00F5330F">
            <w:pPr>
              <w:jc w:val="center"/>
              <w:rPr>
                <w:rFonts w:ascii="Arial Narrow" w:hAnsi="Arial Narrow" w:cs="Arial"/>
                <w:sz w:val="16"/>
                <w:szCs w:val="16"/>
              </w:rPr>
            </w:pPr>
            <w:r w:rsidRPr="00F5330F">
              <w:rPr>
                <w:rFonts w:ascii="Arial Narrow" w:hAnsi="Arial Narrow" w:cs="Arial"/>
                <w:sz w:val="16"/>
                <w:szCs w:val="16"/>
              </w:rPr>
              <w:t>3,1%</w:t>
            </w:r>
          </w:p>
        </w:tc>
      </w:tr>
    </w:tbl>
    <w:p w:rsidR="00F5330F" w:rsidRPr="00F5330F" w:rsidRDefault="00F5330F" w:rsidP="00F5330F">
      <w:pPr>
        <w:tabs>
          <w:tab w:val="left" w:pos="1660"/>
          <w:tab w:val="left" w:pos="2740"/>
          <w:tab w:val="left" w:pos="3820"/>
          <w:tab w:val="left" w:pos="4900"/>
          <w:tab w:val="left" w:pos="5980"/>
          <w:tab w:val="left" w:pos="7060"/>
        </w:tabs>
        <w:ind w:firstLine="540"/>
        <w:rPr>
          <w:rFonts w:ascii="Arial Narrow" w:hAnsi="Arial Narrow"/>
          <w:sz w:val="16"/>
          <w:szCs w:val="16"/>
        </w:rPr>
      </w:pPr>
      <w:r w:rsidRPr="00F5330F">
        <w:rPr>
          <w:rFonts w:ascii="Arial Narrow" w:hAnsi="Arial Narrow"/>
          <w:sz w:val="16"/>
          <w:szCs w:val="16"/>
        </w:rPr>
        <w:t>*  Εκτιμήσεις</w:t>
      </w:r>
    </w:p>
    <w:p w:rsidR="00F5330F" w:rsidRPr="00F5330F" w:rsidRDefault="00F5330F" w:rsidP="00F5330F">
      <w:pPr>
        <w:tabs>
          <w:tab w:val="left" w:pos="1660"/>
          <w:tab w:val="left" w:pos="2740"/>
          <w:tab w:val="left" w:pos="3820"/>
          <w:tab w:val="left" w:pos="4900"/>
          <w:tab w:val="left" w:pos="5980"/>
          <w:tab w:val="left" w:pos="7060"/>
        </w:tabs>
        <w:ind w:firstLine="540"/>
        <w:rPr>
          <w:rFonts w:ascii="Arial Narrow" w:hAnsi="Arial Narrow"/>
          <w:sz w:val="16"/>
          <w:szCs w:val="16"/>
        </w:rPr>
      </w:pPr>
      <w:r w:rsidRPr="00F5330F">
        <w:rPr>
          <w:rFonts w:ascii="Arial Narrow" w:hAnsi="Arial Narrow"/>
          <w:sz w:val="16"/>
          <w:szCs w:val="16"/>
        </w:rPr>
        <w:t>** Προβλέψεις</w:t>
      </w:r>
    </w:p>
    <w:p w:rsidR="00F5330F" w:rsidRPr="00F5330F" w:rsidRDefault="00F5330F" w:rsidP="00F5330F">
      <w:pPr>
        <w:tabs>
          <w:tab w:val="left" w:pos="1660"/>
          <w:tab w:val="left" w:pos="2740"/>
          <w:tab w:val="left" w:pos="3820"/>
          <w:tab w:val="left" w:pos="4900"/>
          <w:tab w:val="left" w:pos="5980"/>
          <w:tab w:val="left" w:pos="7060"/>
        </w:tabs>
        <w:ind w:firstLine="540"/>
        <w:rPr>
          <w:rFonts w:ascii="Arial Narrow" w:hAnsi="Arial Narrow"/>
          <w:sz w:val="16"/>
          <w:szCs w:val="16"/>
        </w:rPr>
      </w:pPr>
    </w:p>
    <w:p w:rsidR="00F5330F" w:rsidRPr="00F5330F" w:rsidRDefault="00F5330F" w:rsidP="00F5330F">
      <w:pPr>
        <w:jc w:val="both"/>
        <w:rPr>
          <w:szCs w:val="22"/>
        </w:rPr>
      </w:pPr>
    </w:p>
    <w:p w:rsidR="00F5330F" w:rsidRPr="00F5330F" w:rsidRDefault="00F5330F" w:rsidP="00F5330F">
      <w:pPr>
        <w:shd w:val="clear" w:color="auto" w:fill="BFBFBF" w:themeFill="background1" w:themeFillShade="BF"/>
        <w:tabs>
          <w:tab w:val="left" w:pos="540"/>
        </w:tabs>
        <w:jc w:val="both"/>
        <w:rPr>
          <w:rFonts w:ascii="Arial Narrow" w:hAnsi="Arial Narrow"/>
          <w:b/>
          <w:bCs/>
          <w:sz w:val="26"/>
          <w:szCs w:val="26"/>
        </w:rPr>
      </w:pPr>
      <w:r w:rsidRPr="00F5330F">
        <w:rPr>
          <w:rFonts w:ascii="Arial Narrow" w:hAnsi="Arial Narrow"/>
          <w:b/>
          <w:bCs/>
          <w:sz w:val="26"/>
          <w:szCs w:val="26"/>
        </w:rPr>
        <w:t>3.</w:t>
      </w:r>
      <w:r w:rsidRPr="00F5330F">
        <w:rPr>
          <w:rFonts w:ascii="Arial Narrow" w:hAnsi="Arial Narrow"/>
          <w:b/>
          <w:bCs/>
          <w:sz w:val="26"/>
          <w:szCs w:val="26"/>
        </w:rPr>
        <w:tab/>
        <w:t>Οι αγορές τίτλων του Ελληνικού Δημοσίου</w:t>
      </w:r>
    </w:p>
    <w:p w:rsidR="00F5330F" w:rsidRPr="00F5330F" w:rsidRDefault="00F5330F" w:rsidP="00F5330F">
      <w:pPr>
        <w:jc w:val="both"/>
        <w:rPr>
          <w:b/>
          <w:bCs/>
          <w:szCs w:val="22"/>
        </w:rPr>
      </w:pPr>
    </w:p>
    <w:p w:rsidR="00F5330F" w:rsidRPr="00F5330F" w:rsidRDefault="00F5330F" w:rsidP="00F5330F">
      <w:pPr>
        <w:jc w:val="both"/>
        <w:rPr>
          <w:bCs/>
        </w:rPr>
      </w:pPr>
      <w:r w:rsidRPr="00F5330F">
        <w:rPr>
          <w:bCs/>
          <w:lang w:val="en-US"/>
        </w:rPr>
        <w:t>To</w:t>
      </w:r>
      <w:r w:rsidRPr="00F5330F">
        <w:rPr>
          <w:bCs/>
        </w:rPr>
        <w:t xml:space="preserve"> πρόγραμμα ποσοτικής χαλάρωσης (</w:t>
      </w:r>
      <w:r w:rsidRPr="00F5330F">
        <w:rPr>
          <w:bCs/>
          <w:lang w:val="en-US"/>
        </w:rPr>
        <w:t>quantitative</w:t>
      </w:r>
      <w:r w:rsidRPr="00F5330F">
        <w:rPr>
          <w:bCs/>
        </w:rPr>
        <w:t xml:space="preserve"> </w:t>
      </w:r>
      <w:r w:rsidRPr="00F5330F">
        <w:rPr>
          <w:bCs/>
          <w:lang w:val="en-US"/>
        </w:rPr>
        <w:t>easing</w:t>
      </w:r>
      <w:r w:rsidRPr="00F5330F">
        <w:rPr>
          <w:bCs/>
        </w:rPr>
        <w:t>) της Ευρωπαϊκής Κεντρικής Τρ</w:t>
      </w:r>
      <w:r w:rsidRPr="00F5330F">
        <w:rPr>
          <w:bCs/>
        </w:rPr>
        <w:t>ά</w:t>
      </w:r>
      <w:r w:rsidRPr="00F5330F">
        <w:rPr>
          <w:bCs/>
        </w:rPr>
        <w:t>πεζας συνεχίζεται καθ’ όλη τη διάρκεια του 2017 με μηνιαίες αγορές ομολόγων ύψους 60 δισ. ευρώ, ενώ οι συνολικές αγορές κρατικών χρεογράφων από την έναρξη του προγράμμ</w:t>
      </w:r>
      <w:r w:rsidRPr="00F5330F">
        <w:rPr>
          <w:bCs/>
        </w:rPr>
        <w:t>α</w:t>
      </w:r>
      <w:r w:rsidRPr="00F5330F">
        <w:rPr>
          <w:bCs/>
        </w:rPr>
        <w:t xml:space="preserve">τος, τον Μάρτιο του 2015, έχουν ήδη ξεπεράσει τα 2 </w:t>
      </w:r>
      <w:proofErr w:type="spellStart"/>
      <w:r w:rsidRPr="00F5330F">
        <w:rPr>
          <w:bCs/>
        </w:rPr>
        <w:t>τρισ</w:t>
      </w:r>
      <w:proofErr w:type="spellEnd"/>
      <w:r w:rsidRPr="00F5330F">
        <w:rPr>
          <w:bCs/>
        </w:rPr>
        <w:t>. ευρώ. Αξιοσημείωτο είναι ότι για τις χώρες του στενού πυρήνα της ευρωζώνης οι αποδόσεις των δεκαετών ομολόγων διαμο</w:t>
      </w:r>
      <w:r w:rsidRPr="00F5330F">
        <w:rPr>
          <w:bCs/>
        </w:rPr>
        <w:t>ρ</w:t>
      </w:r>
      <w:r w:rsidRPr="00F5330F">
        <w:rPr>
          <w:bCs/>
        </w:rPr>
        <w:t xml:space="preserve">φώνονται κάτω του 1%, ενώ το σύνολο σχεδόν του βραχυπρόθεσμου και μεσοπρόθεσμου χρέους τους παρουσιάζει αρνητικές αποδόσεις. </w:t>
      </w:r>
    </w:p>
    <w:p w:rsidR="00F5330F" w:rsidRPr="00F5330F" w:rsidRDefault="00F5330F" w:rsidP="00F5330F">
      <w:pPr>
        <w:jc w:val="both"/>
        <w:rPr>
          <w:bCs/>
        </w:rPr>
      </w:pPr>
    </w:p>
    <w:p w:rsidR="00F5330F" w:rsidRPr="00F5330F" w:rsidRDefault="00F5330F" w:rsidP="00F5330F">
      <w:pPr>
        <w:jc w:val="both"/>
        <w:rPr>
          <w:bCs/>
        </w:rPr>
      </w:pPr>
      <w:r w:rsidRPr="00F5330F">
        <w:rPr>
          <w:bCs/>
        </w:rPr>
        <w:t>Η διαφορά απόδοσης (</w:t>
      </w:r>
      <w:proofErr w:type="spellStart"/>
      <w:r w:rsidRPr="00F5330F">
        <w:rPr>
          <w:bCs/>
        </w:rPr>
        <w:t>yield</w:t>
      </w:r>
      <w:proofErr w:type="spellEnd"/>
      <w:r w:rsidRPr="00F5330F">
        <w:rPr>
          <w:bCs/>
        </w:rPr>
        <w:t xml:space="preserve"> </w:t>
      </w:r>
      <w:proofErr w:type="spellStart"/>
      <w:r w:rsidRPr="00F5330F">
        <w:rPr>
          <w:bCs/>
        </w:rPr>
        <w:t>spread</w:t>
      </w:r>
      <w:proofErr w:type="spellEnd"/>
      <w:r w:rsidRPr="00F5330F">
        <w:rPr>
          <w:bCs/>
        </w:rPr>
        <w:t>) μεταξύ του 10-ετούς ελληνικού και του αντίστοιχου γε</w:t>
      </w:r>
      <w:r w:rsidRPr="00F5330F">
        <w:rPr>
          <w:bCs/>
        </w:rPr>
        <w:t>ρ</w:t>
      </w:r>
      <w:r w:rsidRPr="00F5330F">
        <w:rPr>
          <w:bCs/>
        </w:rPr>
        <w:t xml:space="preserve">μανικού ομολόγου αναφοράς, κατά το πρώτο τετράμηνο του 2017, κινήθηκε στα επίπεδα των 600-700 μονάδων βάσης. Στη συνέχεια το περιθώριο απόδοσης υποχώρησε σταδιακά έναντι του γερμανικού κάτω από τις 600 μονάδες και διαμορφώθηκε στα τρέχοντα επίπεδα των 500 μονάδων βάσης, με την τρέχουσα απόδοση του δεκαετούς ομολόγου να διαμορφώνεται γύρω στο 5,38%. </w:t>
      </w:r>
    </w:p>
    <w:p w:rsidR="00F5330F" w:rsidRPr="00F5330F" w:rsidRDefault="00F5330F" w:rsidP="00F5330F">
      <w:pPr>
        <w:jc w:val="both"/>
        <w:rPr>
          <w:bCs/>
        </w:rPr>
      </w:pPr>
    </w:p>
    <w:p w:rsidR="00F5330F" w:rsidRPr="00F5330F" w:rsidRDefault="00F5330F" w:rsidP="00F5330F">
      <w:pPr>
        <w:jc w:val="both"/>
        <w:rPr>
          <w:bCs/>
        </w:rPr>
      </w:pPr>
      <w:r w:rsidRPr="00F5330F">
        <w:rPr>
          <w:bCs/>
        </w:rPr>
        <w:t>Βελτιωμένο παρουσιάζεται και το βραχυχρόνιο κόστος δανεισμού του Ελληνικού Δημοσίου, όπως αυτό αποτυπώνεται στις δημοπρασίες εντόκων γραμματίων 13 και 26 εβδομάδων. Στις δημοπρασίες του Σεπτεμβρίου του 2017 αυτό διαμορφώθηκε στο 2,40% για τα εξάμηνα και 1,91% για τα τρίμηνα έντοκα γραμμάτια, γεγονός που οφείλεται στη βελτίωση του επενδυτ</w:t>
      </w:r>
      <w:r w:rsidRPr="00F5330F">
        <w:rPr>
          <w:bCs/>
        </w:rPr>
        <w:t>ι</w:t>
      </w:r>
      <w:r w:rsidRPr="00F5330F">
        <w:rPr>
          <w:bCs/>
        </w:rPr>
        <w:t xml:space="preserve">κού κλίματος μετά την ολοκλήρωση της δεύτερης αξιολόγησης και την εκταμίευση της δόσης από τον </w:t>
      </w:r>
      <w:r w:rsidRPr="00F5330F">
        <w:rPr>
          <w:bCs/>
          <w:lang w:val="en-US"/>
        </w:rPr>
        <w:t>ESM</w:t>
      </w:r>
      <w:r w:rsidRPr="00F5330F">
        <w:rPr>
          <w:bCs/>
        </w:rPr>
        <w:t>, καθώς επίσης και στη βελτίωση του σχήματος της ελληνικής καμπύλης απ</w:t>
      </w:r>
      <w:r w:rsidRPr="00F5330F">
        <w:rPr>
          <w:bCs/>
        </w:rPr>
        <w:t>ο</w:t>
      </w:r>
      <w:r w:rsidRPr="00F5330F">
        <w:rPr>
          <w:bCs/>
        </w:rPr>
        <w:t>δόσεων μετά την πρόσφατη έξοδο της χώρας στις αγορές. Τα επιτόκια των εντόκων γραμμ</w:t>
      </w:r>
      <w:r w:rsidRPr="00F5330F">
        <w:rPr>
          <w:bCs/>
        </w:rPr>
        <w:t>α</w:t>
      </w:r>
      <w:r w:rsidRPr="00F5330F">
        <w:rPr>
          <w:bCs/>
        </w:rPr>
        <w:t xml:space="preserve">τίων αναμένεται να υποχωρήσουν περαιτέρω το προσεχές διάστημα. </w:t>
      </w:r>
    </w:p>
    <w:p w:rsidR="00F5330F" w:rsidRPr="00F5330F" w:rsidRDefault="00F5330F" w:rsidP="00F5330F">
      <w:pPr>
        <w:jc w:val="both"/>
        <w:rPr>
          <w:bCs/>
        </w:rPr>
      </w:pPr>
    </w:p>
    <w:p w:rsidR="00F5330F" w:rsidRPr="00F5330F" w:rsidRDefault="00F5330F" w:rsidP="00F5330F">
      <w:pPr>
        <w:keepNext/>
        <w:jc w:val="both"/>
        <w:outlineLvl w:val="3"/>
        <w:rPr>
          <w:rFonts w:ascii="Arial Narrow" w:hAnsi="Arial Narrow"/>
          <w:b/>
          <w:color w:val="000080"/>
          <w:szCs w:val="22"/>
        </w:rPr>
      </w:pPr>
      <w:r w:rsidRPr="00F5330F">
        <w:rPr>
          <w:rFonts w:ascii="Arial Narrow" w:hAnsi="Arial Narrow"/>
          <w:b/>
          <w:color w:val="000080"/>
          <w:szCs w:val="22"/>
        </w:rPr>
        <w:t>Πρωτογενής αγορά τίτλων</w:t>
      </w:r>
    </w:p>
    <w:p w:rsidR="00F5330F" w:rsidRPr="00F5330F" w:rsidRDefault="00F5330F" w:rsidP="00F5330F">
      <w:pPr>
        <w:jc w:val="both"/>
        <w:rPr>
          <w:b/>
          <w:bCs/>
        </w:rPr>
      </w:pPr>
    </w:p>
    <w:p w:rsidR="00F5330F" w:rsidRPr="00F5330F" w:rsidRDefault="00F5330F" w:rsidP="00F5330F">
      <w:pPr>
        <w:jc w:val="both"/>
        <w:rPr>
          <w:bCs/>
        </w:rPr>
      </w:pPr>
      <w:r w:rsidRPr="00F5330F">
        <w:rPr>
          <w:bCs/>
        </w:rPr>
        <w:t>Το Ελληνικό Δημόσιο, τρία περίπου έτη μετά την τελευταία έκδοση ομολόγων τον Ιούλιο του 2014, πραγματοποίησε τον Αύγουστο του 2017 νέα κοινοπρακτική έκδοση πενταετούς ομ</w:t>
      </w:r>
      <w:r w:rsidRPr="00F5330F">
        <w:rPr>
          <w:bCs/>
        </w:rPr>
        <w:t>ο</w:t>
      </w:r>
      <w:r w:rsidRPr="00F5330F">
        <w:rPr>
          <w:bCs/>
        </w:rPr>
        <w:t>λόγου ύψους 3.000 εκατ. ευρώ με σταθερό επιτόκιο 4,375%, μέρος της οποίας χρησιμοποι</w:t>
      </w:r>
      <w:r w:rsidRPr="00F5330F">
        <w:rPr>
          <w:bCs/>
        </w:rPr>
        <w:t>ή</w:t>
      </w:r>
      <w:r w:rsidRPr="00F5330F">
        <w:rPr>
          <w:bCs/>
        </w:rPr>
        <w:t xml:space="preserve">θηκε για την επαναγορά του ομολόγου λήξεως 17/04/2019, επιτοκίου 4,75%. </w:t>
      </w:r>
    </w:p>
    <w:p w:rsidR="00F5330F" w:rsidRPr="00F5330F" w:rsidRDefault="00F5330F" w:rsidP="00F5330F">
      <w:pPr>
        <w:jc w:val="both"/>
        <w:rPr>
          <w:bCs/>
        </w:rPr>
      </w:pPr>
    </w:p>
    <w:p w:rsidR="00F5330F" w:rsidRPr="00F5330F" w:rsidRDefault="00F5330F" w:rsidP="00F5330F">
      <w:pPr>
        <w:jc w:val="both"/>
        <w:rPr>
          <w:bCs/>
        </w:rPr>
      </w:pPr>
      <w:r w:rsidRPr="00F5330F">
        <w:rPr>
          <w:bCs/>
        </w:rPr>
        <w:t>Κατά τη διάρκεια του έτους το Ελληνικό Δημόσιο συνέχισε να εκδίδει τίτλους βραχυπρόθε</w:t>
      </w:r>
      <w:r w:rsidRPr="00F5330F">
        <w:rPr>
          <w:bCs/>
        </w:rPr>
        <w:t>σ</w:t>
      </w:r>
      <w:r w:rsidRPr="00F5330F">
        <w:rPr>
          <w:bCs/>
        </w:rPr>
        <w:t xml:space="preserve">μης διάρκειας. Η βραχυπρόθεσμη χρηματοδότηση πραγματοποιήθηκε με μηνιαίες εκδόσεις εντόκων γραμματίων διάρκειας 13 και 26 εβδομάδων και σύναψη συμφωνιών </w:t>
      </w:r>
      <w:r w:rsidRPr="00F5330F">
        <w:rPr>
          <w:bCs/>
          <w:lang w:val="en-US"/>
        </w:rPr>
        <w:t>repos</w:t>
      </w:r>
      <w:r w:rsidRPr="00F5330F">
        <w:rPr>
          <w:bCs/>
        </w:rPr>
        <w:t xml:space="preserve"> κυρίως με τους φορείς της Γενικής Κυβέρνησης. Στις 31/08/2017 το ανεξόφλητο υπόλοιπο των ΕΓΕΔ ανερχόταν σε 14.925,8 εκατ. ευρώ, ενώ τα </w:t>
      </w:r>
      <w:r w:rsidRPr="00F5330F">
        <w:rPr>
          <w:bCs/>
          <w:lang w:val="en-US"/>
        </w:rPr>
        <w:t>repos</w:t>
      </w:r>
      <w:r w:rsidRPr="00F5330F">
        <w:rPr>
          <w:bCs/>
        </w:rPr>
        <w:t xml:space="preserve"> ανήλθαν σε 15.230,4 εκατ. ευρώ. Μ</w:t>
      </w:r>
      <w:r w:rsidRPr="00F5330F">
        <w:rPr>
          <w:bCs/>
        </w:rPr>
        <w:t>έ</w:t>
      </w:r>
      <w:r w:rsidRPr="00F5330F">
        <w:rPr>
          <w:bCs/>
        </w:rPr>
        <w:t xml:space="preserve">ρος των ΕΓΕΔ και των </w:t>
      </w:r>
      <w:r w:rsidRPr="00F5330F">
        <w:rPr>
          <w:bCs/>
          <w:lang w:val="en-US"/>
        </w:rPr>
        <w:t>repos</w:t>
      </w:r>
      <w:r w:rsidRPr="00F5330F">
        <w:rPr>
          <w:bCs/>
        </w:rPr>
        <w:t xml:space="preserve"> αναμένεται να αντικατασταθεί είτε με ομόλογα είτε με δάνεια του </w:t>
      </w:r>
      <w:r w:rsidRPr="00F5330F">
        <w:rPr>
          <w:bCs/>
          <w:lang w:val="en-US"/>
        </w:rPr>
        <w:t>ESM</w:t>
      </w:r>
      <w:r w:rsidRPr="00F5330F">
        <w:rPr>
          <w:bCs/>
        </w:rPr>
        <w:t xml:space="preserve"> το επόμενο έτος.</w:t>
      </w:r>
    </w:p>
    <w:p w:rsidR="00F5330F" w:rsidRPr="00F5330F" w:rsidRDefault="00F5330F" w:rsidP="00F5330F">
      <w:pPr>
        <w:jc w:val="both"/>
        <w:rPr>
          <w:b/>
          <w:bCs/>
        </w:rPr>
      </w:pPr>
    </w:p>
    <w:p w:rsidR="00F5330F" w:rsidRPr="00F5330F" w:rsidRDefault="00F5330F" w:rsidP="00F5330F">
      <w:pPr>
        <w:keepNext/>
        <w:jc w:val="both"/>
        <w:outlineLvl w:val="3"/>
        <w:rPr>
          <w:rFonts w:ascii="Arial Narrow" w:hAnsi="Arial Narrow"/>
          <w:b/>
          <w:color w:val="000080"/>
          <w:szCs w:val="22"/>
        </w:rPr>
      </w:pPr>
      <w:r w:rsidRPr="00F5330F">
        <w:rPr>
          <w:rFonts w:ascii="Arial Narrow" w:hAnsi="Arial Narrow"/>
          <w:b/>
          <w:color w:val="000080"/>
          <w:szCs w:val="22"/>
        </w:rPr>
        <w:t>Δευτερογενής αγορά τίτλων</w:t>
      </w:r>
    </w:p>
    <w:p w:rsidR="00F5330F" w:rsidRPr="00F5330F" w:rsidRDefault="00F5330F" w:rsidP="00F5330F">
      <w:pPr>
        <w:jc w:val="both"/>
        <w:rPr>
          <w:b/>
          <w:bCs/>
        </w:rPr>
      </w:pPr>
    </w:p>
    <w:p w:rsidR="00F5330F" w:rsidRPr="00F5330F" w:rsidRDefault="00F5330F" w:rsidP="00F5330F">
      <w:pPr>
        <w:jc w:val="both"/>
        <w:rPr>
          <w:bCs/>
        </w:rPr>
      </w:pPr>
      <w:r w:rsidRPr="00F5330F">
        <w:rPr>
          <w:bCs/>
        </w:rPr>
        <w:t>Η συνολική αξία των συναλλαγών που καταγράφηκε στο Σύστημα Άυλων Τίτλων της Τράπ</w:t>
      </w:r>
      <w:r w:rsidRPr="00F5330F">
        <w:rPr>
          <w:bCs/>
        </w:rPr>
        <w:t>ε</w:t>
      </w:r>
      <w:r w:rsidRPr="00F5330F">
        <w:rPr>
          <w:bCs/>
        </w:rPr>
        <w:t>ζας της Ελλάδος, η οποία περιλαμβάνει τις αγοραπωλησίες τίτλων και τις συμφωνίες επαν</w:t>
      </w:r>
      <w:r w:rsidRPr="00F5330F">
        <w:rPr>
          <w:bCs/>
        </w:rPr>
        <w:t>α</w:t>
      </w:r>
      <w:r w:rsidRPr="00F5330F">
        <w:rPr>
          <w:bCs/>
        </w:rPr>
        <w:t xml:space="preserve">γοράς στην </w:t>
      </w:r>
      <w:proofErr w:type="spellStart"/>
      <w:r w:rsidRPr="00F5330F">
        <w:rPr>
          <w:bCs/>
        </w:rPr>
        <w:t>εξωχρηματιστηριακή</w:t>
      </w:r>
      <w:proofErr w:type="spellEnd"/>
      <w:r w:rsidRPr="00F5330F">
        <w:rPr>
          <w:bCs/>
        </w:rPr>
        <w:t xml:space="preserve"> αγορά (</w:t>
      </w:r>
      <w:proofErr w:type="spellStart"/>
      <w:r w:rsidRPr="00F5330F">
        <w:rPr>
          <w:bCs/>
        </w:rPr>
        <w:t>over</w:t>
      </w:r>
      <w:proofErr w:type="spellEnd"/>
      <w:r w:rsidRPr="00F5330F">
        <w:rPr>
          <w:bCs/>
        </w:rPr>
        <w:t>-</w:t>
      </w:r>
      <w:proofErr w:type="spellStart"/>
      <w:r w:rsidRPr="00F5330F">
        <w:rPr>
          <w:bCs/>
        </w:rPr>
        <w:t>the</w:t>
      </w:r>
      <w:proofErr w:type="spellEnd"/>
      <w:r w:rsidRPr="00F5330F">
        <w:rPr>
          <w:bCs/>
        </w:rPr>
        <w:t>-</w:t>
      </w:r>
      <w:proofErr w:type="spellStart"/>
      <w:r w:rsidRPr="00F5330F">
        <w:rPr>
          <w:bCs/>
        </w:rPr>
        <w:t>counter</w:t>
      </w:r>
      <w:proofErr w:type="spellEnd"/>
      <w:r w:rsidRPr="00F5330F">
        <w:rPr>
          <w:bCs/>
        </w:rPr>
        <w:t xml:space="preserve">) και τις ηλεκτρονικές πλατφόρμες διαπραγμάτευσης, διαμορφώθηκε σε 419,33 δισ. ευρώ το </w:t>
      </w:r>
      <w:proofErr w:type="spellStart"/>
      <w:r w:rsidRPr="00F5330F">
        <w:rPr>
          <w:bCs/>
        </w:rPr>
        <w:t>β΄</w:t>
      </w:r>
      <w:proofErr w:type="spellEnd"/>
      <w:r w:rsidRPr="00F5330F">
        <w:rPr>
          <w:bCs/>
        </w:rPr>
        <w:t xml:space="preserve"> τρίμηνο του 2017 έναντι 433,40 </w:t>
      </w:r>
      <w:r w:rsidRPr="00F5330F">
        <w:rPr>
          <w:bCs/>
        </w:rPr>
        <w:lastRenderedPageBreak/>
        <w:t xml:space="preserve">δισ. ευρώ το </w:t>
      </w:r>
      <w:proofErr w:type="spellStart"/>
      <w:r w:rsidRPr="00F5330F">
        <w:rPr>
          <w:bCs/>
        </w:rPr>
        <w:t>α΄</w:t>
      </w:r>
      <w:proofErr w:type="spellEnd"/>
      <w:r w:rsidRPr="00F5330F">
        <w:rPr>
          <w:bCs/>
        </w:rPr>
        <w:t xml:space="preserve"> τρίμηνο του 2017, ενώ το </w:t>
      </w:r>
      <w:proofErr w:type="spellStart"/>
      <w:r w:rsidRPr="00F5330F">
        <w:rPr>
          <w:bCs/>
        </w:rPr>
        <w:t>β΄</w:t>
      </w:r>
      <w:proofErr w:type="spellEnd"/>
      <w:r w:rsidRPr="00F5330F">
        <w:rPr>
          <w:bCs/>
        </w:rPr>
        <w:t xml:space="preserve"> τρίμηνο του 2016 είχε διαμορφωθεί σε 279,78 δισ. ευρώ. </w:t>
      </w:r>
    </w:p>
    <w:p w:rsidR="00F5330F" w:rsidRPr="00F5330F" w:rsidRDefault="00F5330F" w:rsidP="00F5330F">
      <w:pPr>
        <w:jc w:val="both"/>
        <w:rPr>
          <w:bCs/>
        </w:rPr>
      </w:pPr>
    </w:p>
    <w:p w:rsidR="00F5330F" w:rsidRPr="00F5330F" w:rsidRDefault="00F5330F" w:rsidP="00F5330F">
      <w:pPr>
        <w:jc w:val="both"/>
        <w:rPr>
          <w:bCs/>
        </w:rPr>
      </w:pPr>
      <w:r w:rsidRPr="00F5330F">
        <w:rPr>
          <w:bCs/>
        </w:rPr>
        <w:t>Κατά το πρώτο εξάμηνο του 2017, το 71,7% της συναλλακτικής δραστηριότητας στην Ηλε</w:t>
      </w:r>
      <w:r w:rsidRPr="00F5330F">
        <w:rPr>
          <w:bCs/>
        </w:rPr>
        <w:t>κ</w:t>
      </w:r>
      <w:r w:rsidRPr="00F5330F">
        <w:rPr>
          <w:bCs/>
        </w:rPr>
        <w:t>τρονική Δευτερογενή Αγορά Τίτλων (ΗΔΑΤ) επικεντρώθηκε στους βραχυπρόθεσμους τίτλ</w:t>
      </w:r>
      <w:r w:rsidRPr="00F5330F">
        <w:rPr>
          <w:bCs/>
        </w:rPr>
        <w:t>ο</w:t>
      </w:r>
      <w:r w:rsidRPr="00F5330F">
        <w:rPr>
          <w:bCs/>
        </w:rPr>
        <w:t>υς με διάρκεια έως 3 έτη, το 12,7% στους μεσοπρόθεσμους τίτλους με διάρκεια έως 10 έτη και το 15,6% σε μακροπρόθεσμους τίτλους με διάρκεια έως 30 έτη.</w:t>
      </w:r>
    </w:p>
    <w:p w:rsidR="00F5330F" w:rsidRPr="00F5330F" w:rsidRDefault="00F5330F" w:rsidP="00F5330F">
      <w:pPr>
        <w:jc w:val="both"/>
        <w:rPr>
          <w:bCs/>
        </w:rPr>
      </w:pPr>
    </w:p>
    <w:p w:rsidR="00F5330F" w:rsidRPr="00F5330F" w:rsidRDefault="00F5330F" w:rsidP="00F5330F">
      <w:pPr>
        <w:jc w:val="both"/>
        <w:rPr>
          <w:bCs/>
        </w:rPr>
      </w:pPr>
      <w:r w:rsidRPr="00F5330F">
        <w:rPr>
          <w:bCs/>
        </w:rPr>
        <w:t>Η σύνθεση της ομάδας των βασικών διαπραγματευτών αγοράς κατά το τρέχον έτος αποτελε</w:t>
      </w:r>
      <w:r w:rsidRPr="00F5330F">
        <w:rPr>
          <w:bCs/>
        </w:rPr>
        <w:t>ί</w:t>
      </w:r>
      <w:r w:rsidRPr="00F5330F">
        <w:rPr>
          <w:bCs/>
        </w:rPr>
        <w:t xml:space="preserve">ται από 4 Ελληνικά και 18 διεθνή πιστωτικά ιδρύματα. </w:t>
      </w:r>
    </w:p>
    <w:p w:rsidR="00F5330F" w:rsidRPr="00F5330F" w:rsidRDefault="00F5330F" w:rsidP="00F5330F">
      <w:pPr>
        <w:jc w:val="both"/>
      </w:pPr>
    </w:p>
    <w:p w:rsidR="00F5330F" w:rsidRPr="00F5330F" w:rsidRDefault="00F5330F" w:rsidP="00F5330F">
      <w:pPr>
        <w:jc w:val="both"/>
      </w:pPr>
    </w:p>
    <w:p w:rsidR="00F5330F" w:rsidRPr="00F5330F" w:rsidRDefault="00F5330F" w:rsidP="00F5330F">
      <w:pPr>
        <w:shd w:val="clear" w:color="auto" w:fill="BFBFBF" w:themeFill="background1" w:themeFillShade="BF"/>
        <w:tabs>
          <w:tab w:val="left" w:pos="540"/>
        </w:tabs>
        <w:jc w:val="both"/>
        <w:rPr>
          <w:rFonts w:ascii="Arial Narrow" w:hAnsi="Arial Narrow"/>
          <w:b/>
          <w:bCs/>
          <w:sz w:val="26"/>
          <w:szCs w:val="26"/>
        </w:rPr>
      </w:pPr>
      <w:r w:rsidRPr="00F5330F">
        <w:rPr>
          <w:rFonts w:ascii="Arial Narrow" w:hAnsi="Arial Narrow"/>
          <w:b/>
          <w:bCs/>
          <w:sz w:val="26"/>
          <w:szCs w:val="26"/>
        </w:rPr>
        <w:t>4.</w:t>
      </w:r>
      <w:r w:rsidRPr="00F5330F">
        <w:rPr>
          <w:rFonts w:ascii="Arial Narrow" w:hAnsi="Arial Narrow"/>
          <w:b/>
          <w:bCs/>
          <w:sz w:val="26"/>
          <w:szCs w:val="26"/>
        </w:rPr>
        <w:tab/>
        <w:t>Βασικές κατευθύνσεις δανεισμού και διαχειριστικών στόχων για το 2018</w:t>
      </w:r>
    </w:p>
    <w:p w:rsidR="00F5330F" w:rsidRPr="00F5330F" w:rsidRDefault="00F5330F" w:rsidP="00F5330F">
      <w:pPr>
        <w:jc w:val="both"/>
      </w:pPr>
    </w:p>
    <w:p w:rsidR="00F5330F" w:rsidRPr="00F5330F" w:rsidRDefault="00F5330F" w:rsidP="00F5330F">
      <w:pPr>
        <w:jc w:val="both"/>
      </w:pPr>
      <w:r w:rsidRPr="00F5330F">
        <w:t>Κατά το τρέχον έτος συνεχίστηκε η αξιοποίηση και η βέλτιστη διαχείριση των ταμειακών δ</w:t>
      </w:r>
      <w:r w:rsidRPr="00F5330F">
        <w:t>ι</w:t>
      </w:r>
      <w:r w:rsidRPr="00F5330F">
        <w:t xml:space="preserve">αθεσίμων των φορέων της Γενικής Κυβέρνησης, μέσω εφαρμογής προγράμματος πράξεων διαχείρισης ταμειακής ρευστότητας υπό τη μορφή </w:t>
      </w:r>
      <w:proofErr w:type="spellStart"/>
      <w:r w:rsidRPr="00F5330F">
        <w:t>repo</w:t>
      </w:r>
      <w:proofErr w:type="spellEnd"/>
      <w:r w:rsidRPr="00F5330F">
        <w:t xml:space="preserve"> </w:t>
      </w:r>
      <w:proofErr w:type="spellStart"/>
      <w:r w:rsidRPr="00F5330F">
        <w:t>agreements</w:t>
      </w:r>
      <w:proofErr w:type="spellEnd"/>
      <w:r w:rsidRPr="00F5330F">
        <w:t xml:space="preserve">, τις οποίες συνάπτει ο Οργανισμός Διαχείρισης Δημοσίου Χρέους (ΟΔΔΗΧ). </w:t>
      </w:r>
    </w:p>
    <w:p w:rsidR="00F5330F" w:rsidRPr="00F5330F" w:rsidRDefault="00F5330F" w:rsidP="00F5330F">
      <w:pPr>
        <w:jc w:val="both"/>
      </w:pPr>
    </w:p>
    <w:p w:rsidR="00F5330F" w:rsidRPr="00F5330F" w:rsidRDefault="00F5330F" w:rsidP="00F5330F">
      <w:pPr>
        <w:jc w:val="both"/>
      </w:pPr>
      <w:r w:rsidRPr="00F5330F">
        <w:t>Με το πρόγραμμα αυτό αξιοποιείται πλέον το μεγαλύτερο μέρος των ταμειακών διαθεσίμων των εν λόγω φορέων με πολύ αποτελεσματικό τρόπο, παρέχοντάς τους ανταγωνιστικές υψ</w:t>
      </w:r>
      <w:r w:rsidRPr="00F5330F">
        <w:t>η</w:t>
      </w:r>
      <w:r w:rsidRPr="00F5330F">
        <w:t>λές αποδόσεις, επ’ ωφελεία τους, διασφαλίζοντας αντίστοιχο όφελος ως προς το δημοσιον</w:t>
      </w:r>
      <w:r w:rsidRPr="00F5330F">
        <w:t>ο</w:t>
      </w:r>
      <w:r w:rsidRPr="00F5330F">
        <w:t>μικό αποτέλεσμα της Γενικής Κυβέρνησης, με σωρευτικά θετικές επιπτώσεις για τη βιωσιμ</w:t>
      </w:r>
      <w:r w:rsidRPr="00F5330F">
        <w:t>ό</w:t>
      </w:r>
      <w:r w:rsidRPr="00F5330F">
        <w:t>τητα του δημοσίου χρέους. Για το έτος 2018 θα συνεχισθεί η περαιτέρω επέκταση και εμβ</w:t>
      </w:r>
      <w:r w:rsidRPr="00F5330F">
        <w:t>ά</w:t>
      </w:r>
      <w:r w:rsidRPr="00F5330F">
        <w:t xml:space="preserve">θυνση του προγράμματος αυτού με απώτερο στόχο την ολοκλήρωση της δημιουργίας ενιαίου λογαριασμού διαχείρισης ταμειακών διαθεσίμων. </w:t>
      </w:r>
    </w:p>
    <w:p w:rsidR="00F5330F" w:rsidRPr="00F5330F" w:rsidRDefault="00F5330F" w:rsidP="00F5330F">
      <w:pPr>
        <w:jc w:val="both"/>
      </w:pPr>
    </w:p>
    <w:p w:rsidR="00F5330F" w:rsidRPr="00F5330F" w:rsidRDefault="00F5330F" w:rsidP="00F5330F">
      <w:pPr>
        <w:jc w:val="both"/>
      </w:pPr>
      <w:r w:rsidRPr="00F5330F">
        <w:t>Η βραχυπρόθεσμη χρηματοδότηση του Ελληνικού Δημοσίου για το έτος 2018 θα συνεχίσει να υλοποιείται και μέσω εκδόσεων εντόκων γραμματίων.</w:t>
      </w:r>
    </w:p>
    <w:p w:rsidR="00F5330F" w:rsidRPr="00F5330F" w:rsidRDefault="00F5330F" w:rsidP="00F5330F">
      <w:pPr>
        <w:jc w:val="both"/>
      </w:pPr>
    </w:p>
    <w:p w:rsidR="00F5330F" w:rsidRPr="00F5330F" w:rsidRDefault="00F5330F" w:rsidP="00F5330F">
      <w:pPr>
        <w:jc w:val="both"/>
      </w:pPr>
      <w:r w:rsidRPr="00F5330F">
        <w:t>Επιπροσθέτως, με στόχο την αναδημιουργία επαρκούς ρευστότητας και μίας αντιπροσωπε</w:t>
      </w:r>
      <w:r w:rsidRPr="00F5330F">
        <w:t>υ</w:t>
      </w:r>
      <w:r w:rsidRPr="00F5330F">
        <w:t>τικής καμπύλης αποδόσεων ομολόγων αναφοράς του Ελληνικού Δημοσίου, καθώς και τη δ</w:t>
      </w:r>
      <w:r w:rsidRPr="00F5330F">
        <w:t>η</w:t>
      </w:r>
      <w:r w:rsidRPr="00F5330F">
        <w:t>μιουργία επαρκών ταμειακών διαθεσίμων ασφαλείας για την απρόσκοπτη χρηματοδότηση του ΕΔ, αποκλειστικά από την διεθνή και εγχώρια αγορά κεφαλαίων μετά τη λήξη του τρ</w:t>
      </w:r>
      <w:r w:rsidRPr="00F5330F">
        <w:t>έ</w:t>
      </w:r>
      <w:r w:rsidRPr="00F5330F">
        <w:t xml:space="preserve">χοντος προγράμματος, θα επιχειρηθεί εκ νέου η έξοδος στις αγορές. </w:t>
      </w:r>
    </w:p>
    <w:p w:rsidR="00F5330F" w:rsidRPr="00F5330F" w:rsidRDefault="00F5330F" w:rsidP="00F5330F">
      <w:pPr>
        <w:jc w:val="both"/>
      </w:pPr>
    </w:p>
    <w:p w:rsidR="00F5330F" w:rsidRPr="00F5330F" w:rsidRDefault="00F5330F" w:rsidP="00F5330F">
      <w:pPr>
        <w:jc w:val="both"/>
      </w:pPr>
      <w:r w:rsidRPr="00F5330F">
        <w:t>Στους σχεδιασμούς, μεταξύ άλλων, περιλαμβάνεται σειρά νέων ομολογιακών εκδόσεων στ</w:t>
      </w:r>
      <w:r w:rsidRPr="00F5330F">
        <w:t>α</w:t>
      </w:r>
      <w:r w:rsidRPr="00F5330F">
        <w:t>θερού επιτοκίου με κομβικές διάρκειες, καθώς και ανταλλαγές παλαιοτέρων ομολόγων πρ</w:t>
      </w:r>
      <w:r w:rsidRPr="00F5330F">
        <w:t>ο</w:t>
      </w:r>
      <w:r w:rsidRPr="00F5330F">
        <w:t>ερχόμενων από το PSI με νέα ομόλογα, στο πλαίσιο ενός συντεταγμένου προγράμματος δι</w:t>
      </w:r>
      <w:r w:rsidRPr="00F5330F">
        <w:t>α</w:t>
      </w:r>
      <w:r w:rsidRPr="00F5330F">
        <w:t xml:space="preserve">χείρισης υφιστάμενων υποχρεώσεων χαρτοφυλακίου χρέους (LME - </w:t>
      </w:r>
      <w:proofErr w:type="spellStart"/>
      <w:r w:rsidRPr="00F5330F">
        <w:t>Liability</w:t>
      </w:r>
      <w:proofErr w:type="spellEnd"/>
      <w:r w:rsidRPr="00F5330F">
        <w:t xml:space="preserve"> </w:t>
      </w:r>
      <w:proofErr w:type="spellStart"/>
      <w:r w:rsidRPr="00F5330F">
        <w:t>Management</w:t>
      </w:r>
      <w:proofErr w:type="spellEnd"/>
      <w:r w:rsidRPr="00F5330F">
        <w:t xml:space="preserve"> </w:t>
      </w:r>
      <w:proofErr w:type="spellStart"/>
      <w:r w:rsidRPr="00F5330F">
        <w:t>Exercise</w:t>
      </w:r>
      <w:proofErr w:type="spellEnd"/>
      <w:r w:rsidRPr="00F5330F">
        <w:t>), κατά τα πρότυπα της πρόσφατης άκρως επιτυχημένης έκδοσης του νέου 5-ετούς Ομολόγου του Ελληνικού Δημοσίου (ΟΕΔ) λήξης 2022 και της αντίστοιχης ανταλλαγής ΟΕΔ λήξης 2019, που έλαβαν χώρα την 1 Αυγούστου 2017.</w:t>
      </w:r>
    </w:p>
    <w:p w:rsidR="00F5330F" w:rsidRPr="00F5330F" w:rsidRDefault="00F5330F" w:rsidP="00F5330F">
      <w:pPr>
        <w:jc w:val="both"/>
      </w:pPr>
    </w:p>
    <w:p w:rsidR="00F5330F" w:rsidRPr="00F5330F" w:rsidRDefault="00F5330F" w:rsidP="00F5330F">
      <w:pPr>
        <w:jc w:val="both"/>
      </w:pPr>
      <w:r w:rsidRPr="00F5330F">
        <w:t xml:space="preserve">Σημειώνεται ότι, στο πλαίσιο της αρχής της ευρωπαϊκής αλληλεγγύης, από τις πρόσφατες </w:t>
      </w:r>
      <w:r w:rsidRPr="00F5330F">
        <w:t>α</w:t>
      </w:r>
      <w:r w:rsidRPr="00F5330F">
        <w:t>ποφάσεις του Eurogroup της 15ης Ιουνίου 2017, διασφαλίζεται η επί της ουσίας παροχή έ</w:t>
      </w:r>
      <w:r w:rsidRPr="00F5330F">
        <w:t>μ</w:t>
      </w:r>
      <w:r w:rsidRPr="00F5330F">
        <w:t>μεσης εγγύησης από τους Ευρωπαίους Εταίρους προς το ΕΔ για απρόσκοπτη έξοδό του στις αγορές, με πιθανή εκταμίευση στο τέλος του προγράμματος μέρους των αδιάθετων δανει</w:t>
      </w:r>
      <w:r w:rsidRPr="00F5330F">
        <w:t>α</w:t>
      </w:r>
      <w:r w:rsidRPr="00F5330F">
        <w:t>κών κεφαλαίων του τρέχοντος προγράμματος, με στόχο τη δημιουργία ταμειακών διαθεσίμων ασφαλείας του ΕΔ.</w:t>
      </w:r>
    </w:p>
    <w:p w:rsidR="00F5330F" w:rsidRPr="00F5330F" w:rsidRDefault="00F5330F" w:rsidP="00F5330F">
      <w:pPr>
        <w:jc w:val="both"/>
      </w:pPr>
    </w:p>
    <w:p w:rsidR="00F5330F" w:rsidRPr="00F5330F" w:rsidRDefault="00F5330F" w:rsidP="00F5330F">
      <w:pPr>
        <w:jc w:val="both"/>
      </w:pPr>
      <w:r w:rsidRPr="00F5330F">
        <w:t xml:space="preserve">Τα παραπάνω, σε συνδυασμό με τις αντίστοιχες αποφάσεις για λήψη περαιτέρω μέτρων </w:t>
      </w:r>
      <w:r w:rsidRPr="00F5330F">
        <w:t>ε</w:t>
      </w:r>
      <w:r w:rsidRPr="00F5330F">
        <w:t>λάφρυνσης του δημοσίου χρέους σε μέσο – μακροχρόνιο ορίζοντα και την ενδεχόμενη σύ</w:t>
      </w:r>
      <w:r w:rsidRPr="00F5330F">
        <w:t>ν</w:t>
      </w:r>
      <w:r w:rsidRPr="00F5330F">
        <w:t xml:space="preserve">δεση αυτών με τους ρυθμούς οικονομικής ανάπτυξης, εφόσον αυτά κριθούν απαραίτητα, </w:t>
      </w:r>
      <w:r w:rsidRPr="00F5330F">
        <w:t>α</w:t>
      </w:r>
      <w:r w:rsidRPr="00F5330F">
        <w:t>ναμένεται να οδηγήσουν σε σημαντική αύξηση της ρευστότητας τόσο του ΕΔ ειδικά, όσο και της ελληνικής οικονομίας γενικότερα, καθώς και στη σημαντική βελτίωση του οικονομικού και επενδυτικού κλίματος για τη χώρα, παράγοντες εξαιρετικά κρίσιμοι για οριστική έξοδο από την κρίση.</w:t>
      </w:r>
    </w:p>
    <w:p w:rsidR="00F5330F" w:rsidRPr="00F5330F" w:rsidRDefault="00F5330F" w:rsidP="00F5330F">
      <w:pPr>
        <w:jc w:val="both"/>
      </w:pPr>
    </w:p>
    <w:p w:rsidR="00F5330F" w:rsidRPr="00F5330F" w:rsidRDefault="00F5330F" w:rsidP="00F5330F">
      <w:pPr>
        <w:jc w:val="both"/>
      </w:pPr>
      <w:r w:rsidRPr="00F5330F">
        <w:t>Επίσης, κατά το επόμενο έτος, θα διατηρηθούν οι βασικοί μεσοπρόθεσμοι στόχοι διαχείρισης του χαρτοφυλακίου δημοσίου χρέους, όπως είναι η διατήρηση του συναλλαγματικού κινδ</w:t>
      </w:r>
      <w:r w:rsidRPr="00F5330F">
        <w:t>ύ</w:t>
      </w:r>
      <w:r w:rsidRPr="00F5330F">
        <w:t xml:space="preserve">νου στα σημερινά ελάχιστα επίπεδα για τα δάνεια εκτός ευρώ και η βελτίωση της αναλογίας χρέους σταθερού επιτοκίου στο σύνολο του χαρτοφυλακίου. </w:t>
      </w:r>
    </w:p>
    <w:p w:rsidR="00F5330F" w:rsidRPr="00F5330F" w:rsidRDefault="00F5330F" w:rsidP="00F5330F">
      <w:pPr>
        <w:jc w:val="both"/>
      </w:pPr>
    </w:p>
    <w:p w:rsidR="00F5330F" w:rsidRPr="00F5330F" w:rsidRDefault="00F5330F" w:rsidP="00F5330F">
      <w:pPr>
        <w:jc w:val="both"/>
      </w:pPr>
      <w:r w:rsidRPr="00F5330F">
        <w:t xml:space="preserve">Καθοριστικό ρόλο για την επίτευξη των προαναφερόμενων διαχειριστικών στόχων θα έχουν τα βραχυπρόθεσμα μέτρα για την αναδιάρθρωση του ελληνικού χρέους, που αναμένεται να ολοκληρωθούν έως τη λήξη του παρόντος προγράμματος, τον Αύγουστο του 2018. Τα μέτρα αυτά έχουν ως κύρια επιδίωξη, εκτός άλλων, την αντιστάθμιση του υφιστάμενου </w:t>
      </w:r>
      <w:proofErr w:type="spellStart"/>
      <w:r w:rsidRPr="00F5330F">
        <w:t>επιτοκιακού</w:t>
      </w:r>
      <w:proofErr w:type="spellEnd"/>
      <w:r w:rsidRPr="00F5330F">
        <w:t xml:space="preserve"> κινδύνου του χαρτοφυλακίου δημοσίου χρέους με στόχο τη βέλτιστη </w:t>
      </w:r>
      <w:proofErr w:type="spellStart"/>
      <w:r w:rsidRPr="00F5330F">
        <w:t>προβλεψιμότητα</w:t>
      </w:r>
      <w:proofErr w:type="spellEnd"/>
      <w:r w:rsidRPr="00F5330F">
        <w:t xml:space="preserve"> των μελλοντικών δαπανών εξυπηρέτησής του με προοπτική τη συνέχιση της εκδοτικής δραστηρ</w:t>
      </w:r>
      <w:r w:rsidRPr="00F5330F">
        <w:t>ι</w:t>
      </w:r>
      <w:r w:rsidRPr="00F5330F">
        <w:t>ότητας της χώρας στις διεθνείς αγορές.</w:t>
      </w:r>
    </w:p>
    <w:p w:rsidR="00F5330F" w:rsidRPr="00F5330F" w:rsidRDefault="00F5330F" w:rsidP="00F5330F">
      <w:pPr>
        <w:jc w:val="both"/>
      </w:pPr>
    </w:p>
    <w:p w:rsidR="00F5330F" w:rsidRPr="00F5330F" w:rsidRDefault="00F5330F" w:rsidP="00F5330F">
      <w:pPr>
        <w:jc w:val="both"/>
      </w:pPr>
    </w:p>
    <w:p w:rsidR="00F5330F" w:rsidRPr="00F5330F" w:rsidRDefault="00F5330F" w:rsidP="00F5330F"/>
    <w:p w:rsidR="004F40E8" w:rsidRDefault="004F40E8" w:rsidP="004F40E8">
      <w:pPr>
        <w:jc w:val="both"/>
        <w:rPr>
          <w:szCs w:val="22"/>
        </w:rPr>
      </w:pPr>
    </w:p>
    <w:sectPr w:rsidR="004F40E8" w:rsidSect="004213BC">
      <w:headerReference w:type="even" r:id="rId19"/>
      <w:headerReference w:type="default" r:id="rId20"/>
      <w:footerReference w:type="even" r:id="rId21"/>
      <w:footerReference w:type="default" r:id="rId22"/>
      <w:type w:val="oddPage"/>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3DD" w:rsidRDefault="002A03DD">
      <w:r>
        <w:separator/>
      </w:r>
    </w:p>
  </w:endnote>
  <w:endnote w:type="continuationSeparator" w:id="0">
    <w:p w:rsidR="002A03DD" w:rsidRDefault="002A03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A1"/>
    <w:family w:val="roman"/>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D4" w:rsidRPr="00A544A7" w:rsidRDefault="003A0121">
    <w:pPr>
      <w:pStyle w:val="a4"/>
      <w:jc w:val="both"/>
      <w:rPr>
        <w:color w:val="333333"/>
        <w:lang w:val="en-US"/>
      </w:rPr>
    </w:pPr>
    <w:r>
      <w:rPr>
        <w:rStyle w:val="a5"/>
        <w:b/>
        <w:sz w:val="28"/>
      </w:rPr>
      <w:fldChar w:fldCharType="begin"/>
    </w:r>
    <w:r w:rsidR="00953FD4">
      <w:rPr>
        <w:rStyle w:val="a5"/>
        <w:b/>
        <w:sz w:val="28"/>
      </w:rPr>
      <w:instrText xml:space="preserve"> PAGE </w:instrText>
    </w:r>
    <w:r>
      <w:rPr>
        <w:rStyle w:val="a5"/>
        <w:b/>
        <w:sz w:val="28"/>
      </w:rPr>
      <w:fldChar w:fldCharType="separate"/>
    </w:r>
    <w:r w:rsidR="00137C7D">
      <w:rPr>
        <w:rStyle w:val="a5"/>
        <w:b/>
        <w:noProof/>
        <w:sz w:val="28"/>
      </w:rPr>
      <w:t>22</w:t>
    </w:r>
    <w:r>
      <w:rPr>
        <w:rStyle w:val="a5"/>
        <w:b/>
        <w:sz w:val="28"/>
      </w:rPr>
      <w:fldChar w:fldCharType="end"/>
    </w:r>
    <w:r w:rsidR="00953FD4">
      <w:rPr>
        <w:rStyle w:val="a5"/>
        <w:b/>
        <w:sz w:val="28"/>
      </w:rPr>
      <w:t xml:space="preserve">    </w:t>
    </w:r>
    <w:r w:rsidR="00953FD4">
      <w:rPr>
        <w:rFonts w:ascii="Arial Narrow" w:hAnsi="Arial Narrow"/>
        <w:color w:val="333333"/>
        <w:sz w:val="22"/>
      </w:rPr>
      <w:t>ΚΡΑΤΙΚΟΣ ΠΡΟΫΠΟΛΟΓΙΣΜΟΣ 201</w:t>
    </w:r>
    <w:r w:rsidR="00953FD4">
      <w:rPr>
        <w:rFonts w:ascii="Arial Narrow" w:hAnsi="Arial Narrow"/>
        <w:color w:val="333333"/>
        <w:sz w:val="22"/>
        <w:lang w:val="en-U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02" w:rsidRPr="00D172EF" w:rsidRDefault="00522B02" w:rsidP="00522B02">
    <w:pPr>
      <w:pStyle w:val="a4"/>
      <w:jc w:val="right"/>
    </w:pPr>
    <w:r>
      <w:rPr>
        <w:rFonts w:ascii="Arial Narrow" w:hAnsi="Arial Narrow"/>
        <w:color w:val="333333"/>
        <w:sz w:val="22"/>
      </w:rPr>
      <w:t>ΚΡΑΤΙΚΟΣ ΠΡΟΫΠΟΛΟΓΙΣΜΟΣ 201</w:t>
    </w:r>
    <w:r>
      <w:rPr>
        <w:rFonts w:ascii="Arial Narrow" w:hAnsi="Arial Narrow"/>
        <w:color w:val="333333"/>
        <w:sz w:val="22"/>
        <w:lang w:val="en-US"/>
      </w:rPr>
      <w:t>8</w:t>
    </w:r>
    <w:r>
      <w:rPr>
        <w:rFonts w:ascii="Arial Narrow" w:hAnsi="Arial Narrow"/>
        <w:color w:val="333333"/>
        <w:sz w:val="22"/>
      </w:rPr>
      <w:t xml:space="preserve">      </w:t>
    </w:r>
    <w:r w:rsidR="003A0121">
      <w:rPr>
        <w:rStyle w:val="a5"/>
        <w:b/>
        <w:sz w:val="28"/>
      </w:rPr>
      <w:fldChar w:fldCharType="begin"/>
    </w:r>
    <w:r>
      <w:rPr>
        <w:rStyle w:val="a5"/>
        <w:b/>
        <w:sz w:val="28"/>
      </w:rPr>
      <w:instrText xml:space="preserve"> PAGE </w:instrText>
    </w:r>
    <w:r w:rsidR="003A0121">
      <w:rPr>
        <w:rStyle w:val="a5"/>
        <w:b/>
        <w:sz w:val="28"/>
      </w:rPr>
      <w:fldChar w:fldCharType="separate"/>
    </w:r>
    <w:r w:rsidR="00137C7D">
      <w:rPr>
        <w:rStyle w:val="a5"/>
        <w:b/>
        <w:noProof/>
        <w:sz w:val="28"/>
      </w:rPr>
      <w:t>21</w:t>
    </w:r>
    <w:r w:rsidR="003A0121">
      <w:rPr>
        <w:rStyle w:val="a5"/>
        <w:b/>
        <w:sz w:val="28"/>
      </w:rPr>
      <w:fldChar w:fldCharType="end"/>
    </w:r>
  </w:p>
  <w:p w:rsidR="00522B02" w:rsidRDefault="00522B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BC" w:rsidRPr="00A544A7" w:rsidRDefault="003A0121">
    <w:pPr>
      <w:pStyle w:val="a4"/>
      <w:jc w:val="both"/>
      <w:rPr>
        <w:color w:val="333333"/>
        <w:lang w:val="en-US"/>
      </w:rPr>
    </w:pPr>
    <w:r>
      <w:rPr>
        <w:rStyle w:val="a5"/>
        <w:b/>
        <w:sz w:val="28"/>
      </w:rPr>
      <w:fldChar w:fldCharType="begin"/>
    </w:r>
    <w:r w:rsidR="004213BC">
      <w:rPr>
        <w:rStyle w:val="a5"/>
        <w:b/>
        <w:sz w:val="28"/>
      </w:rPr>
      <w:instrText xml:space="preserve"> PAGE </w:instrText>
    </w:r>
    <w:r>
      <w:rPr>
        <w:rStyle w:val="a5"/>
        <w:b/>
        <w:sz w:val="28"/>
      </w:rPr>
      <w:fldChar w:fldCharType="separate"/>
    </w:r>
    <w:r w:rsidR="00137C7D">
      <w:rPr>
        <w:rStyle w:val="a5"/>
        <w:b/>
        <w:noProof/>
        <w:sz w:val="28"/>
      </w:rPr>
      <w:t>44</w:t>
    </w:r>
    <w:r>
      <w:rPr>
        <w:rStyle w:val="a5"/>
        <w:b/>
        <w:sz w:val="28"/>
      </w:rPr>
      <w:fldChar w:fldCharType="end"/>
    </w:r>
    <w:r w:rsidR="004213BC">
      <w:rPr>
        <w:rStyle w:val="a5"/>
        <w:b/>
        <w:sz w:val="28"/>
      </w:rPr>
      <w:t xml:space="preserve">    </w:t>
    </w:r>
    <w:r w:rsidR="004213BC">
      <w:rPr>
        <w:rFonts w:ascii="Arial Narrow" w:hAnsi="Arial Narrow"/>
        <w:color w:val="333333"/>
        <w:sz w:val="22"/>
      </w:rPr>
      <w:t>ΚΡΑΤΙΚΟΣ ΠΡΟΫΠΟΛΟΓΙΣΜΟΣ 201</w:t>
    </w:r>
    <w:r w:rsidR="004213BC">
      <w:rPr>
        <w:rFonts w:ascii="Arial Narrow" w:hAnsi="Arial Narrow"/>
        <w:color w:val="333333"/>
        <w:sz w:val="22"/>
        <w:lang w:val="en-US"/>
      </w:rPr>
      <w:t>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BC" w:rsidRPr="00D172EF" w:rsidRDefault="004213BC" w:rsidP="00522B02">
    <w:pPr>
      <w:pStyle w:val="a4"/>
      <w:jc w:val="right"/>
    </w:pPr>
    <w:r>
      <w:rPr>
        <w:rFonts w:ascii="Arial Narrow" w:hAnsi="Arial Narrow"/>
        <w:color w:val="333333"/>
        <w:sz w:val="22"/>
      </w:rPr>
      <w:t>ΚΡΑΤΙΚΟΣ ΠΡΟΫΠΟΛΟΓΙΣΜΟΣ 201</w:t>
    </w:r>
    <w:r>
      <w:rPr>
        <w:rFonts w:ascii="Arial Narrow" w:hAnsi="Arial Narrow"/>
        <w:color w:val="333333"/>
        <w:sz w:val="22"/>
        <w:lang w:val="en-US"/>
      </w:rPr>
      <w:t>8</w:t>
    </w:r>
    <w:r>
      <w:rPr>
        <w:rFonts w:ascii="Arial Narrow" w:hAnsi="Arial Narrow"/>
        <w:color w:val="333333"/>
        <w:sz w:val="22"/>
      </w:rPr>
      <w:t xml:space="preserve">      </w:t>
    </w:r>
    <w:r w:rsidR="003A0121">
      <w:rPr>
        <w:rStyle w:val="a5"/>
        <w:b/>
        <w:sz w:val="28"/>
      </w:rPr>
      <w:fldChar w:fldCharType="begin"/>
    </w:r>
    <w:r>
      <w:rPr>
        <w:rStyle w:val="a5"/>
        <w:b/>
        <w:sz w:val="28"/>
      </w:rPr>
      <w:instrText xml:space="preserve"> PAGE </w:instrText>
    </w:r>
    <w:r w:rsidR="003A0121">
      <w:rPr>
        <w:rStyle w:val="a5"/>
        <w:b/>
        <w:sz w:val="28"/>
      </w:rPr>
      <w:fldChar w:fldCharType="separate"/>
    </w:r>
    <w:r w:rsidR="00137C7D">
      <w:rPr>
        <w:rStyle w:val="a5"/>
        <w:b/>
        <w:noProof/>
        <w:sz w:val="28"/>
      </w:rPr>
      <w:t>43</w:t>
    </w:r>
    <w:r w:rsidR="003A0121">
      <w:rPr>
        <w:rStyle w:val="a5"/>
        <w:b/>
        <w:sz w:val="28"/>
      </w:rPr>
      <w:fldChar w:fldCharType="end"/>
    </w:r>
  </w:p>
  <w:p w:rsidR="004213BC" w:rsidRDefault="004213BC">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BC" w:rsidRPr="00A544A7" w:rsidRDefault="003A0121">
    <w:pPr>
      <w:pStyle w:val="a4"/>
      <w:jc w:val="both"/>
      <w:rPr>
        <w:color w:val="333333"/>
        <w:lang w:val="en-US"/>
      </w:rPr>
    </w:pPr>
    <w:r>
      <w:rPr>
        <w:rStyle w:val="a5"/>
        <w:b/>
        <w:sz w:val="28"/>
      </w:rPr>
      <w:fldChar w:fldCharType="begin"/>
    </w:r>
    <w:r w:rsidR="004213BC">
      <w:rPr>
        <w:rStyle w:val="a5"/>
        <w:b/>
        <w:sz w:val="28"/>
      </w:rPr>
      <w:instrText xml:space="preserve"> PAGE </w:instrText>
    </w:r>
    <w:r>
      <w:rPr>
        <w:rStyle w:val="a5"/>
        <w:b/>
        <w:sz w:val="28"/>
      </w:rPr>
      <w:fldChar w:fldCharType="separate"/>
    </w:r>
    <w:r w:rsidR="00137C7D">
      <w:rPr>
        <w:rStyle w:val="a5"/>
        <w:b/>
        <w:noProof/>
        <w:sz w:val="28"/>
      </w:rPr>
      <w:t>50</w:t>
    </w:r>
    <w:r>
      <w:rPr>
        <w:rStyle w:val="a5"/>
        <w:b/>
        <w:sz w:val="28"/>
      </w:rPr>
      <w:fldChar w:fldCharType="end"/>
    </w:r>
    <w:r w:rsidR="004213BC">
      <w:rPr>
        <w:rStyle w:val="a5"/>
        <w:b/>
        <w:sz w:val="28"/>
      </w:rPr>
      <w:t xml:space="preserve">    </w:t>
    </w:r>
    <w:r w:rsidR="004213BC">
      <w:rPr>
        <w:rFonts w:ascii="Arial Narrow" w:hAnsi="Arial Narrow"/>
        <w:color w:val="333333"/>
        <w:sz w:val="22"/>
      </w:rPr>
      <w:t>ΚΡΑΤΙΚΟΣ ΠΡΟΫΠΟΛΟΓΙΣΜΟΣ 201</w:t>
    </w:r>
    <w:r w:rsidR="004213BC">
      <w:rPr>
        <w:rFonts w:ascii="Arial Narrow" w:hAnsi="Arial Narrow"/>
        <w:color w:val="333333"/>
        <w:sz w:val="22"/>
        <w:lang w:val="en-US"/>
      </w:rPr>
      <w:t>8</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BC" w:rsidRPr="00D172EF" w:rsidRDefault="004213BC" w:rsidP="00522B02">
    <w:pPr>
      <w:pStyle w:val="a4"/>
      <w:jc w:val="right"/>
    </w:pPr>
    <w:r>
      <w:rPr>
        <w:rFonts w:ascii="Arial Narrow" w:hAnsi="Arial Narrow"/>
        <w:color w:val="333333"/>
        <w:sz w:val="22"/>
      </w:rPr>
      <w:t>ΚΡΑΤΙΚΟΣ ΠΡΟΫΠΟΛΟΓΙΣΜΟΣ 201</w:t>
    </w:r>
    <w:r>
      <w:rPr>
        <w:rFonts w:ascii="Arial Narrow" w:hAnsi="Arial Narrow"/>
        <w:color w:val="333333"/>
        <w:sz w:val="22"/>
        <w:lang w:val="en-US"/>
      </w:rPr>
      <w:t>8</w:t>
    </w:r>
    <w:r>
      <w:rPr>
        <w:rFonts w:ascii="Arial Narrow" w:hAnsi="Arial Narrow"/>
        <w:color w:val="333333"/>
        <w:sz w:val="22"/>
      </w:rPr>
      <w:t xml:space="preserve">      </w:t>
    </w:r>
    <w:r w:rsidR="003A0121">
      <w:rPr>
        <w:rStyle w:val="a5"/>
        <w:b/>
        <w:sz w:val="28"/>
      </w:rPr>
      <w:fldChar w:fldCharType="begin"/>
    </w:r>
    <w:r>
      <w:rPr>
        <w:rStyle w:val="a5"/>
        <w:b/>
        <w:sz w:val="28"/>
      </w:rPr>
      <w:instrText xml:space="preserve"> PAGE </w:instrText>
    </w:r>
    <w:r w:rsidR="003A0121">
      <w:rPr>
        <w:rStyle w:val="a5"/>
        <w:b/>
        <w:sz w:val="28"/>
      </w:rPr>
      <w:fldChar w:fldCharType="separate"/>
    </w:r>
    <w:r w:rsidR="00137C7D">
      <w:rPr>
        <w:rStyle w:val="a5"/>
        <w:b/>
        <w:noProof/>
        <w:sz w:val="28"/>
      </w:rPr>
      <w:t>49</w:t>
    </w:r>
    <w:r w:rsidR="003A0121">
      <w:rPr>
        <w:rStyle w:val="a5"/>
        <w:b/>
        <w:sz w:val="28"/>
      </w:rPr>
      <w:fldChar w:fldCharType="end"/>
    </w:r>
  </w:p>
  <w:p w:rsidR="004213BC" w:rsidRDefault="004213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3DD" w:rsidRDefault="002A03DD">
      <w:r>
        <w:separator/>
      </w:r>
    </w:p>
  </w:footnote>
  <w:footnote w:type="continuationSeparator" w:id="0">
    <w:p w:rsidR="002A03DD" w:rsidRDefault="002A03DD">
      <w:r>
        <w:continuationSeparator/>
      </w:r>
    </w:p>
  </w:footnote>
  <w:footnote w:id="1">
    <w:p w:rsidR="003B594D" w:rsidRPr="005C2D49" w:rsidRDefault="003B594D" w:rsidP="005C2D49">
      <w:pPr>
        <w:pStyle w:val="aa"/>
        <w:tabs>
          <w:tab w:val="left" w:pos="284"/>
        </w:tabs>
        <w:rPr>
          <w:sz w:val="18"/>
          <w:szCs w:val="18"/>
          <w:lang w:val="en-US"/>
        </w:rPr>
      </w:pPr>
      <w:r w:rsidRPr="005C2D49">
        <w:rPr>
          <w:rStyle w:val="ab"/>
          <w:sz w:val="18"/>
          <w:szCs w:val="18"/>
        </w:rPr>
        <w:footnoteRef/>
      </w:r>
      <w:r w:rsidRPr="005C2D49">
        <w:rPr>
          <w:sz w:val="18"/>
          <w:szCs w:val="18"/>
          <w:lang w:val="en-US"/>
        </w:rPr>
        <w:tab/>
      </w:r>
      <w:r w:rsidRPr="005C2D49">
        <w:rPr>
          <w:sz w:val="18"/>
          <w:szCs w:val="18"/>
        </w:rPr>
        <w:t>IMF, World Economic Outlook Update</w:t>
      </w:r>
      <w:r w:rsidRPr="005C2D49">
        <w:rPr>
          <w:sz w:val="18"/>
          <w:szCs w:val="18"/>
          <w:lang w:val="en-US"/>
        </w:rPr>
        <w:t xml:space="preserve"> </w:t>
      </w:r>
      <w:r w:rsidRPr="005C2D49">
        <w:rPr>
          <w:sz w:val="18"/>
          <w:szCs w:val="18"/>
        </w:rPr>
        <w:t>(</w:t>
      </w:r>
      <w:proofErr w:type="spellStart"/>
      <w:r w:rsidRPr="005C2D49">
        <w:rPr>
          <w:sz w:val="18"/>
          <w:szCs w:val="18"/>
        </w:rPr>
        <w:t>Ιούλιος</w:t>
      </w:r>
      <w:proofErr w:type="spellEnd"/>
      <w:r w:rsidRPr="005C2D49">
        <w:rPr>
          <w:sz w:val="18"/>
          <w:szCs w:val="18"/>
          <w:lang w:val="en-US"/>
        </w:rPr>
        <w:t xml:space="preserve"> </w:t>
      </w:r>
      <w:r w:rsidRPr="005C2D49">
        <w:rPr>
          <w:sz w:val="18"/>
          <w:szCs w:val="18"/>
        </w:rPr>
        <w:t>2017)</w:t>
      </w:r>
    </w:p>
  </w:footnote>
  <w:footnote w:id="2">
    <w:p w:rsidR="003B594D" w:rsidRPr="005C2D49" w:rsidRDefault="003B594D" w:rsidP="005C2D49">
      <w:pPr>
        <w:pStyle w:val="aa"/>
        <w:tabs>
          <w:tab w:val="left" w:pos="284"/>
        </w:tabs>
        <w:rPr>
          <w:sz w:val="18"/>
          <w:szCs w:val="18"/>
          <w:lang w:val="en-US"/>
        </w:rPr>
      </w:pPr>
      <w:r w:rsidRPr="005C2D49">
        <w:rPr>
          <w:rStyle w:val="ab"/>
          <w:sz w:val="18"/>
          <w:szCs w:val="18"/>
        </w:rPr>
        <w:footnoteRef/>
      </w:r>
      <w:r w:rsidRPr="005C2D49">
        <w:rPr>
          <w:sz w:val="18"/>
          <w:szCs w:val="18"/>
          <w:lang w:val="en-US"/>
        </w:rPr>
        <w:t xml:space="preserve"> </w:t>
      </w:r>
      <w:r w:rsidRPr="005C2D49">
        <w:rPr>
          <w:sz w:val="18"/>
          <w:szCs w:val="18"/>
          <w:lang w:val="en-US"/>
        </w:rPr>
        <w:tab/>
        <w:t xml:space="preserve">ECB staff macroeconomic projections for the euro area, </w:t>
      </w:r>
      <w:proofErr w:type="spellStart"/>
      <w:r w:rsidRPr="005C2D49">
        <w:rPr>
          <w:sz w:val="18"/>
          <w:szCs w:val="18"/>
        </w:rPr>
        <w:t>Σεπτέμβριος</w:t>
      </w:r>
      <w:proofErr w:type="spellEnd"/>
      <w:r w:rsidRPr="005C2D49">
        <w:rPr>
          <w:sz w:val="18"/>
          <w:szCs w:val="18"/>
          <w:lang w:val="en-US"/>
        </w:rPr>
        <w:t xml:space="preserve"> 2017</w:t>
      </w:r>
    </w:p>
  </w:footnote>
  <w:footnote w:id="3">
    <w:p w:rsidR="003B594D" w:rsidRPr="005C2D49" w:rsidRDefault="003B594D" w:rsidP="005C2D49">
      <w:pPr>
        <w:pStyle w:val="aa"/>
        <w:ind w:left="284" w:hanging="284"/>
        <w:rPr>
          <w:sz w:val="18"/>
          <w:szCs w:val="18"/>
          <w:highlight w:val="yellow"/>
          <w:lang w:val="en-US"/>
        </w:rPr>
      </w:pPr>
      <w:r w:rsidRPr="005C2D49">
        <w:rPr>
          <w:rStyle w:val="ab"/>
          <w:sz w:val="18"/>
          <w:szCs w:val="18"/>
        </w:rPr>
        <w:footnoteRef/>
      </w:r>
      <w:r w:rsidRPr="005C2D49">
        <w:rPr>
          <w:sz w:val="18"/>
          <w:szCs w:val="18"/>
          <w:lang w:val="en-US"/>
        </w:rPr>
        <w:t xml:space="preserve"> </w:t>
      </w:r>
      <w:r w:rsidRPr="005C2D49">
        <w:rPr>
          <w:sz w:val="18"/>
          <w:szCs w:val="18"/>
          <w:lang w:val="en-US"/>
        </w:rPr>
        <w:tab/>
      </w:r>
      <w:r w:rsidRPr="005C2D49">
        <w:rPr>
          <w:sz w:val="18"/>
          <w:szCs w:val="18"/>
        </w:rPr>
        <w:t>IMF, World Economic Outlook Update</w:t>
      </w:r>
      <w:r w:rsidRPr="005C2D49">
        <w:rPr>
          <w:sz w:val="18"/>
          <w:szCs w:val="18"/>
          <w:lang w:val="en-US"/>
        </w:rPr>
        <w:t xml:space="preserve"> </w:t>
      </w:r>
      <w:r w:rsidRPr="005C2D49">
        <w:rPr>
          <w:sz w:val="18"/>
          <w:szCs w:val="18"/>
        </w:rPr>
        <w:t>(</w:t>
      </w:r>
      <w:proofErr w:type="spellStart"/>
      <w:r w:rsidRPr="005C2D49">
        <w:rPr>
          <w:sz w:val="18"/>
          <w:szCs w:val="18"/>
        </w:rPr>
        <w:t>Ιούλιος</w:t>
      </w:r>
      <w:proofErr w:type="spellEnd"/>
      <w:r w:rsidRPr="005C2D49">
        <w:rPr>
          <w:sz w:val="18"/>
          <w:szCs w:val="18"/>
          <w:lang w:val="en-US"/>
        </w:rPr>
        <w:t xml:space="preserve"> </w:t>
      </w:r>
      <w:r w:rsidRPr="005C2D49">
        <w:rPr>
          <w:sz w:val="18"/>
          <w:szCs w:val="18"/>
        </w:rPr>
        <w:t>2017)</w:t>
      </w:r>
      <w:r w:rsidRPr="005C2D49">
        <w:rPr>
          <w:sz w:val="18"/>
          <w:szCs w:val="18"/>
          <w:lang w:val="en-US"/>
        </w:rPr>
        <w:t xml:space="preserve"> </w:t>
      </w:r>
    </w:p>
  </w:footnote>
  <w:footnote w:id="4">
    <w:p w:rsidR="003B594D" w:rsidRPr="005C2D49" w:rsidRDefault="003B594D" w:rsidP="005C2D49">
      <w:pPr>
        <w:pStyle w:val="aa"/>
        <w:ind w:left="284" w:hanging="284"/>
        <w:rPr>
          <w:sz w:val="18"/>
          <w:szCs w:val="18"/>
          <w:lang w:val="en-US"/>
        </w:rPr>
      </w:pPr>
      <w:r w:rsidRPr="005C2D49">
        <w:rPr>
          <w:rStyle w:val="ab"/>
          <w:sz w:val="18"/>
          <w:szCs w:val="18"/>
        </w:rPr>
        <w:footnoteRef/>
      </w:r>
      <w:r w:rsidRPr="005C2D49">
        <w:rPr>
          <w:sz w:val="18"/>
          <w:szCs w:val="18"/>
          <w:lang w:val="en-US"/>
        </w:rPr>
        <w:t xml:space="preserve"> </w:t>
      </w:r>
      <w:r w:rsidRPr="005C2D49">
        <w:rPr>
          <w:sz w:val="18"/>
          <w:szCs w:val="18"/>
          <w:lang w:val="en-US"/>
        </w:rPr>
        <w:tab/>
        <w:t xml:space="preserve">ECB staff macroeconomic projections for the euro area, </w:t>
      </w:r>
      <w:proofErr w:type="spellStart"/>
      <w:r w:rsidRPr="005C2D49">
        <w:rPr>
          <w:sz w:val="18"/>
          <w:szCs w:val="18"/>
        </w:rPr>
        <w:t>Σεπτέμβριος</w:t>
      </w:r>
      <w:proofErr w:type="spellEnd"/>
      <w:r w:rsidRPr="005C2D49">
        <w:rPr>
          <w:sz w:val="18"/>
          <w:szCs w:val="18"/>
          <w:lang w:val="en-US"/>
        </w:rPr>
        <w:t xml:space="preserve"> 2017</w:t>
      </w:r>
    </w:p>
  </w:footnote>
  <w:footnote w:id="5">
    <w:p w:rsidR="003B594D" w:rsidRPr="00281193" w:rsidRDefault="003B594D" w:rsidP="00281193">
      <w:pPr>
        <w:tabs>
          <w:tab w:val="left" w:pos="284"/>
        </w:tabs>
        <w:spacing w:before="40" w:line="100" w:lineRule="atLeast"/>
        <w:ind w:left="284" w:hanging="284"/>
        <w:jc w:val="both"/>
        <w:rPr>
          <w:rFonts w:eastAsia="SimSun"/>
          <w:sz w:val="18"/>
          <w:szCs w:val="18"/>
        </w:rPr>
      </w:pPr>
      <w:r w:rsidRPr="00281193">
        <w:rPr>
          <w:rStyle w:val="ab"/>
          <w:sz w:val="18"/>
          <w:szCs w:val="18"/>
        </w:rPr>
        <w:footnoteRef/>
      </w:r>
      <w:r w:rsidRPr="00281193">
        <w:rPr>
          <w:sz w:val="18"/>
          <w:szCs w:val="18"/>
        </w:rPr>
        <w:t xml:space="preserve"> </w:t>
      </w:r>
      <w:r>
        <w:rPr>
          <w:sz w:val="18"/>
          <w:szCs w:val="18"/>
        </w:rPr>
        <w:tab/>
      </w:r>
      <w:r w:rsidRPr="00281193">
        <w:rPr>
          <w:color w:val="000000"/>
          <w:sz w:val="18"/>
          <w:szCs w:val="18"/>
        </w:rPr>
        <w:t>Τ</w:t>
      </w:r>
      <w:r w:rsidRPr="00281193">
        <w:rPr>
          <w:rFonts w:eastAsia="SimSun"/>
          <w:sz w:val="18"/>
          <w:szCs w:val="18"/>
        </w:rPr>
        <w:t>α οποία περιλαμβάνουν περαιτέρω μετάθεση της σταθμισμένης μέσης ωρίμανσης των δανείων του ΕΤΧΣ και αναβολής πληρωμής τόκων έως και 15 έτη, άρση της αύξησης του περιθωρίου του επιτοκίου που σχετίζεται με την δόση επαναγ</w:t>
      </w:r>
      <w:r w:rsidRPr="00281193">
        <w:rPr>
          <w:rFonts w:eastAsia="SimSun"/>
          <w:sz w:val="18"/>
          <w:szCs w:val="18"/>
        </w:rPr>
        <w:t>ο</w:t>
      </w:r>
      <w:r w:rsidRPr="00281193">
        <w:rPr>
          <w:rFonts w:eastAsia="SimSun"/>
          <w:sz w:val="18"/>
          <w:szCs w:val="18"/>
        </w:rPr>
        <w:t>ράς χρέους του δεύτερου ελληνικού προγράμματος, χρήση των κερδών του προγράμματος αγοράς τίτλων (SMP) του 2014 από το διαχωρισμένο λογαριασμό του ESM, αποκατάσταση της μεταφοράς στην Ελλάδα του ισοδύναμου των κε</w:t>
      </w:r>
      <w:r w:rsidRPr="00281193">
        <w:rPr>
          <w:rFonts w:eastAsia="SimSun"/>
          <w:sz w:val="18"/>
          <w:szCs w:val="18"/>
        </w:rPr>
        <w:t>ρ</w:t>
      </w:r>
      <w:r w:rsidRPr="00281193">
        <w:rPr>
          <w:rFonts w:eastAsia="SimSun"/>
          <w:sz w:val="18"/>
          <w:szCs w:val="18"/>
        </w:rPr>
        <w:t xml:space="preserve">δών από τα καθαρά χρηματοοικονομικά περιουσιακά στοιχεία (ANFA) και από το SMP από το δημοσιονομικό έτος 2017, καθώς και πράξεις διαχείρισης παθητικού στο πλαίσιο του τρέχοντος προγράμματος του Ευρωπαϊκού Μηχανισμού Σταθερότητας. </w:t>
      </w:r>
    </w:p>
    <w:p w:rsidR="003B594D" w:rsidRPr="00281193" w:rsidRDefault="003B594D" w:rsidP="00281193">
      <w:pPr>
        <w:tabs>
          <w:tab w:val="left" w:pos="284"/>
        </w:tabs>
        <w:spacing w:before="40" w:line="100" w:lineRule="atLeast"/>
        <w:ind w:left="284" w:hanging="284"/>
        <w:jc w:val="both"/>
        <w:rPr>
          <w:color w:val="000000"/>
          <w:sz w:val="18"/>
          <w:szCs w:val="18"/>
        </w:rPr>
      </w:pPr>
      <w:r>
        <w:rPr>
          <w:rFonts w:eastAsia="SimSun"/>
          <w:sz w:val="18"/>
          <w:szCs w:val="18"/>
        </w:rPr>
        <w:tab/>
      </w:r>
      <w:r w:rsidRPr="00281193">
        <w:rPr>
          <w:rFonts w:eastAsia="SimSun"/>
          <w:sz w:val="18"/>
          <w:szCs w:val="18"/>
        </w:rPr>
        <w:t>Στο πλαίσιο αυτών των μέτρων, αναμένεται και η εξειδίκευση ενός μηχανισμού που θα συνδέει τα μέτρα ελάφρυνσης με τις μελλοντικές εξελίξεις όσον αφορά την ανάπτυξη, ώστε να λαμβάνονται υπόψη πιθανές αποκλίσεις μεταξύ των μα</w:t>
      </w:r>
      <w:r w:rsidRPr="00281193">
        <w:rPr>
          <w:rFonts w:eastAsia="SimSun"/>
          <w:sz w:val="18"/>
          <w:szCs w:val="18"/>
        </w:rPr>
        <w:t>κ</w:t>
      </w:r>
      <w:r w:rsidRPr="00281193">
        <w:rPr>
          <w:rFonts w:eastAsia="SimSun"/>
          <w:sz w:val="18"/>
          <w:szCs w:val="18"/>
        </w:rPr>
        <w:t>ροοικονομικών υποθέσεων της Ανάλυσης Βιωσιμότητας Χρέους (DSA) και των πραγματικών μακροοικονομικών εξελ</w:t>
      </w:r>
      <w:r w:rsidRPr="00281193">
        <w:rPr>
          <w:rFonts w:eastAsia="SimSun"/>
          <w:sz w:val="18"/>
          <w:szCs w:val="18"/>
        </w:rPr>
        <w:t>ί</w:t>
      </w:r>
      <w:r w:rsidRPr="00281193">
        <w:rPr>
          <w:rFonts w:eastAsia="SimSun"/>
          <w:sz w:val="18"/>
          <w:szCs w:val="18"/>
        </w:rPr>
        <w:t xml:space="preserve">ξεων. </w:t>
      </w:r>
    </w:p>
  </w:footnote>
  <w:footnote w:id="6">
    <w:p w:rsidR="003B594D" w:rsidRPr="00281193" w:rsidRDefault="003B594D" w:rsidP="00281193">
      <w:pPr>
        <w:tabs>
          <w:tab w:val="left" w:pos="284"/>
        </w:tabs>
        <w:spacing w:before="40"/>
        <w:ind w:left="284" w:hanging="284"/>
        <w:jc w:val="both"/>
        <w:rPr>
          <w:color w:val="000000"/>
          <w:sz w:val="18"/>
          <w:szCs w:val="18"/>
        </w:rPr>
      </w:pPr>
      <w:r w:rsidRPr="00281193">
        <w:rPr>
          <w:color w:val="000000"/>
          <w:sz w:val="18"/>
          <w:szCs w:val="18"/>
          <w:vertAlign w:val="superscript"/>
        </w:rPr>
        <w:footnoteRef/>
      </w:r>
      <w:r>
        <w:rPr>
          <w:color w:val="000000"/>
          <w:sz w:val="18"/>
          <w:szCs w:val="18"/>
        </w:rPr>
        <w:tab/>
      </w:r>
      <w:r w:rsidRPr="00281193">
        <w:rPr>
          <w:color w:val="000000"/>
          <w:sz w:val="18"/>
          <w:szCs w:val="18"/>
        </w:rPr>
        <w:t>Όπως υπολογίζεται βάσει του ορισμού του Προγράμματος Οικονομικής Προσαρμογής, που μεταξύ άλλων εξαιρεί την κρατική υποστήριξη των χρηματοπιστωτικών ιδρυμάτων. Βάσει του ESA 2010, που χρησιμοποιείται στο πλαίσιο της Δ</w:t>
      </w:r>
      <w:r w:rsidRPr="00281193">
        <w:rPr>
          <w:color w:val="000000"/>
          <w:sz w:val="18"/>
          <w:szCs w:val="18"/>
        </w:rPr>
        <w:t>ι</w:t>
      </w:r>
      <w:r w:rsidRPr="00281193">
        <w:rPr>
          <w:color w:val="000000"/>
          <w:sz w:val="18"/>
          <w:szCs w:val="18"/>
        </w:rPr>
        <w:t>αδικασίας Υπερβ</w:t>
      </w:r>
      <w:r>
        <w:rPr>
          <w:color w:val="000000"/>
          <w:sz w:val="18"/>
          <w:szCs w:val="18"/>
        </w:rPr>
        <w:t>ολικού</w:t>
      </w:r>
      <w:r w:rsidRPr="00281193">
        <w:rPr>
          <w:color w:val="000000"/>
          <w:sz w:val="18"/>
          <w:szCs w:val="18"/>
        </w:rPr>
        <w:t xml:space="preserve"> Ελλείμματος (ΔΥΕ), το πρωτογενές </w:t>
      </w:r>
      <w:r>
        <w:rPr>
          <w:color w:val="000000"/>
          <w:sz w:val="18"/>
          <w:szCs w:val="18"/>
        </w:rPr>
        <w:t>αποτέλεσμα</w:t>
      </w:r>
      <w:r w:rsidRPr="00281193">
        <w:rPr>
          <w:color w:val="000000"/>
          <w:sz w:val="18"/>
          <w:szCs w:val="18"/>
        </w:rPr>
        <w:t xml:space="preserve"> για το 2015 ήταν -2,3% του ΑΕΠ και για το 2016 ήταν 3,9% του ΑΕΠ.</w:t>
      </w:r>
    </w:p>
  </w:footnote>
  <w:footnote w:id="7">
    <w:p w:rsidR="003B594D" w:rsidRPr="00281193" w:rsidRDefault="003B594D" w:rsidP="008230B1">
      <w:pPr>
        <w:tabs>
          <w:tab w:val="left" w:pos="284"/>
        </w:tabs>
        <w:spacing w:before="40"/>
        <w:ind w:left="284" w:hanging="284"/>
        <w:jc w:val="both"/>
        <w:rPr>
          <w:color w:val="000000"/>
          <w:sz w:val="18"/>
          <w:szCs w:val="20"/>
        </w:rPr>
      </w:pPr>
      <w:r w:rsidRPr="00D9187B">
        <w:rPr>
          <w:color w:val="000000"/>
          <w:sz w:val="18"/>
          <w:szCs w:val="20"/>
          <w:vertAlign w:val="superscript"/>
        </w:rPr>
        <w:footnoteRef/>
      </w:r>
      <w:r w:rsidRPr="00281193">
        <w:rPr>
          <w:color w:val="000000"/>
          <w:sz w:val="18"/>
          <w:szCs w:val="20"/>
        </w:rPr>
        <w:tab/>
        <w:t>«Έρευνα εισοδήματος και συνθηκών διαβίωσης των νοικοκυριών, 2016: Κίνδυνος φτώχειας», Ελληνική Στατιστική Α</w:t>
      </w:r>
      <w:r w:rsidRPr="00281193">
        <w:rPr>
          <w:color w:val="000000"/>
          <w:sz w:val="18"/>
          <w:szCs w:val="20"/>
        </w:rPr>
        <w:t>ρ</w:t>
      </w:r>
      <w:r w:rsidRPr="00281193">
        <w:rPr>
          <w:color w:val="000000"/>
          <w:sz w:val="18"/>
          <w:szCs w:val="20"/>
        </w:rPr>
        <w:t>χή, Ιούνιος 2017.</w:t>
      </w:r>
    </w:p>
  </w:footnote>
  <w:footnote w:id="8">
    <w:p w:rsidR="003B594D" w:rsidRPr="008230B1" w:rsidRDefault="003B594D" w:rsidP="008230B1">
      <w:pPr>
        <w:spacing w:before="40"/>
        <w:ind w:left="284" w:hanging="284"/>
        <w:jc w:val="both"/>
        <w:rPr>
          <w:color w:val="000000"/>
          <w:sz w:val="18"/>
          <w:szCs w:val="20"/>
        </w:rPr>
      </w:pPr>
      <w:r w:rsidRPr="008230B1">
        <w:rPr>
          <w:color w:val="000000"/>
          <w:sz w:val="18"/>
          <w:szCs w:val="20"/>
          <w:vertAlign w:val="superscript"/>
        </w:rPr>
        <w:footnoteRef/>
      </w:r>
      <w:r w:rsidRPr="008230B1">
        <w:rPr>
          <w:color w:val="000000"/>
          <w:sz w:val="18"/>
          <w:szCs w:val="20"/>
        </w:rPr>
        <w:tab/>
        <w:t>Η μεγαλύτερη συμμετοχή των συντάξεων έναντι των λοιπών κοινωνικών παροχών στη μείωση του κινδύνου φτώχειας αναμένεται να μετριαστεί σταδιακά μετά το τέλος του προγράμματος, δεδομένου και του σχεδιαζόμενου πακέτου μετα</w:t>
      </w:r>
      <w:r w:rsidRPr="008230B1">
        <w:rPr>
          <w:color w:val="000000"/>
          <w:sz w:val="18"/>
          <w:szCs w:val="20"/>
        </w:rPr>
        <w:t>ρ</w:t>
      </w:r>
      <w:r w:rsidRPr="008230B1">
        <w:rPr>
          <w:color w:val="000000"/>
          <w:sz w:val="18"/>
          <w:szCs w:val="20"/>
        </w:rPr>
        <w:t>ρυθμίσεων και εξισορροπητικών παρεμβάσεων.</w:t>
      </w:r>
    </w:p>
  </w:footnote>
  <w:footnote w:id="9">
    <w:p w:rsidR="003B594D" w:rsidRPr="00EA3005" w:rsidRDefault="003B594D" w:rsidP="00EA3005">
      <w:pPr>
        <w:pStyle w:val="aa"/>
        <w:ind w:left="284" w:hanging="284"/>
        <w:rPr>
          <w:sz w:val="18"/>
          <w:lang w:val="el-GR"/>
        </w:rPr>
      </w:pPr>
      <w:r w:rsidRPr="00EA3005">
        <w:rPr>
          <w:rStyle w:val="ab"/>
          <w:sz w:val="18"/>
        </w:rPr>
        <w:footnoteRef/>
      </w:r>
      <w:r w:rsidRPr="00EA3005">
        <w:rPr>
          <w:sz w:val="18"/>
          <w:lang w:val="el-GR"/>
        </w:rPr>
        <w:t xml:space="preserve"> </w:t>
      </w:r>
      <w:r>
        <w:rPr>
          <w:sz w:val="18"/>
          <w:lang w:val="el-GR"/>
        </w:rPr>
        <w:tab/>
      </w:r>
      <w:r w:rsidRPr="00EA3005">
        <w:rPr>
          <w:sz w:val="18"/>
          <w:lang w:val="el-GR"/>
        </w:rPr>
        <w:t>Σε</w:t>
      </w:r>
      <w:r w:rsidRPr="00EA3005">
        <w:rPr>
          <w:color w:val="000000"/>
          <w:sz w:val="18"/>
          <w:lang w:val="el-GR"/>
        </w:rPr>
        <w:t xml:space="preserve"> ετήσια </w:t>
      </w:r>
      <w:proofErr w:type="spellStart"/>
      <w:r w:rsidRPr="00EA3005">
        <w:rPr>
          <w:color w:val="000000"/>
          <w:sz w:val="18"/>
          <w:lang w:val="el-GR"/>
        </w:rPr>
        <w:t>εθνικολογιστική</w:t>
      </w:r>
      <w:proofErr w:type="spellEnd"/>
      <w:r w:rsidRPr="00EA3005">
        <w:rPr>
          <w:color w:val="000000"/>
          <w:sz w:val="18"/>
          <w:lang w:val="el-GR"/>
        </w:rPr>
        <w:t xml:space="preserve"> βάση.</w:t>
      </w:r>
    </w:p>
  </w:footnote>
  <w:footnote w:id="10">
    <w:p w:rsidR="003B594D" w:rsidRPr="00EA3005" w:rsidRDefault="003B594D" w:rsidP="00EA3005">
      <w:pPr>
        <w:spacing w:before="40"/>
        <w:ind w:left="284" w:hanging="284"/>
        <w:jc w:val="both"/>
        <w:rPr>
          <w:color w:val="000000"/>
          <w:sz w:val="18"/>
          <w:szCs w:val="20"/>
        </w:rPr>
      </w:pPr>
      <w:r w:rsidRPr="00EA3005">
        <w:rPr>
          <w:color w:val="000000"/>
          <w:sz w:val="18"/>
          <w:szCs w:val="20"/>
          <w:vertAlign w:val="superscript"/>
        </w:rPr>
        <w:footnoteRef/>
      </w:r>
      <w:r>
        <w:rPr>
          <w:color w:val="000000"/>
          <w:sz w:val="18"/>
          <w:szCs w:val="20"/>
        </w:rPr>
        <w:tab/>
      </w:r>
      <w:r w:rsidRPr="00EA3005">
        <w:rPr>
          <w:color w:val="000000"/>
          <w:sz w:val="18"/>
          <w:szCs w:val="20"/>
        </w:rPr>
        <w:t>Η εσωτερική υποτίμηση μισθών που προηγήθηκε την περίοδο 2010-2015 εξαντλήθηκε μέσα στο 2016 παρά το γεγονός ότι η συμμετοχή της πλήρους απασχόλησης στο σύνολο των νέων θέσεων απασχόλησης ήταν μικρότερη απ’ ό,τι το πρ</w:t>
      </w:r>
      <w:r w:rsidRPr="00EA3005">
        <w:rPr>
          <w:color w:val="000000"/>
          <w:sz w:val="18"/>
          <w:szCs w:val="20"/>
        </w:rPr>
        <w:t>ο</w:t>
      </w:r>
      <w:r w:rsidRPr="00EA3005">
        <w:rPr>
          <w:color w:val="000000"/>
          <w:sz w:val="18"/>
          <w:szCs w:val="20"/>
        </w:rPr>
        <w:t>ηγούμενο έτος.</w:t>
      </w:r>
    </w:p>
  </w:footnote>
  <w:footnote w:id="11">
    <w:p w:rsidR="003B594D" w:rsidRPr="002E2E8A" w:rsidRDefault="003B594D" w:rsidP="002E2E8A">
      <w:pPr>
        <w:spacing w:before="40"/>
        <w:ind w:left="284" w:hanging="284"/>
        <w:jc w:val="both"/>
        <w:rPr>
          <w:color w:val="000000"/>
          <w:sz w:val="18"/>
          <w:szCs w:val="20"/>
        </w:rPr>
      </w:pPr>
      <w:r w:rsidRPr="002E2E8A">
        <w:rPr>
          <w:color w:val="000000"/>
          <w:sz w:val="18"/>
          <w:szCs w:val="20"/>
          <w:vertAlign w:val="superscript"/>
        </w:rPr>
        <w:footnoteRef/>
      </w:r>
      <w:r w:rsidRPr="002E2E8A">
        <w:rPr>
          <w:color w:val="000000"/>
          <w:sz w:val="18"/>
          <w:szCs w:val="20"/>
          <w:vertAlign w:val="superscript"/>
        </w:rPr>
        <w:tab/>
      </w:r>
      <w:r w:rsidRPr="002E2E8A">
        <w:rPr>
          <w:color w:val="000000"/>
          <w:sz w:val="18"/>
          <w:szCs w:val="20"/>
        </w:rPr>
        <w:t>Λόγω μεγαλύτερης μείωσης των εξαγωγών υπηρεσιών έναντι των εισαγωγών υπηρεσιών σε σχέση με το 2015.</w:t>
      </w:r>
    </w:p>
  </w:footnote>
  <w:footnote w:id="12">
    <w:p w:rsidR="003B594D" w:rsidRPr="00BE0153" w:rsidRDefault="003B594D" w:rsidP="00BE0153">
      <w:pPr>
        <w:spacing w:before="40"/>
        <w:ind w:left="284" w:hanging="284"/>
        <w:jc w:val="both"/>
        <w:rPr>
          <w:color w:val="000000"/>
          <w:sz w:val="22"/>
        </w:rPr>
      </w:pPr>
      <w:r w:rsidRPr="00BE0153">
        <w:rPr>
          <w:rStyle w:val="ab"/>
          <w:sz w:val="18"/>
          <w:szCs w:val="20"/>
        </w:rPr>
        <w:footnoteRef/>
      </w:r>
      <w:r>
        <w:rPr>
          <w:sz w:val="18"/>
          <w:szCs w:val="20"/>
        </w:rPr>
        <w:tab/>
      </w:r>
      <w:r w:rsidRPr="00BE0153">
        <w:rPr>
          <w:color w:val="000000"/>
          <w:sz w:val="18"/>
          <w:szCs w:val="20"/>
        </w:rPr>
        <w:t>Λόγω</w:t>
      </w:r>
      <w:r w:rsidRPr="00BE0153">
        <w:rPr>
          <w:sz w:val="18"/>
          <w:szCs w:val="20"/>
        </w:rPr>
        <w:t xml:space="preserve"> </w:t>
      </w:r>
      <w:r w:rsidRPr="00BE0153">
        <w:rPr>
          <w:color w:val="000000"/>
          <w:sz w:val="18"/>
          <w:szCs w:val="20"/>
        </w:rPr>
        <w:t>μεγαλύτερης</w:t>
      </w:r>
      <w:r w:rsidRPr="00BE0153">
        <w:rPr>
          <w:sz w:val="18"/>
          <w:szCs w:val="20"/>
        </w:rPr>
        <w:t xml:space="preserve"> ανάκαμψης στις εισαγωγές αγαθών απ’ ό,τι στις εξαγωγές αγαθών σε σχέση με το 2015.</w:t>
      </w:r>
      <w:r w:rsidRPr="00BE0153">
        <w:rPr>
          <w:color w:val="000000"/>
          <w:sz w:val="22"/>
        </w:rPr>
        <w:t xml:space="preserve"> </w:t>
      </w:r>
    </w:p>
  </w:footnote>
  <w:footnote w:id="13">
    <w:p w:rsidR="003B594D" w:rsidRPr="00BE0153" w:rsidRDefault="003B594D" w:rsidP="00BE0153">
      <w:pPr>
        <w:spacing w:before="40"/>
        <w:ind w:left="284" w:hanging="284"/>
        <w:jc w:val="both"/>
        <w:rPr>
          <w:color w:val="000000"/>
          <w:sz w:val="18"/>
          <w:szCs w:val="20"/>
        </w:rPr>
      </w:pPr>
      <w:r w:rsidRPr="00BE0153">
        <w:rPr>
          <w:color w:val="000000"/>
          <w:sz w:val="18"/>
          <w:szCs w:val="20"/>
          <w:vertAlign w:val="superscript"/>
        </w:rPr>
        <w:footnoteRef/>
      </w:r>
      <w:r>
        <w:rPr>
          <w:color w:val="000000"/>
          <w:sz w:val="18"/>
          <w:szCs w:val="20"/>
        </w:rPr>
        <w:tab/>
        <w:t>Δ</w:t>
      </w:r>
      <w:r w:rsidRPr="00BE0153">
        <w:rPr>
          <w:color w:val="000000"/>
          <w:sz w:val="18"/>
          <w:szCs w:val="20"/>
        </w:rPr>
        <w:t>εδομένης της μείωσης του κόστους διαμονής για τους διεθνείς ταξιδιώτες, η Ελλάδα κατέλαβε την 24η επίδοση πα</w:t>
      </w:r>
      <w:r w:rsidRPr="00BE0153">
        <w:rPr>
          <w:color w:val="000000"/>
          <w:sz w:val="18"/>
          <w:szCs w:val="20"/>
        </w:rPr>
        <w:t>γ</w:t>
      </w:r>
      <w:r w:rsidRPr="00BE0153">
        <w:rPr>
          <w:color w:val="000000"/>
          <w:sz w:val="18"/>
          <w:szCs w:val="20"/>
        </w:rPr>
        <w:t xml:space="preserve">κοσμίως στον δείκτη ταξιδιωτικής και τουριστικής ανταγωνιστικότητας του Παγκόσμιου Οικονομικού Φόρουμ για το 2017, ανεβάζοντας τη συνολική ανταγωνιστικότητα της στον κλάδο κατά 7 θέσεις. </w:t>
      </w:r>
    </w:p>
  </w:footnote>
  <w:footnote w:id="14">
    <w:p w:rsidR="003B594D" w:rsidRPr="00BE0153" w:rsidRDefault="003B594D" w:rsidP="00BE0153">
      <w:pPr>
        <w:spacing w:before="40"/>
        <w:ind w:left="284" w:hanging="284"/>
        <w:jc w:val="both"/>
        <w:rPr>
          <w:color w:val="000000"/>
          <w:sz w:val="18"/>
          <w:szCs w:val="20"/>
        </w:rPr>
      </w:pPr>
      <w:r w:rsidRPr="00BE0153">
        <w:rPr>
          <w:color w:val="000000"/>
          <w:sz w:val="18"/>
          <w:szCs w:val="20"/>
          <w:vertAlign w:val="superscript"/>
        </w:rPr>
        <w:footnoteRef/>
      </w:r>
      <w:r>
        <w:rPr>
          <w:color w:val="000000"/>
          <w:sz w:val="18"/>
          <w:szCs w:val="20"/>
        </w:rPr>
        <w:tab/>
      </w:r>
      <w:r w:rsidRPr="00BE0153">
        <w:rPr>
          <w:color w:val="000000"/>
          <w:sz w:val="18"/>
          <w:szCs w:val="20"/>
        </w:rPr>
        <w:t xml:space="preserve">Σύμφωνα με τον ΣΕΤΕ και τη διαδικτυακή έρευνα αντίληψης </w:t>
      </w:r>
      <w:proofErr w:type="spellStart"/>
      <w:r w:rsidRPr="00BE0153">
        <w:rPr>
          <w:color w:val="000000"/>
          <w:sz w:val="18"/>
          <w:szCs w:val="20"/>
        </w:rPr>
        <w:t>Censuswide</w:t>
      </w:r>
      <w:proofErr w:type="spellEnd"/>
      <w:r w:rsidRPr="00BE0153">
        <w:rPr>
          <w:color w:val="000000"/>
          <w:sz w:val="18"/>
          <w:szCs w:val="20"/>
        </w:rPr>
        <w:t xml:space="preserve"> στις αγορές της Βρετανίας, της Γερμανίας και των ΗΠΑ, μεταξύ Ιανουαρίου και Απριλίου 2016 η αντίληψη για την εικόνα της Ελλάδας όσον αφορά τα ταξίδια επηρ</w:t>
      </w:r>
      <w:r w:rsidRPr="00BE0153">
        <w:rPr>
          <w:color w:val="000000"/>
          <w:sz w:val="18"/>
          <w:szCs w:val="20"/>
        </w:rPr>
        <w:t>ε</w:t>
      </w:r>
      <w:r w:rsidRPr="00BE0153">
        <w:rPr>
          <w:color w:val="000000"/>
          <w:sz w:val="18"/>
          <w:szCs w:val="20"/>
        </w:rPr>
        <w:t>άστηκε από την προσφυγική κρίση κατά 16, 6 και 3 ποσοστιαίες μονάδες, αντιστοίχως.</w:t>
      </w:r>
    </w:p>
  </w:footnote>
  <w:footnote w:id="15">
    <w:p w:rsidR="003B594D" w:rsidRPr="00BE0153" w:rsidRDefault="003B594D" w:rsidP="00BE0153">
      <w:pPr>
        <w:spacing w:before="40"/>
        <w:ind w:left="284" w:hanging="284"/>
        <w:jc w:val="both"/>
        <w:rPr>
          <w:color w:val="000000"/>
          <w:sz w:val="18"/>
          <w:szCs w:val="20"/>
        </w:rPr>
      </w:pPr>
      <w:r w:rsidRPr="00BE0153">
        <w:rPr>
          <w:color w:val="000000"/>
          <w:sz w:val="18"/>
          <w:szCs w:val="20"/>
          <w:vertAlign w:val="superscript"/>
        </w:rPr>
        <w:footnoteRef/>
      </w:r>
      <w:r>
        <w:rPr>
          <w:color w:val="000000"/>
          <w:sz w:val="18"/>
          <w:szCs w:val="20"/>
        </w:rPr>
        <w:tab/>
      </w:r>
      <w:r w:rsidRPr="00BE0153">
        <w:rPr>
          <w:color w:val="000000"/>
          <w:sz w:val="18"/>
          <w:szCs w:val="20"/>
        </w:rPr>
        <w:t>Η πτώση καθαρών εισπράξεων στις θαλάσσιες μεταφορές το 2016 έφτασε στο 47,6% των καθαρών εισπράξεων του 2014 και στο 25,4% των καθαρών εισπράξεων του 2015.</w:t>
      </w:r>
    </w:p>
  </w:footnote>
  <w:footnote w:id="16">
    <w:p w:rsidR="003B594D" w:rsidRPr="00BE0153" w:rsidRDefault="003B594D" w:rsidP="00BE0153">
      <w:pPr>
        <w:spacing w:before="40"/>
        <w:ind w:left="284" w:hanging="284"/>
        <w:jc w:val="both"/>
        <w:rPr>
          <w:color w:val="000000"/>
          <w:sz w:val="18"/>
          <w:szCs w:val="20"/>
        </w:rPr>
      </w:pPr>
      <w:r w:rsidRPr="00BE0153">
        <w:rPr>
          <w:color w:val="000000"/>
          <w:sz w:val="18"/>
          <w:szCs w:val="20"/>
          <w:vertAlign w:val="superscript"/>
        </w:rPr>
        <w:footnoteRef/>
      </w:r>
      <w:r>
        <w:rPr>
          <w:color w:val="000000"/>
          <w:sz w:val="18"/>
          <w:szCs w:val="20"/>
        </w:rPr>
        <w:tab/>
      </w:r>
      <w:r w:rsidRPr="00BE0153">
        <w:rPr>
          <w:color w:val="000000"/>
          <w:sz w:val="18"/>
          <w:szCs w:val="20"/>
        </w:rPr>
        <w:t xml:space="preserve">Συγκεκριμένα, από την αρχή του 2016 έως και τον Σεπτέμβριο του ίδιου έτους, η μέση πτώση στις τιμές του </w:t>
      </w:r>
      <w:proofErr w:type="spellStart"/>
      <w:r w:rsidRPr="00BE0153">
        <w:rPr>
          <w:color w:val="000000"/>
          <w:sz w:val="18"/>
          <w:szCs w:val="20"/>
        </w:rPr>
        <w:t>Brent</w:t>
      </w:r>
      <w:proofErr w:type="spellEnd"/>
      <w:r w:rsidRPr="00BE0153">
        <w:rPr>
          <w:color w:val="000000"/>
          <w:sz w:val="18"/>
          <w:szCs w:val="20"/>
        </w:rPr>
        <w:t xml:space="preserve"> ήταν της τάξης του 24% σε ετήσια βάση, συνεχίζοντας την καθοδική πορεία που εντάθηκε από τον Νοέμβριο του 2014 και ε</w:t>
      </w:r>
      <w:r w:rsidRPr="00BE0153">
        <w:rPr>
          <w:color w:val="000000"/>
          <w:sz w:val="18"/>
          <w:szCs w:val="20"/>
        </w:rPr>
        <w:t>ί</w:t>
      </w:r>
      <w:r w:rsidRPr="00BE0153">
        <w:rPr>
          <w:color w:val="000000"/>
          <w:sz w:val="18"/>
          <w:szCs w:val="20"/>
        </w:rPr>
        <w:t xml:space="preserve">χε οδηγήσει σε μείωση τιμών του </w:t>
      </w:r>
      <w:proofErr w:type="spellStart"/>
      <w:r w:rsidRPr="00BE0153">
        <w:rPr>
          <w:color w:val="000000"/>
          <w:sz w:val="18"/>
          <w:szCs w:val="20"/>
        </w:rPr>
        <w:t>Brent</w:t>
      </w:r>
      <w:proofErr w:type="spellEnd"/>
      <w:r w:rsidRPr="00BE0153">
        <w:rPr>
          <w:color w:val="000000"/>
          <w:sz w:val="18"/>
          <w:szCs w:val="20"/>
        </w:rPr>
        <w:t xml:space="preserve"> κατά 38,6% το 2015.</w:t>
      </w:r>
    </w:p>
  </w:footnote>
  <w:footnote w:id="17">
    <w:p w:rsidR="003B594D" w:rsidRPr="00BE0153" w:rsidRDefault="003B594D" w:rsidP="00BE0153">
      <w:pPr>
        <w:pStyle w:val="aa"/>
        <w:ind w:left="284" w:hanging="284"/>
        <w:rPr>
          <w:sz w:val="18"/>
          <w:lang w:val="el-GR"/>
        </w:rPr>
      </w:pPr>
      <w:r w:rsidRPr="00BE0153">
        <w:rPr>
          <w:rStyle w:val="ab"/>
          <w:sz w:val="18"/>
        </w:rPr>
        <w:footnoteRef/>
      </w:r>
      <w:r w:rsidRPr="00BE0153">
        <w:rPr>
          <w:sz w:val="18"/>
          <w:lang w:val="el-GR"/>
        </w:rPr>
        <w:t xml:space="preserve"> </w:t>
      </w:r>
      <w:r>
        <w:rPr>
          <w:sz w:val="18"/>
          <w:lang w:val="el-GR"/>
        </w:rPr>
        <w:tab/>
      </w:r>
      <w:r w:rsidRPr="00BE0153">
        <w:rPr>
          <w:sz w:val="18"/>
          <w:lang w:val="el-GR"/>
        </w:rPr>
        <w:t>Σε σταθερές τιμές και εποχικά διορθωμένα στοιχεία.</w:t>
      </w:r>
    </w:p>
  </w:footnote>
  <w:footnote w:id="18">
    <w:p w:rsidR="003B594D" w:rsidRPr="00BE0153" w:rsidRDefault="003B594D" w:rsidP="00BE0153">
      <w:pPr>
        <w:pStyle w:val="aa"/>
        <w:spacing w:before="40"/>
        <w:ind w:left="284" w:hanging="284"/>
        <w:jc w:val="both"/>
        <w:rPr>
          <w:sz w:val="18"/>
          <w:lang w:val="el-GR"/>
        </w:rPr>
      </w:pPr>
      <w:r w:rsidRPr="00BE0153">
        <w:rPr>
          <w:rStyle w:val="ab"/>
          <w:sz w:val="18"/>
        </w:rPr>
        <w:footnoteRef/>
      </w:r>
      <w:r w:rsidRPr="00BE0153">
        <w:rPr>
          <w:sz w:val="18"/>
          <w:lang w:val="el-GR"/>
        </w:rPr>
        <w:t xml:space="preserve"> </w:t>
      </w:r>
      <w:r>
        <w:rPr>
          <w:sz w:val="18"/>
          <w:lang w:val="el-GR"/>
        </w:rPr>
        <w:tab/>
      </w:r>
      <w:r w:rsidRPr="00BE0153">
        <w:rPr>
          <w:sz w:val="18"/>
          <w:lang w:val="el-GR"/>
        </w:rPr>
        <w:t>Οι καθαρές εξαγωγές αγαθών μειώθηκαν στο πρώτο τρίμηνο του 2017 εν μέσω ανάκαμψης των εισαγωγών αγαθών και ανόδου στις διεθνείς τιμές του πετρελαίου, σε συνέχεια της απόφασης του ΟΠΕΚ τον Νοέμβριο του 2016 για μείωση της υπερβάλλουσας προσφοράς πετρελαίου από τον Ιανουάριο του 2017.</w:t>
      </w:r>
    </w:p>
  </w:footnote>
  <w:footnote w:id="19">
    <w:p w:rsidR="003B594D" w:rsidRPr="00BE0153" w:rsidRDefault="003B594D" w:rsidP="00BE0153">
      <w:pPr>
        <w:pStyle w:val="aa"/>
        <w:spacing w:before="40"/>
        <w:ind w:left="284" w:hanging="284"/>
        <w:jc w:val="both"/>
        <w:rPr>
          <w:sz w:val="18"/>
          <w:lang w:val="el-GR"/>
        </w:rPr>
      </w:pPr>
      <w:r w:rsidRPr="00BE0153">
        <w:rPr>
          <w:rStyle w:val="ab"/>
          <w:sz w:val="18"/>
        </w:rPr>
        <w:footnoteRef/>
      </w:r>
      <w:r w:rsidRPr="00BE0153">
        <w:rPr>
          <w:sz w:val="18"/>
          <w:lang w:val="el-GR"/>
        </w:rPr>
        <w:t xml:space="preserve"> </w:t>
      </w:r>
      <w:r>
        <w:rPr>
          <w:sz w:val="18"/>
          <w:lang w:val="el-GR"/>
        </w:rPr>
        <w:tab/>
      </w:r>
      <w:r w:rsidRPr="00BE0153">
        <w:rPr>
          <w:sz w:val="18"/>
          <w:lang w:val="el-GR"/>
        </w:rPr>
        <w:t>Η συμβολή αυτή επιβραδύνθηκε ελαφρώς στο δεύτερο τρίμηνο 2017, στο +0,5% από +0,9% στο πρώτο τρίμηνο, λόγω της κατά 0,1% μείωσης της ιδιωτικής κατανάλωσης έναντι του προηγούμενου τριμήνου.</w:t>
      </w:r>
    </w:p>
  </w:footnote>
  <w:footnote w:id="20">
    <w:p w:rsidR="003B594D" w:rsidRPr="00BE0153" w:rsidRDefault="003B594D" w:rsidP="00BE0153">
      <w:pPr>
        <w:pStyle w:val="aa"/>
        <w:spacing w:before="40"/>
        <w:ind w:left="284" w:hanging="284"/>
        <w:jc w:val="both"/>
        <w:rPr>
          <w:sz w:val="18"/>
          <w:lang w:val="el-GR"/>
        </w:rPr>
      </w:pPr>
      <w:r w:rsidRPr="00BE0153">
        <w:rPr>
          <w:rStyle w:val="ab"/>
          <w:sz w:val="18"/>
        </w:rPr>
        <w:footnoteRef/>
      </w:r>
      <w:r w:rsidRPr="00BE0153">
        <w:rPr>
          <w:sz w:val="18"/>
          <w:lang w:val="el-GR"/>
        </w:rPr>
        <w:t xml:space="preserve"> </w:t>
      </w:r>
      <w:r>
        <w:rPr>
          <w:sz w:val="18"/>
          <w:lang w:val="el-GR"/>
        </w:rPr>
        <w:tab/>
      </w:r>
      <w:r w:rsidRPr="00BE0153">
        <w:rPr>
          <w:sz w:val="18"/>
          <w:lang w:val="el-GR"/>
        </w:rPr>
        <w:t>Προς τη μείωση αυτή εκτιμάται ότι επέ</w:t>
      </w:r>
      <w:r>
        <w:rPr>
          <w:sz w:val="18"/>
          <w:lang w:val="el-GR"/>
        </w:rPr>
        <w:t>δρασε</w:t>
      </w:r>
      <w:r w:rsidRPr="00BE0153">
        <w:rPr>
          <w:sz w:val="18"/>
          <w:lang w:val="el-GR"/>
        </w:rPr>
        <w:t xml:space="preserve"> η χρονική επέκταση των διαπραγματεύσεων για τη δεύτερη αξιολόγηση έως τον Ιούνιο του 2017.</w:t>
      </w:r>
    </w:p>
  </w:footnote>
  <w:footnote w:id="21">
    <w:p w:rsidR="003B594D" w:rsidRPr="00BE0153" w:rsidRDefault="003B594D" w:rsidP="00BE0153">
      <w:pPr>
        <w:pStyle w:val="aa"/>
        <w:ind w:left="284" w:hanging="284"/>
        <w:jc w:val="both"/>
        <w:rPr>
          <w:sz w:val="18"/>
          <w:szCs w:val="18"/>
          <w:lang w:val="el-GR"/>
        </w:rPr>
      </w:pPr>
      <w:r w:rsidRPr="00BE0153">
        <w:rPr>
          <w:rStyle w:val="ab"/>
          <w:sz w:val="18"/>
          <w:szCs w:val="18"/>
        </w:rPr>
        <w:footnoteRef/>
      </w:r>
      <w:r w:rsidRPr="00BE0153">
        <w:rPr>
          <w:sz w:val="18"/>
          <w:szCs w:val="18"/>
          <w:lang w:val="el-GR"/>
        </w:rPr>
        <w:t xml:space="preserve"> </w:t>
      </w:r>
      <w:r>
        <w:rPr>
          <w:sz w:val="18"/>
          <w:szCs w:val="18"/>
          <w:lang w:val="el-GR"/>
        </w:rPr>
        <w:tab/>
      </w:r>
      <w:r w:rsidRPr="00BE0153">
        <w:rPr>
          <w:sz w:val="18"/>
          <w:szCs w:val="18"/>
          <w:lang w:val="el-GR"/>
        </w:rPr>
        <w:t>Εν μέσω ηπιότερων αυξήσεων στη διεθνή τιμή του πετρελαίου και υποχώρησης των εισαγωγών αγαθών σε σχέση με το αμέσως προηγούμενο τρίμηνο, κατά το οποίο ο όγκος τους ανήλθε στο υψηλότερο επίπεδο από το πρώτο τρίμηνο του 2010.</w:t>
      </w:r>
    </w:p>
  </w:footnote>
  <w:footnote w:id="22">
    <w:p w:rsidR="003B594D" w:rsidRPr="00BE0153" w:rsidRDefault="003B594D" w:rsidP="00BE0153">
      <w:pPr>
        <w:pStyle w:val="aa"/>
        <w:spacing w:before="40"/>
        <w:ind w:left="284" w:hanging="284"/>
        <w:jc w:val="both"/>
        <w:rPr>
          <w:sz w:val="18"/>
          <w:szCs w:val="18"/>
          <w:lang w:val="el-GR"/>
        </w:rPr>
      </w:pPr>
      <w:r w:rsidRPr="00BE0153">
        <w:rPr>
          <w:rStyle w:val="ab"/>
          <w:sz w:val="18"/>
          <w:szCs w:val="18"/>
        </w:rPr>
        <w:footnoteRef/>
      </w:r>
      <w:r w:rsidRPr="00BE0153">
        <w:rPr>
          <w:sz w:val="18"/>
          <w:szCs w:val="18"/>
          <w:lang w:val="el-GR"/>
        </w:rPr>
        <w:t xml:space="preserve"> </w:t>
      </w:r>
      <w:r>
        <w:rPr>
          <w:sz w:val="18"/>
          <w:szCs w:val="18"/>
          <w:lang w:val="el-GR"/>
        </w:rPr>
        <w:tab/>
      </w:r>
      <w:r w:rsidRPr="00BE0153">
        <w:rPr>
          <w:sz w:val="18"/>
          <w:szCs w:val="18"/>
          <w:lang w:val="el-GR"/>
        </w:rPr>
        <w:t>Στη βάση των βελτιούμενων ισοζυγίων ταξιδιωτικών και μεταφορικών υπηρεσιών (ιδίως της ναυτιλίας).</w:t>
      </w:r>
    </w:p>
  </w:footnote>
  <w:footnote w:id="23">
    <w:p w:rsidR="003B594D" w:rsidRPr="00BE0153" w:rsidRDefault="003B594D" w:rsidP="00BE0153">
      <w:pPr>
        <w:spacing w:before="40"/>
        <w:ind w:left="284" w:hanging="284"/>
        <w:jc w:val="both"/>
        <w:rPr>
          <w:sz w:val="18"/>
          <w:szCs w:val="18"/>
        </w:rPr>
      </w:pPr>
      <w:r w:rsidRPr="00BE0153">
        <w:rPr>
          <w:rStyle w:val="ab"/>
          <w:sz w:val="18"/>
          <w:szCs w:val="18"/>
        </w:rPr>
        <w:footnoteRef/>
      </w:r>
      <w:r w:rsidRPr="00BE0153">
        <w:rPr>
          <w:sz w:val="18"/>
          <w:szCs w:val="18"/>
        </w:rPr>
        <w:t xml:space="preserve"> </w:t>
      </w:r>
      <w:r>
        <w:rPr>
          <w:sz w:val="18"/>
          <w:szCs w:val="18"/>
        </w:rPr>
        <w:tab/>
      </w:r>
      <w:r w:rsidRPr="00BE0153">
        <w:rPr>
          <w:sz w:val="18"/>
          <w:szCs w:val="18"/>
        </w:rPr>
        <w:t>Παρά τη μικρή αυτή αρνητική συμβολή ύψους 0,2% του πραγματικού ΑΕΠ, το αυξημένο επίπεδο δραστηριότητας (ό</w:t>
      </w:r>
      <w:r w:rsidRPr="00BE0153">
        <w:rPr>
          <w:sz w:val="18"/>
          <w:szCs w:val="18"/>
        </w:rPr>
        <w:t>γ</w:t>
      </w:r>
      <w:r w:rsidRPr="00BE0153">
        <w:rPr>
          <w:sz w:val="18"/>
          <w:szCs w:val="18"/>
        </w:rPr>
        <w:t>κου) εξαγωγών και εισαγωγών του πρώτου εξαμήνου 2017</w:t>
      </w:r>
      <w:r>
        <w:rPr>
          <w:sz w:val="18"/>
          <w:szCs w:val="18"/>
        </w:rPr>
        <w:t xml:space="preserve"> </w:t>
      </w:r>
      <w:r w:rsidRPr="00BE0153">
        <w:rPr>
          <w:sz w:val="18"/>
          <w:szCs w:val="18"/>
        </w:rPr>
        <w:t>υποδηλώνει τη διαμορφούμενη δυναμική ανάπτυξης του εξ</w:t>
      </w:r>
      <w:r w:rsidRPr="00BE0153">
        <w:rPr>
          <w:sz w:val="18"/>
          <w:szCs w:val="18"/>
        </w:rPr>
        <w:t>ω</w:t>
      </w:r>
      <w:r w:rsidRPr="00BE0153">
        <w:rPr>
          <w:sz w:val="18"/>
          <w:szCs w:val="18"/>
        </w:rPr>
        <w:t>τερι</w:t>
      </w:r>
      <w:r>
        <w:rPr>
          <w:sz w:val="18"/>
          <w:szCs w:val="18"/>
        </w:rPr>
        <w:t>κού τομέα της οικονομίας. Σ</w:t>
      </w:r>
      <w:r w:rsidRPr="00BE0153">
        <w:rPr>
          <w:sz w:val="18"/>
          <w:szCs w:val="18"/>
        </w:rPr>
        <w:t>το πρώτο εξάμηνο οι πραγματικές εξαγωγές αγαθών και υπηρεσιών σημείωσαν άλμα κατά 7,4% σε ετήσια βάση, που επιμερίστηκε τόσο στα αγαθά (+6,8%) όσο και στις υπηρεσίες (+9,6%) έναντι ανόδου κατά 7,3% στις πραγματικές εισαγωγές αγαθών και υπηρεσιών (λόγω αύξησης 6,3% στα αγαθά και 13,5% στις υπηρεσ</w:t>
      </w:r>
      <w:r w:rsidRPr="00BE0153">
        <w:rPr>
          <w:sz w:val="18"/>
          <w:szCs w:val="18"/>
        </w:rPr>
        <w:t>ί</w:t>
      </w:r>
      <w:r w:rsidRPr="00BE0153">
        <w:rPr>
          <w:sz w:val="18"/>
          <w:szCs w:val="18"/>
        </w:rPr>
        <w:t xml:space="preserve">ες). </w:t>
      </w:r>
    </w:p>
  </w:footnote>
  <w:footnote w:id="24">
    <w:p w:rsidR="003B594D" w:rsidRPr="00BE0153" w:rsidRDefault="003B594D" w:rsidP="00BE0153">
      <w:pPr>
        <w:pStyle w:val="aa"/>
        <w:spacing w:before="40"/>
        <w:ind w:left="284" w:hanging="284"/>
        <w:jc w:val="both"/>
        <w:rPr>
          <w:sz w:val="18"/>
          <w:szCs w:val="18"/>
          <w:lang w:val="el-GR"/>
        </w:rPr>
      </w:pPr>
      <w:r w:rsidRPr="00BE0153">
        <w:rPr>
          <w:rStyle w:val="ab"/>
          <w:sz w:val="18"/>
          <w:szCs w:val="18"/>
        </w:rPr>
        <w:footnoteRef/>
      </w:r>
      <w:r w:rsidRPr="00BE0153">
        <w:rPr>
          <w:sz w:val="18"/>
          <w:szCs w:val="18"/>
          <w:lang w:val="el-GR"/>
        </w:rPr>
        <w:t xml:space="preserve"> </w:t>
      </w:r>
      <w:r>
        <w:rPr>
          <w:sz w:val="18"/>
          <w:szCs w:val="18"/>
          <w:lang w:val="el-GR"/>
        </w:rPr>
        <w:tab/>
      </w:r>
      <w:r w:rsidRPr="00BE0153">
        <w:rPr>
          <w:sz w:val="18"/>
          <w:szCs w:val="18"/>
          <w:lang w:val="el-GR"/>
        </w:rPr>
        <w:t xml:space="preserve">Η εμπιστοσύνη των καταναλωτών στην Ελλάδα </w:t>
      </w:r>
      <w:r>
        <w:rPr>
          <w:sz w:val="18"/>
          <w:szCs w:val="18"/>
          <w:lang w:val="el-GR"/>
        </w:rPr>
        <w:t>βελτιώθηκε</w:t>
      </w:r>
      <w:r w:rsidRPr="00BE0153">
        <w:rPr>
          <w:sz w:val="18"/>
          <w:szCs w:val="18"/>
          <w:lang w:val="el-GR"/>
        </w:rPr>
        <w:t xml:space="preserve"> στο -57,0 τον Αύγουστο από -61,50 τον Ιούλιο του 2017</w:t>
      </w:r>
      <w:r>
        <w:rPr>
          <w:sz w:val="18"/>
          <w:szCs w:val="18"/>
          <w:lang w:val="el-GR"/>
        </w:rPr>
        <w:t>.</w:t>
      </w:r>
      <w:r w:rsidRPr="00BE0153">
        <w:rPr>
          <w:sz w:val="18"/>
          <w:szCs w:val="18"/>
          <w:lang w:val="el-GR"/>
        </w:rPr>
        <w:t xml:space="preserve"> </w:t>
      </w:r>
      <w:r>
        <w:rPr>
          <w:sz w:val="18"/>
          <w:szCs w:val="18"/>
          <w:lang w:val="el-GR"/>
        </w:rPr>
        <w:t xml:space="preserve">Από </w:t>
      </w:r>
      <w:r w:rsidRPr="00BE0153">
        <w:rPr>
          <w:sz w:val="18"/>
          <w:szCs w:val="18"/>
          <w:lang w:val="el-GR"/>
        </w:rPr>
        <w:t>το 1985 έως το 2017 ήταν κατά μέσο όρο -37,87, φτάνοντας στο υψηλότερο επίπεδο τον Μάιο του 1985 (-3,20) και στο χαμηλότερο τον Οκτώβριο του 2011 (-83,80).</w:t>
      </w:r>
    </w:p>
  </w:footnote>
  <w:footnote w:id="25">
    <w:p w:rsidR="003B594D" w:rsidRPr="00BE0153" w:rsidRDefault="003B594D" w:rsidP="00BE0153">
      <w:pPr>
        <w:ind w:left="284" w:hanging="284"/>
        <w:jc w:val="both"/>
        <w:rPr>
          <w:sz w:val="18"/>
          <w:szCs w:val="18"/>
        </w:rPr>
      </w:pPr>
      <w:r w:rsidRPr="00BE0153">
        <w:rPr>
          <w:rStyle w:val="ab"/>
          <w:sz w:val="18"/>
          <w:szCs w:val="18"/>
        </w:rPr>
        <w:footnoteRef/>
      </w:r>
      <w:r>
        <w:rPr>
          <w:sz w:val="18"/>
          <w:szCs w:val="18"/>
        </w:rPr>
        <w:tab/>
        <w:t>Τ</w:t>
      </w:r>
      <w:r w:rsidRPr="00BE0153">
        <w:rPr>
          <w:sz w:val="18"/>
          <w:szCs w:val="18"/>
        </w:rPr>
        <w:t xml:space="preserve">ο 2017, έχουν γίνει σημαντικά βήματα για την υλοποίηση του προγράμματος ιδιωτικοποιήσεων, όπως η παράδοση των δεκατεσσάρων περιφερειακών αεροδρομίων στη </w:t>
      </w:r>
      <w:proofErr w:type="spellStart"/>
      <w:r w:rsidRPr="00BE0153">
        <w:rPr>
          <w:sz w:val="18"/>
          <w:szCs w:val="18"/>
        </w:rPr>
        <w:t>Fraport</w:t>
      </w:r>
      <w:proofErr w:type="spellEnd"/>
      <w:r w:rsidRPr="00BE0153">
        <w:rPr>
          <w:sz w:val="18"/>
          <w:szCs w:val="18"/>
        </w:rPr>
        <w:t>, η έγκριση της οικονομικής προσφοράς για την παράταση π</w:t>
      </w:r>
      <w:r w:rsidRPr="00BE0153">
        <w:rPr>
          <w:sz w:val="18"/>
          <w:szCs w:val="18"/>
        </w:rPr>
        <w:t>α</w:t>
      </w:r>
      <w:r w:rsidRPr="00BE0153">
        <w:rPr>
          <w:sz w:val="18"/>
          <w:szCs w:val="18"/>
        </w:rPr>
        <w:t>ραχώρησης του διεθνούς αεροδρ</w:t>
      </w:r>
      <w:r>
        <w:rPr>
          <w:sz w:val="18"/>
          <w:szCs w:val="18"/>
        </w:rPr>
        <w:t>ομίου</w:t>
      </w:r>
      <w:r w:rsidRPr="00BE0153">
        <w:rPr>
          <w:sz w:val="18"/>
          <w:szCs w:val="18"/>
        </w:rPr>
        <w:t xml:space="preserve"> της Αθήνας και η ολοκλήρωση της πώλησης της ΤΡΑΙΝΟΣΕ.</w:t>
      </w:r>
    </w:p>
  </w:footnote>
  <w:footnote w:id="26">
    <w:p w:rsidR="003B594D" w:rsidRPr="00BE0153" w:rsidRDefault="003B594D" w:rsidP="00BE0153">
      <w:pPr>
        <w:spacing w:before="40"/>
        <w:ind w:left="284" w:hanging="284"/>
        <w:jc w:val="both"/>
        <w:rPr>
          <w:sz w:val="18"/>
          <w:szCs w:val="18"/>
        </w:rPr>
      </w:pPr>
      <w:r w:rsidRPr="00BE0153">
        <w:rPr>
          <w:rStyle w:val="ab"/>
          <w:sz w:val="18"/>
          <w:szCs w:val="18"/>
        </w:rPr>
        <w:footnoteRef/>
      </w:r>
      <w:r>
        <w:rPr>
          <w:sz w:val="18"/>
          <w:szCs w:val="18"/>
        </w:rPr>
        <w:tab/>
      </w:r>
      <w:r w:rsidRPr="00BE0153">
        <w:rPr>
          <w:sz w:val="18"/>
          <w:szCs w:val="18"/>
        </w:rPr>
        <w:t>Τον Ιούλιο του 2017, οι δράσεις που είχαν εγκριθεί στην Ελλάδα στο πλαίσιο του Ευρωπαϊκού Ταμείου Στρατηγικών Επενδύσεων αντιπροσώπευαν συνολική χρηματοδότηση ύψους 1,2 δισ. ευρώ, από την οποία τα 979 εκατ</w:t>
      </w:r>
      <w:r>
        <w:rPr>
          <w:sz w:val="18"/>
          <w:szCs w:val="18"/>
        </w:rPr>
        <w:t>.</w:t>
      </w:r>
      <w:r w:rsidRPr="00BE0153">
        <w:rPr>
          <w:sz w:val="18"/>
          <w:szCs w:val="18"/>
        </w:rPr>
        <w:t xml:space="preserve"> ευρώ αντιστ</w:t>
      </w:r>
      <w:r w:rsidRPr="00BE0153">
        <w:rPr>
          <w:sz w:val="18"/>
          <w:szCs w:val="18"/>
        </w:rPr>
        <w:t>ο</w:t>
      </w:r>
      <w:r w:rsidRPr="00BE0153">
        <w:rPr>
          <w:sz w:val="18"/>
          <w:szCs w:val="18"/>
        </w:rPr>
        <w:t xml:space="preserve">ιχούν σε επενδυτικά σχέδια στο πεδίο της καινοτομίας και των υποδομών και τα υπόλοιπα 260 εκατομμύρια ευρώ σε </w:t>
      </w:r>
      <w:r w:rsidRPr="00BE0153">
        <w:rPr>
          <w:sz w:val="18"/>
          <w:szCs w:val="18"/>
        </w:rPr>
        <w:t>ε</w:t>
      </w:r>
      <w:r w:rsidRPr="00BE0153">
        <w:rPr>
          <w:sz w:val="18"/>
          <w:szCs w:val="18"/>
        </w:rPr>
        <w:t>πενδυτικά σχέδια για μικρές έως μεσαίες επιχειρήσεις (συντ</w:t>
      </w:r>
      <w:r>
        <w:rPr>
          <w:sz w:val="18"/>
          <w:szCs w:val="18"/>
        </w:rPr>
        <w:t>ελεστές «</w:t>
      </w:r>
      <w:r w:rsidRPr="00BE0153">
        <w:rPr>
          <w:sz w:val="18"/>
          <w:szCs w:val="18"/>
        </w:rPr>
        <w:t>μόχλευσης</w:t>
      </w:r>
      <w:r>
        <w:rPr>
          <w:sz w:val="18"/>
          <w:szCs w:val="18"/>
        </w:rPr>
        <w:t>»</w:t>
      </w:r>
      <w:r w:rsidRPr="00BE0153">
        <w:rPr>
          <w:sz w:val="18"/>
          <w:szCs w:val="18"/>
        </w:rPr>
        <w:t xml:space="preserve"> 2,35 και 5,38 αντίστοιχα). Το σύνολο των δράσεων στην Ελλάδα στο πλαίσιο του επενδυτικού προγράμματος αναμένεται να δώσουν ώθηση σε επενδύσεις ύψους 3,7 δισ. ευρώ.</w:t>
      </w:r>
    </w:p>
  </w:footnote>
  <w:footnote w:id="27">
    <w:p w:rsidR="003B594D" w:rsidRPr="00BE0153" w:rsidRDefault="003B594D" w:rsidP="00BE0153">
      <w:pPr>
        <w:pStyle w:val="aa"/>
        <w:spacing w:before="40"/>
        <w:ind w:left="284" w:hanging="284"/>
        <w:jc w:val="both"/>
        <w:rPr>
          <w:sz w:val="18"/>
          <w:szCs w:val="18"/>
          <w:lang w:val="el-GR"/>
        </w:rPr>
      </w:pPr>
      <w:r w:rsidRPr="00BE0153">
        <w:rPr>
          <w:rStyle w:val="ab"/>
          <w:sz w:val="18"/>
          <w:szCs w:val="18"/>
        </w:rPr>
        <w:footnoteRef/>
      </w:r>
      <w:r w:rsidRPr="00BE0153">
        <w:rPr>
          <w:sz w:val="18"/>
          <w:szCs w:val="18"/>
          <w:lang w:val="el-GR"/>
        </w:rPr>
        <w:t xml:space="preserve"> </w:t>
      </w:r>
      <w:r>
        <w:rPr>
          <w:sz w:val="18"/>
          <w:szCs w:val="18"/>
          <w:lang w:val="el-GR"/>
        </w:rPr>
        <w:tab/>
      </w:r>
      <w:r w:rsidRPr="00BE0153">
        <w:rPr>
          <w:sz w:val="18"/>
          <w:szCs w:val="18"/>
          <w:lang w:val="el-GR"/>
        </w:rPr>
        <w:t xml:space="preserve">Το 2016 η μεταβολή του Εναρμονισμένου ΔΤΚ ήταν μηδενική, έναντι μέσης μεταβολής -1,1% την προηγούμενη τριετή περίοδο. </w:t>
      </w:r>
    </w:p>
  </w:footnote>
  <w:footnote w:id="28">
    <w:p w:rsidR="003B594D" w:rsidRPr="00BE0153" w:rsidRDefault="003B594D" w:rsidP="00BE0153">
      <w:pPr>
        <w:pStyle w:val="aa"/>
        <w:ind w:left="284" w:hanging="284"/>
        <w:jc w:val="both"/>
        <w:rPr>
          <w:sz w:val="18"/>
          <w:lang w:val="el-GR"/>
        </w:rPr>
      </w:pPr>
      <w:r w:rsidRPr="00BE0153">
        <w:rPr>
          <w:rStyle w:val="ab"/>
          <w:sz w:val="18"/>
        </w:rPr>
        <w:footnoteRef/>
      </w:r>
      <w:r w:rsidRPr="00BE0153">
        <w:rPr>
          <w:sz w:val="18"/>
          <w:lang w:val="el-GR"/>
        </w:rPr>
        <w:t xml:space="preserve"> </w:t>
      </w:r>
      <w:r>
        <w:rPr>
          <w:sz w:val="18"/>
          <w:lang w:val="el-GR"/>
        </w:rPr>
        <w:tab/>
      </w:r>
      <w:r w:rsidRPr="00BE0153">
        <w:rPr>
          <w:sz w:val="18"/>
          <w:lang w:val="el-GR"/>
        </w:rPr>
        <w:t xml:space="preserve">Ενδεικτικά, στους πρώτους οκτώ μήνες του 2017 η αύξηση του πετρελαίου </w:t>
      </w:r>
      <w:r w:rsidRPr="00BE0153">
        <w:rPr>
          <w:sz w:val="18"/>
        </w:rPr>
        <w:t>Brent</w:t>
      </w:r>
      <w:r w:rsidRPr="00BE0153">
        <w:rPr>
          <w:sz w:val="18"/>
          <w:lang w:val="el-GR"/>
        </w:rPr>
        <w:t xml:space="preserve"> έφτασε το 31</w:t>
      </w:r>
      <w:r>
        <w:rPr>
          <w:sz w:val="18"/>
          <w:lang w:val="el-GR"/>
        </w:rPr>
        <w:t>,0%, παρά τη σταδιακή εξομάλυνσή</w:t>
      </w:r>
      <w:r w:rsidRPr="00BE0153">
        <w:rPr>
          <w:sz w:val="18"/>
          <w:lang w:val="el-GR"/>
        </w:rPr>
        <w:t xml:space="preserve"> της από τον Μάρτιο 2017.</w:t>
      </w:r>
    </w:p>
  </w:footnote>
  <w:footnote w:id="29">
    <w:p w:rsidR="003B594D" w:rsidRPr="00BE0153" w:rsidRDefault="003B594D" w:rsidP="008578AA">
      <w:pPr>
        <w:pStyle w:val="aa"/>
        <w:spacing w:before="40"/>
        <w:ind w:left="284" w:hanging="284"/>
        <w:jc w:val="both"/>
        <w:rPr>
          <w:sz w:val="18"/>
          <w:lang w:val="el-GR"/>
        </w:rPr>
      </w:pPr>
      <w:r w:rsidRPr="00BE0153">
        <w:rPr>
          <w:rStyle w:val="ab"/>
          <w:sz w:val="18"/>
        </w:rPr>
        <w:footnoteRef/>
      </w:r>
      <w:r w:rsidRPr="00BE0153">
        <w:rPr>
          <w:sz w:val="18"/>
          <w:lang w:val="el-GR"/>
        </w:rPr>
        <w:t xml:space="preserve"> </w:t>
      </w:r>
      <w:r>
        <w:rPr>
          <w:sz w:val="18"/>
          <w:lang w:val="el-GR"/>
        </w:rPr>
        <w:tab/>
      </w:r>
      <w:r w:rsidRPr="00BE0153">
        <w:rPr>
          <w:sz w:val="18"/>
          <w:lang w:val="el-GR"/>
        </w:rPr>
        <w:t>Στοιχεία βάσει της τριμηνιαίας Έρευνας Εργατικού Δυναμικού της Ελληνικής Στατιστικής Αρχής. Βάσει των Εθνικών Λογαριασμών, η πορεία βελτίωσης της απασχόλησης άρχισε το 2015, έναντι στασιμότητας το 2014.</w:t>
      </w:r>
    </w:p>
  </w:footnote>
  <w:footnote w:id="30">
    <w:p w:rsidR="003B594D" w:rsidRPr="00BE0153" w:rsidRDefault="003B594D" w:rsidP="00BE0153">
      <w:pPr>
        <w:pStyle w:val="aa"/>
        <w:ind w:left="284" w:hanging="284"/>
        <w:jc w:val="both"/>
        <w:rPr>
          <w:sz w:val="18"/>
          <w:szCs w:val="18"/>
          <w:lang w:val="el-GR"/>
        </w:rPr>
      </w:pPr>
      <w:r w:rsidRPr="00BE0153">
        <w:rPr>
          <w:rStyle w:val="ab"/>
          <w:sz w:val="18"/>
          <w:szCs w:val="18"/>
        </w:rPr>
        <w:footnoteRef/>
      </w:r>
      <w:r w:rsidRPr="00BE0153">
        <w:rPr>
          <w:sz w:val="18"/>
          <w:szCs w:val="18"/>
          <w:lang w:val="el-GR"/>
        </w:rPr>
        <w:t xml:space="preserve"> </w:t>
      </w:r>
      <w:r>
        <w:rPr>
          <w:sz w:val="18"/>
          <w:szCs w:val="18"/>
          <w:lang w:val="el-GR"/>
        </w:rPr>
        <w:tab/>
      </w:r>
      <w:r w:rsidRPr="00BE0153">
        <w:rPr>
          <w:sz w:val="18"/>
          <w:szCs w:val="18"/>
          <w:lang w:val="el-GR"/>
        </w:rPr>
        <w:t>Βάσει μη εποχικά διορθωμένων στοιχείων της τριμηνιαίας Έρευνας Εργατικού Δυναμικού της Ελληνικής Στατιστικής Αρχής.</w:t>
      </w:r>
    </w:p>
  </w:footnote>
  <w:footnote w:id="31">
    <w:p w:rsidR="003B594D" w:rsidRPr="00102031" w:rsidRDefault="003B594D" w:rsidP="00BE0153">
      <w:pPr>
        <w:pStyle w:val="aa"/>
        <w:spacing w:before="40"/>
        <w:ind w:left="284" w:hanging="284"/>
        <w:jc w:val="both"/>
        <w:rPr>
          <w:lang w:val="el-GR"/>
        </w:rPr>
      </w:pPr>
      <w:r w:rsidRPr="00BE0153">
        <w:rPr>
          <w:rStyle w:val="ab"/>
          <w:sz w:val="18"/>
          <w:szCs w:val="18"/>
        </w:rPr>
        <w:footnoteRef/>
      </w:r>
      <w:r w:rsidRPr="00BE0153">
        <w:rPr>
          <w:sz w:val="18"/>
          <w:szCs w:val="18"/>
          <w:lang w:val="el-GR"/>
        </w:rPr>
        <w:t xml:space="preserve"> </w:t>
      </w:r>
      <w:r>
        <w:rPr>
          <w:sz w:val="18"/>
          <w:szCs w:val="18"/>
          <w:lang w:val="el-GR"/>
        </w:rPr>
        <w:tab/>
      </w:r>
      <w:r w:rsidRPr="00BE0153">
        <w:rPr>
          <w:sz w:val="18"/>
          <w:szCs w:val="18"/>
          <w:lang w:val="en-US"/>
        </w:rPr>
        <w:t>To</w:t>
      </w:r>
      <w:r w:rsidRPr="00BE0153">
        <w:rPr>
          <w:sz w:val="18"/>
          <w:szCs w:val="18"/>
          <w:lang w:val="el-GR"/>
        </w:rPr>
        <w:t xml:space="preserve"> δεύτερο τρίμηνο του 2017 η τάση αυτή φαίνεται να αντιστρέφεται, με την αντίστοιχη συμμετοχή των νέων θέσεων πλήρους απασχόλησης στο 88,7% της νέας απασχόλησης.</w:t>
      </w:r>
      <w:r w:rsidRPr="00102031">
        <w:rPr>
          <w:lang w:val="el-G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D4" w:rsidRDefault="00953FD4">
    <w:pPr>
      <w:pStyle w:val="a3"/>
      <w:jc w:val="both"/>
      <w:rPr>
        <w:rFonts w:ascii="Arial Narrow" w:hAnsi="Arial Narrow"/>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1</w:t>
    </w:r>
  </w:p>
  <w:p w:rsidR="00953FD4" w:rsidRDefault="00953FD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02" w:rsidRDefault="00522B02" w:rsidP="00522B02">
    <w:pPr>
      <w:pStyle w:val="a3"/>
      <w:jc w:val="right"/>
      <w:rPr>
        <w:rFonts w:ascii="Arial Narrow" w:hAnsi="Arial Narrow"/>
        <w:b/>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1</w:t>
    </w:r>
    <w:r>
      <w:rPr>
        <w:rFonts w:ascii="Arial Narrow" w:hAnsi="Arial Narrow"/>
        <w:b/>
        <w:color w:val="333333"/>
        <w:sz w:val="22"/>
      </w:rPr>
      <w:t xml:space="preserve"> </w:t>
    </w:r>
  </w:p>
  <w:p w:rsidR="00522B02" w:rsidRDefault="00522B0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BC" w:rsidRDefault="004213BC">
    <w:pPr>
      <w:pStyle w:val="a3"/>
      <w:jc w:val="both"/>
      <w:rPr>
        <w:rFonts w:ascii="Arial Narrow" w:hAnsi="Arial Narrow"/>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2</w:t>
    </w:r>
  </w:p>
  <w:p w:rsidR="004213BC" w:rsidRDefault="004213BC">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BC" w:rsidRDefault="004213BC" w:rsidP="00522B02">
    <w:pPr>
      <w:pStyle w:val="a3"/>
      <w:jc w:val="right"/>
      <w:rPr>
        <w:rFonts w:ascii="Arial Narrow" w:hAnsi="Arial Narrow"/>
        <w:b/>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2</w:t>
    </w:r>
    <w:r>
      <w:rPr>
        <w:rFonts w:ascii="Arial Narrow" w:hAnsi="Arial Narrow"/>
        <w:b/>
        <w:color w:val="333333"/>
        <w:sz w:val="22"/>
      </w:rPr>
      <w:t xml:space="preserve"> </w:t>
    </w:r>
  </w:p>
  <w:p w:rsidR="004213BC" w:rsidRDefault="004213BC">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BC" w:rsidRDefault="004213BC">
    <w:pPr>
      <w:pStyle w:val="a3"/>
      <w:jc w:val="both"/>
      <w:rPr>
        <w:rFonts w:ascii="Arial Narrow" w:hAnsi="Arial Narrow"/>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3</w:t>
    </w:r>
  </w:p>
  <w:p w:rsidR="004213BC" w:rsidRDefault="004213BC">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BC" w:rsidRDefault="004213BC" w:rsidP="00522B02">
    <w:pPr>
      <w:pStyle w:val="a3"/>
      <w:jc w:val="right"/>
      <w:rPr>
        <w:rFonts w:ascii="Arial Narrow" w:hAnsi="Arial Narrow"/>
        <w:b/>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3</w:t>
    </w:r>
  </w:p>
  <w:p w:rsidR="004213BC" w:rsidRDefault="004213B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rPr>
    </w:lvl>
  </w:abstractNum>
  <w:abstractNum w:abstractNumId="1">
    <w:nsid w:val="00000003"/>
    <w:multiLevelType w:val="multilevel"/>
    <w:tmpl w:val="00000003"/>
    <w:name w:val="WW8Num3"/>
    <w:lvl w:ilvl="0">
      <w:start w:val="1"/>
      <w:numFmt w:val="bullet"/>
      <w:lvlText w:val=""/>
      <w:lvlJc w:val="left"/>
      <w:pPr>
        <w:tabs>
          <w:tab w:val="num" w:pos="0"/>
        </w:tabs>
        <w:ind w:left="765" w:hanging="360"/>
      </w:pPr>
      <w:rPr>
        <w:rFonts w:ascii="Wingdings" w:hAnsi="Wingdings"/>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rPr>
    </w:lvl>
    <w:lvl w:ilvl="3">
      <w:start w:val="1"/>
      <w:numFmt w:val="bullet"/>
      <w:lvlText w:val=""/>
      <w:lvlJc w:val="left"/>
      <w:pPr>
        <w:tabs>
          <w:tab w:val="num" w:pos="0"/>
        </w:tabs>
        <w:ind w:left="2925" w:hanging="360"/>
      </w:pPr>
      <w:rPr>
        <w:rFonts w:ascii="Symbol" w:hAnsi="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rPr>
    </w:lvl>
    <w:lvl w:ilvl="6">
      <w:start w:val="1"/>
      <w:numFmt w:val="bullet"/>
      <w:lvlText w:val=""/>
      <w:lvlJc w:val="left"/>
      <w:pPr>
        <w:tabs>
          <w:tab w:val="num" w:pos="0"/>
        </w:tabs>
        <w:ind w:left="5085" w:hanging="360"/>
      </w:pPr>
      <w:rPr>
        <w:rFonts w:ascii="Symbol" w:hAnsi="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rPr>
    </w:lvl>
  </w:abstractNum>
  <w:abstractNum w:abstractNumId="2">
    <w:nsid w:val="0944267F"/>
    <w:multiLevelType w:val="hybridMultilevel"/>
    <w:tmpl w:val="3A16EA60"/>
    <w:lvl w:ilvl="0" w:tplc="213446D6">
      <w:start w:val="1"/>
      <w:numFmt w:val="bullet"/>
      <w:lvlText w:val=""/>
      <w:lvlJc w:val="left"/>
      <w:pPr>
        <w:tabs>
          <w:tab w:val="num" w:pos="348"/>
        </w:tabs>
        <w:ind w:left="348" w:hanging="348"/>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D11569B"/>
    <w:multiLevelType w:val="hybridMultilevel"/>
    <w:tmpl w:val="9740E5E6"/>
    <w:lvl w:ilvl="0" w:tplc="E996C842">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313B7455"/>
    <w:multiLevelType w:val="hybridMultilevel"/>
    <w:tmpl w:val="641CF0F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5">
    <w:nsid w:val="3FCA78F3"/>
    <w:multiLevelType w:val="hybridMultilevel"/>
    <w:tmpl w:val="CB504FFA"/>
    <w:lvl w:ilvl="0" w:tplc="213446D6">
      <w:start w:val="1"/>
      <w:numFmt w:val="bullet"/>
      <w:lvlText w:val=""/>
      <w:lvlJc w:val="left"/>
      <w:pPr>
        <w:tabs>
          <w:tab w:val="num" w:pos="348"/>
        </w:tabs>
        <w:ind w:left="348" w:hanging="348"/>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36D7081"/>
    <w:multiLevelType w:val="hybridMultilevel"/>
    <w:tmpl w:val="B5EA4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B094C4B"/>
    <w:multiLevelType w:val="hybridMultilevel"/>
    <w:tmpl w:val="237CB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C1A4F61"/>
    <w:multiLevelType w:val="hybridMultilevel"/>
    <w:tmpl w:val="173CC41A"/>
    <w:lvl w:ilvl="0" w:tplc="E996C842">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4C423443"/>
    <w:multiLevelType w:val="hybridMultilevel"/>
    <w:tmpl w:val="3A3EC6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6971D3A"/>
    <w:multiLevelType w:val="hybridMultilevel"/>
    <w:tmpl w:val="D3283A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CF030F0"/>
    <w:multiLevelType w:val="hybridMultilevel"/>
    <w:tmpl w:val="780AAC76"/>
    <w:lvl w:ilvl="0" w:tplc="213446D6">
      <w:start w:val="1"/>
      <w:numFmt w:val="bullet"/>
      <w:lvlText w:val=""/>
      <w:lvlJc w:val="left"/>
      <w:pPr>
        <w:tabs>
          <w:tab w:val="num" w:pos="348"/>
        </w:tabs>
        <w:ind w:left="348" w:hanging="348"/>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B02C4A"/>
    <w:multiLevelType w:val="hybridMultilevel"/>
    <w:tmpl w:val="9D787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AF46304"/>
    <w:multiLevelType w:val="hybridMultilevel"/>
    <w:tmpl w:val="A880D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D00732D"/>
    <w:multiLevelType w:val="hybridMultilevel"/>
    <w:tmpl w:val="93F0E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8B639A3"/>
    <w:multiLevelType w:val="hybridMultilevel"/>
    <w:tmpl w:val="ABA686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11"/>
  </w:num>
  <w:num w:numId="5">
    <w:abstractNumId w:val="5"/>
  </w:num>
  <w:num w:numId="6">
    <w:abstractNumId w:val="2"/>
  </w:num>
  <w:num w:numId="7">
    <w:abstractNumId w:val="14"/>
  </w:num>
  <w:num w:numId="8">
    <w:abstractNumId w:val="6"/>
  </w:num>
  <w:num w:numId="9">
    <w:abstractNumId w:val="10"/>
  </w:num>
  <w:num w:numId="10">
    <w:abstractNumId w:val="9"/>
  </w:num>
  <w:num w:numId="11">
    <w:abstractNumId w:val="4"/>
  </w:num>
  <w:num w:numId="12">
    <w:abstractNumId w:val="12"/>
  </w:num>
  <w:num w:numId="13">
    <w:abstractNumId w:val="7"/>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spelling="clean"/>
  <w:attachedTemplate r:id="rId1"/>
  <w:stylePaneFormatFilter w:val="3F01"/>
  <w:defaultTabStop w:val="720"/>
  <w:autoHyphenation/>
  <w:hyphenationZone w:val="284"/>
  <w:doNotHyphenateCaps/>
  <w:evenAndOddHeaders/>
  <w:noPunctuationKerning/>
  <w:characterSpacingControl w:val="doNotCompress"/>
  <w:hdrShapeDefaults>
    <o:shapedefaults v:ext="edit" spidmax="14338"/>
  </w:hdrShapeDefaults>
  <w:footnotePr>
    <w:footnote w:id="-1"/>
    <w:footnote w:id="0"/>
  </w:footnotePr>
  <w:endnotePr>
    <w:endnote w:id="-1"/>
    <w:endnote w:id="0"/>
  </w:endnotePr>
  <w:compat/>
  <w:rsids>
    <w:rsidRoot w:val="00860846"/>
    <w:rsid w:val="00001FA2"/>
    <w:rsid w:val="00002CA7"/>
    <w:rsid w:val="000038E8"/>
    <w:rsid w:val="00003E7D"/>
    <w:rsid w:val="00004132"/>
    <w:rsid w:val="000046CC"/>
    <w:rsid w:val="00005975"/>
    <w:rsid w:val="000061BC"/>
    <w:rsid w:val="00006369"/>
    <w:rsid w:val="00007AB1"/>
    <w:rsid w:val="00011AC2"/>
    <w:rsid w:val="000129E6"/>
    <w:rsid w:val="00014BC9"/>
    <w:rsid w:val="00017527"/>
    <w:rsid w:val="00020E7B"/>
    <w:rsid w:val="0002134F"/>
    <w:rsid w:val="00024500"/>
    <w:rsid w:val="000262CF"/>
    <w:rsid w:val="0003403C"/>
    <w:rsid w:val="00036278"/>
    <w:rsid w:val="0003754B"/>
    <w:rsid w:val="00041061"/>
    <w:rsid w:val="000426BD"/>
    <w:rsid w:val="000435CB"/>
    <w:rsid w:val="00043F75"/>
    <w:rsid w:val="00044B79"/>
    <w:rsid w:val="0004598E"/>
    <w:rsid w:val="0004768D"/>
    <w:rsid w:val="00047F2B"/>
    <w:rsid w:val="0005295B"/>
    <w:rsid w:val="000544AC"/>
    <w:rsid w:val="0005626E"/>
    <w:rsid w:val="000564DE"/>
    <w:rsid w:val="00063D3D"/>
    <w:rsid w:val="00071BD7"/>
    <w:rsid w:val="00072809"/>
    <w:rsid w:val="00073ACF"/>
    <w:rsid w:val="00076798"/>
    <w:rsid w:val="00082CBA"/>
    <w:rsid w:val="00082E83"/>
    <w:rsid w:val="000831F0"/>
    <w:rsid w:val="000901EE"/>
    <w:rsid w:val="0009240F"/>
    <w:rsid w:val="00094C9E"/>
    <w:rsid w:val="00097BAC"/>
    <w:rsid w:val="000A0165"/>
    <w:rsid w:val="000A4791"/>
    <w:rsid w:val="000A6B22"/>
    <w:rsid w:val="000B1A75"/>
    <w:rsid w:val="000B2ACB"/>
    <w:rsid w:val="000B34AF"/>
    <w:rsid w:val="000B34FE"/>
    <w:rsid w:val="000B3D66"/>
    <w:rsid w:val="000B3E70"/>
    <w:rsid w:val="000B627B"/>
    <w:rsid w:val="000B71B1"/>
    <w:rsid w:val="000C46E6"/>
    <w:rsid w:val="000C6BC0"/>
    <w:rsid w:val="000C6FDE"/>
    <w:rsid w:val="000D3B0B"/>
    <w:rsid w:val="000D3B3F"/>
    <w:rsid w:val="000D3F4E"/>
    <w:rsid w:val="000D5094"/>
    <w:rsid w:val="000D654B"/>
    <w:rsid w:val="000D68DC"/>
    <w:rsid w:val="000E7FE0"/>
    <w:rsid w:val="000F1B8C"/>
    <w:rsid w:val="000F2D44"/>
    <w:rsid w:val="000F60D0"/>
    <w:rsid w:val="00101B6F"/>
    <w:rsid w:val="00102031"/>
    <w:rsid w:val="0010395E"/>
    <w:rsid w:val="001042E7"/>
    <w:rsid w:val="0011316D"/>
    <w:rsid w:val="00115ED9"/>
    <w:rsid w:val="0011705A"/>
    <w:rsid w:val="001172AF"/>
    <w:rsid w:val="001222FA"/>
    <w:rsid w:val="0012247C"/>
    <w:rsid w:val="0012359B"/>
    <w:rsid w:val="00123C75"/>
    <w:rsid w:val="00125951"/>
    <w:rsid w:val="00125F40"/>
    <w:rsid w:val="001275C3"/>
    <w:rsid w:val="00132BB5"/>
    <w:rsid w:val="00134978"/>
    <w:rsid w:val="00134A4C"/>
    <w:rsid w:val="00135757"/>
    <w:rsid w:val="0013587E"/>
    <w:rsid w:val="00135F46"/>
    <w:rsid w:val="00136025"/>
    <w:rsid w:val="0013735C"/>
    <w:rsid w:val="00137C7D"/>
    <w:rsid w:val="001402FF"/>
    <w:rsid w:val="00140DEC"/>
    <w:rsid w:val="00141F97"/>
    <w:rsid w:val="00150362"/>
    <w:rsid w:val="00151397"/>
    <w:rsid w:val="001515D4"/>
    <w:rsid w:val="00152CD5"/>
    <w:rsid w:val="001555CA"/>
    <w:rsid w:val="00157ECC"/>
    <w:rsid w:val="0016142C"/>
    <w:rsid w:val="00161526"/>
    <w:rsid w:val="00163356"/>
    <w:rsid w:val="0016411D"/>
    <w:rsid w:val="001667B5"/>
    <w:rsid w:val="00167013"/>
    <w:rsid w:val="00167707"/>
    <w:rsid w:val="00173BBA"/>
    <w:rsid w:val="00173F9D"/>
    <w:rsid w:val="0017639A"/>
    <w:rsid w:val="001769F5"/>
    <w:rsid w:val="001834F6"/>
    <w:rsid w:val="001845E5"/>
    <w:rsid w:val="001871DD"/>
    <w:rsid w:val="00190132"/>
    <w:rsid w:val="00192266"/>
    <w:rsid w:val="00192541"/>
    <w:rsid w:val="00193A8D"/>
    <w:rsid w:val="001A07EA"/>
    <w:rsid w:val="001A0F07"/>
    <w:rsid w:val="001A4946"/>
    <w:rsid w:val="001B4CAD"/>
    <w:rsid w:val="001B5150"/>
    <w:rsid w:val="001C1769"/>
    <w:rsid w:val="001C2978"/>
    <w:rsid w:val="001C55C2"/>
    <w:rsid w:val="001D0B2E"/>
    <w:rsid w:val="001D1EAE"/>
    <w:rsid w:val="001D2554"/>
    <w:rsid w:val="001D3E14"/>
    <w:rsid w:val="001D40DE"/>
    <w:rsid w:val="001D6731"/>
    <w:rsid w:val="001D7445"/>
    <w:rsid w:val="001E0957"/>
    <w:rsid w:val="001E1A72"/>
    <w:rsid w:val="001E30BC"/>
    <w:rsid w:val="001E369A"/>
    <w:rsid w:val="001E3826"/>
    <w:rsid w:val="001E54D5"/>
    <w:rsid w:val="001E6517"/>
    <w:rsid w:val="001E6694"/>
    <w:rsid w:val="001E7C48"/>
    <w:rsid w:val="001F2298"/>
    <w:rsid w:val="001F40C1"/>
    <w:rsid w:val="001F5301"/>
    <w:rsid w:val="001F5A5F"/>
    <w:rsid w:val="001F6BF6"/>
    <w:rsid w:val="001F7FC1"/>
    <w:rsid w:val="00202E19"/>
    <w:rsid w:val="00203196"/>
    <w:rsid w:val="00205587"/>
    <w:rsid w:val="0020738E"/>
    <w:rsid w:val="00214999"/>
    <w:rsid w:val="00214D58"/>
    <w:rsid w:val="002229EA"/>
    <w:rsid w:val="00224075"/>
    <w:rsid w:val="0022409A"/>
    <w:rsid w:val="002246D7"/>
    <w:rsid w:val="00224726"/>
    <w:rsid w:val="0022772A"/>
    <w:rsid w:val="002340BF"/>
    <w:rsid w:val="002346E0"/>
    <w:rsid w:val="002405AB"/>
    <w:rsid w:val="00240B07"/>
    <w:rsid w:val="00242226"/>
    <w:rsid w:val="00244BFA"/>
    <w:rsid w:val="00245481"/>
    <w:rsid w:val="00245EE3"/>
    <w:rsid w:val="002466A2"/>
    <w:rsid w:val="002474DE"/>
    <w:rsid w:val="002479FC"/>
    <w:rsid w:val="00250F73"/>
    <w:rsid w:val="00253858"/>
    <w:rsid w:val="00255302"/>
    <w:rsid w:val="002562A4"/>
    <w:rsid w:val="00265771"/>
    <w:rsid w:val="0026611E"/>
    <w:rsid w:val="002661AB"/>
    <w:rsid w:val="00266D66"/>
    <w:rsid w:val="002671B1"/>
    <w:rsid w:val="00267558"/>
    <w:rsid w:val="00267C96"/>
    <w:rsid w:val="00270845"/>
    <w:rsid w:val="0027198E"/>
    <w:rsid w:val="002732D7"/>
    <w:rsid w:val="00273620"/>
    <w:rsid w:val="00281193"/>
    <w:rsid w:val="0028493E"/>
    <w:rsid w:val="00285B89"/>
    <w:rsid w:val="00287D2D"/>
    <w:rsid w:val="002904BC"/>
    <w:rsid w:val="00291948"/>
    <w:rsid w:val="002928C0"/>
    <w:rsid w:val="002938E6"/>
    <w:rsid w:val="00295E24"/>
    <w:rsid w:val="002A03DD"/>
    <w:rsid w:val="002A17D6"/>
    <w:rsid w:val="002B3580"/>
    <w:rsid w:val="002B4354"/>
    <w:rsid w:val="002B4A3B"/>
    <w:rsid w:val="002B5ACC"/>
    <w:rsid w:val="002B6331"/>
    <w:rsid w:val="002C0705"/>
    <w:rsid w:val="002C07AF"/>
    <w:rsid w:val="002C196A"/>
    <w:rsid w:val="002C329F"/>
    <w:rsid w:val="002C3862"/>
    <w:rsid w:val="002C427F"/>
    <w:rsid w:val="002C55B7"/>
    <w:rsid w:val="002C7BCE"/>
    <w:rsid w:val="002D155F"/>
    <w:rsid w:val="002D2250"/>
    <w:rsid w:val="002D2509"/>
    <w:rsid w:val="002D38B1"/>
    <w:rsid w:val="002D5EF4"/>
    <w:rsid w:val="002D765B"/>
    <w:rsid w:val="002E0B4C"/>
    <w:rsid w:val="002E1007"/>
    <w:rsid w:val="002E2E8A"/>
    <w:rsid w:val="002E5A0E"/>
    <w:rsid w:val="002E61C5"/>
    <w:rsid w:val="002E61F5"/>
    <w:rsid w:val="002F0109"/>
    <w:rsid w:val="002F0262"/>
    <w:rsid w:val="002F2141"/>
    <w:rsid w:val="003037B1"/>
    <w:rsid w:val="00304BB3"/>
    <w:rsid w:val="00307983"/>
    <w:rsid w:val="00315CDB"/>
    <w:rsid w:val="0032120C"/>
    <w:rsid w:val="0032237C"/>
    <w:rsid w:val="00323299"/>
    <w:rsid w:val="0032485B"/>
    <w:rsid w:val="00324E61"/>
    <w:rsid w:val="00325C72"/>
    <w:rsid w:val="00332C0C"/>
    <w:rsid w:val="00336986"/>
    <w:rsid w:val="00340BC0"/>
    <w:rsid w:val="003425E8"/>
    <w:rsid w:val="003532CC"/>
    <w:rsid w:val="00356263"/>
    <w:rsid w:val="00356DAF"/>
    <w:rsid w:val="003605AA"/>
    <w:rsid w:val="003607A4"/>
    <w:rsid w:val="003626E1"/>
    <w:rsid w:val="00364979"/>
    <w:rsid w:val="00367E33"/>
    <w:rsid w:val="00372964"/>
    <w:rsid w:val="003768C4"/>
    <w:rsid w:val="003769E0"/>
    <w:rsid w:val="00377B88"/>
    <w:rsid w:val="00383BE4"/>
    <w:rsid w:val="00384087"/>
    <w:rsid w:val="00387FF4"/>
    <w:rsid w:val="003942E0"/>
    <w:rsid w:val="00396246"/>
    <w:rsid w:val="003970A8"/>
    <w:rsid w:val="003A0121"/>
    <w:rsid w:val="003A04B1"/>
    <w:rsid w:val="003A28B6"/>
    <w:rsid w:val="003A4785"/>
    <w:rsid w:val="003A6BB5"/>
    <w:rsid w:val="003A6C04"/>
    <w:rsid w:val="003B04FE"/>
    <w:rsid w:val="003B3443"/>
    <w:rsid w:val="003B56EB"/>
    <w:rsid w:val="003B594D"/>
    <w:rsid w:val="003B68A6"/>
    <w:rsid w:val="003B6A95"/>
    <w:rsid w:val="003C0FD3"/>
    <w:rsid w:val="003C2716"/>
    <w:rsid w:val="003C2900"/>
    <w:rsid w:val="003C4FD5"/>
    <w:rsid w:val="003C5089"/>
    <w:rsid w:val="003C5EC2"/>
    <w:rsid w:val="003C60AF"/>
    <w:rsid w:val="003C6A93"/>
    <w:rsid w:val="003C722C"/>
    <w:rsid w:val="003C728A"/>
    <w:rsid w:val="003C7A4A"/>
    <w:rsid w:val="003D057C"/>
    <w:rsid w:val="003D161F"/>
    <w:rsid w:val="003D2883"/>
    <w:rsid w:val="003D2E4C"/>
    <w:rsid w:val="003D3001"/>
    <w:rsid w:val="003E64E6"/>
    <w:rsid w:val="003E788A"/>
    <w:rsid w:val="003F111F"/>
    <w:rsid w:val="003F1E98"/>
    <w:rsid w:val="003F5799"/>
    <w:rsid w:val="00400054"/>
    <w:rsid w:val="004026BE"/>
    <w:rsid w:val="00402FA5"/>
    <w:rsid w:val="00404193"/>
    <w:rsid w:val="00405685"/>
    <w:rsid w:val="00407E8A"/>
    <w:rsid w:val="00410BB0"/>
    <w:rsid w:val="00412ED6"/>
    <w:rsid w:val="00415389"/>
    <w:rsid w:val="0041612A"/>
    <w:rsid w:val="00416583"/>
    <w:rsid w:val="0041765F"/>
    <w:rsid w:val="004208EC"/>
    <w:rsid w:val="00420F5A"/>
    <w:rsid w:val="004213BC"/>
    <w:rsid w:val="00426931"/>
    <w:rsid w:val="004305C1"/>
    <w:rsid w:val="004311BD"/>
    <w:rsid w:val="00431E16"/>
    <w:rsid w:val="00432866"/>
    <w:rsid w:val="00432BA1"/>
    <w:rsid w:val="00432C71"/>
    <w:rsid w:val="0043398F"/>
    <w:rsid w:val="00436BD7"/>
    <w:rsid w:val="004422E3"/>
    <w:rsid w:val="00443CB8"/>
    <w:rsid w:val="0044507F"/>
    <w:rsid w:val="0044685C"/>
    <w:rsid w:val="0044693A"/>
    <w:rsid w:val="00452B37"/>
    <w:rsid w:val="00453DB7"/>
    <w:rsid w:val="00461479"/>
    <w:rsid w:val="0046298C"/>
    <w:rsid w:val="00462B54"/>
    <w:rsid w:val="004636DB"/>
    <w:rsid w:val="00465096"/>
    <w:rsid w:val="00467C1A"/>
    <w:rsid w:val="004701EF"/>
    <w:rsid w:val="0047024F"/>
    <w:rsid w:val="00470670"/>
    <w:rsid w:val="00474639"/>
    <w:rsid w:val="0047467E"/>
    <w:rsid w:val="00476C30"/>
    <w:rsid w:val="0047741C"/>
    <w:rsid w:val="00477B90"/>
    <w:rsid w:val="00480004"/>
    <w:rsid w:val="00480D2F"/>
    <w:rsid w:val="004856C8"/>
    <w:rsid w:val="00485746"/>
    <w:rsid w:val="00486C3F"/>
    <w:rsid w:val="0049303C"/>
    <w:rsid w:val="00494B40"/>
    <w:rsid w:val="00497E3F"/>
    <w:rsid w:val="004A1DA1"/>
    <w:rsid w:val="004A28F8"/>
    <w:rsid w:val="004A29A4"/>
    <w:rsid w:val="004A2EDA"/>
    <w:rsid w:val="004A5AF3"/>
    <w:rsid w:val="004A5B90"/>
    <w:rsid w:val="004A6453"/>
    <w:rsid w:val="004B0578"/>
    <w:rsid w:val="004B05F0"/>
    <w:rsid w:val="004B0D06"/>
    <w:rsid w:val="004B11FE"/>
    <w:rsid w:val="004B6A5A"/>
    <w:rsid w:val="004B6DE9"/>
    <w:rsid w:val="004C0531"/>
    <w:rsid w:val="004C3FDC"/>
    <w:rsid w:val="004C42C5"/>
    <w:rsid w:val="004C5BC0"/>
    <w:rsid w:val="004C5FB0"/>
    <w:rsid w:val="004C6532"/>
    <w:rsid w:val="004D2E4D"/>
    <w:rsid w:val="004D569F"/>
    <w:rsid w:val="004D7CD3"/>
    <w:rsid w:val="004E352A"/>
    <w:rsid w:val="004E558C"/>
    <w:rsid w:val="004E61E7"/>
    <w:rsid w:val="004E69E9"/>
    <w:rsid w:val="004E6C31"/>
    <w:rsid w:val="004E7810"/>
    <w:rsid w:val="004F0EDB"/>
    <w:rsid w:val="004F2246"/>
    <w:rsid w:val="004F40E8"/>
    <w:rsid w:val="004F4F20"/>
    <w:rsid w:val="004F586E"/>
    <w:rsid w:val="004F61CF"/>
    <w:rsid w:val="00500317"/>
    <w:rsid w:val="005011FE"/>
    <w:rsid w:val="0050219E"/>
    <w:rsid w:val="00504220"/>
    <w:rsid w:val="0051116F"/>
    <w:rsid w:val="00513282"/>
    <w:rsid w:val="005145B1"/>
    <w:rsid w:val="005153B4"/>
    <w:rsid w:val="005167C9"/>
    <w:rsid w:val="005177B5"/>
    <w:rsid w:val="00522B02"/>
    <w:rsid w:val="00530D3D"/>
    <w:rsid w:val="005310DB"/>
    <w:rsid w:val="0053639F"/>
    <w:rsid w:val="00536994"/>
    <w:rsid w:val="00536DA1"/>
    <w:rsid w:val="00537E36"/>
    <w:rsid w:val="00537E81"/>
    <w:rsid w:val="00541A2D"/>
    <w:rsid w:val="0054665B"/>
    <w:rsid w:val="00546768"/>
    <w:rsid w:val="005477BF"/>
    <w:rsid w:val="005506DB"/>
    <w:rsid w:val="005517F1"/>
    <w:rsid w:val="0055508B"/>
    <w:rsid w:val="00555CFC"/>
    <w:rsid w:val="00556BFB"/>
    <w:rsid w:val="005572EE"/>
    <w:rsid w:val="00560705"/>
    <w:rsid w:val="0056106D"/>
    <w:rsid w:val="00563667"/>
    <w:rsid w:val="00570539"/>
    <w:rsid w:val="00570B12"/>
    <w:rsid w:val="005721C8"/>
    <w:rsid w:val="00576F35"/>
    <w:rsid w:val="00585274"/>
    <w:rsid w:val="00586582"/>
    <w:rsid w:val="0058770F"/>
    <w:rsid w:val="00587FC2"/>
    <w:rsid w:val="0059048B"/>
    <w:rsid w:val="00592724"/>
    <w:rsid w:val="00593F37"/>
    <w:rsid w:val="00594043"/>
    <w:rsid w:val="0059518D"/>
    <w:rsid w:val="00597CE0"/>
    <w:rsid w:val="005A309B"/>
    <w:rsid w:val="005A43D1"/>
    <w:rsid w:val="005A5369"/>
    <w:rsid w:val="005A5CA5"/>
    <w:rsid w:val="005A6F27"/>
    <w:rsid w:val="005B11A9"/>
    <w:rsid w:val="005B1305"/>
    <w:rsid w:val="005B13E3"/>
    <w:rsid w:val="005B258A"/>
    <w:rsid w:val="005B5E94"/>
    <w:rsid w:val="005B7BF4"/>
    <w:rsid w:val="005B7E50"/>
    <w:rsid w:val="005C05E1"/>
    <w:rsid w:val="005C06E8"/>
    <w:rsid w:val="005C0ED0"/>
    <w:rsid w:val="005C2950"/>
    <w:rsid w:val="005C2D49"/>
    <w:rsid w:val="005C3A37"/>
    <w:rsid w:val="005C3B7B"/>
    <w:rsid w:val="005C41E3"/>
    <w:rsid w:val="005C45CE"/>
    <w:rsid w:val="005C5924"/>
    <w:rsid w:val="005D4F46"/>
    <w:rsid w:val="005D658E"/>
    <w:rsid w:val="005E1226"/>
    <w:rsid w:val="005E22A8"/>
    <w:rsid w:val="005E4097"/>
    <w:rsid w:val="005E56B1"/>
    <w:rsid w:val="005E5B3E"/>
    <w:rsid w:val="005E666E"/>
    <w:rsid w:val="005F0C5A"/>
    <w:rsid w:val="005F0FD9"/>
    <w:rsid w:val="005F1B3A"/>
    <w:rsid w:val="005F50F8"/>
    <w:rsid w:val="005F539E"/>
    <w:rsid w:val="005F576F"/>
    <w:rsid w:val="0060029A"/>
    <w:rsid w:val="006007C7"/>
    <w:rsid w:val="00603B5C"/>
    <w:rsid w:val="00605562"/>
    <w:rsid w:val="00610DA8"/>
    <w:rsid w:val="00611503"/>
    <w:rsid w:val="00611968"/>
    <w:rsid w:val="006167DA"/>
    <w:rsid w:val="00621A89"/>
    <w:rsid w:val="00623AA6"/>
    <w:rsid w:val="0062475D"/>
    <w:rsid w:val="00625C00"/>
    <w:rsid w:val="00632C26"/>
    <w:rsid w:val="00632E72"/>
    <w:rsid w:val="006334A9"/>
    <w:rsid w:val="00634571"/>
    <w:rsid w:val="006353BA"/>
    <w:rsid w:val="006358E1"/>
    <w:rsid w:val="006361BE"/>
    <w:rsid w:val="00636A8C"/>
    <w:rsid w:val="00640B72"/>
    <w:rsid w:val="0064247C"/>
    <w:rsid w:val="00644D95"/>
    <w:rsid w:val="00650DE7"/>
    <w:rsid w:val="0065353D"/>
    <w:rsid w:val="00654049"/>
    <w:rsid w:val="00654A44"/>
    <w:rsid w:val="006574CA"/>
    <w:rsid w:val="00657834"/>
    <w:rsid w:val="00660D6A"/>
    <w:rsid w:val="006626BA"/>
    <w:rsid w:val="006664BE"/>
    <w:rsid w:val="0066673B"/>
    <w:rsid w:val="00666C47"/>
    <w:rsid w:val="0067224C"/>
    <w:rsid w:val="006731AD"/>
    <w:rsid w:val="00673738"/>
    <w:rsid w:val="0067703A"/>
    <w:rsid w:val="00677364"/>
    <w:rsid w:val="00677E3C"/>
    <w:rsid w:val="006842BA"/>
    <w:rsid w:val="006847E1"/>
    <w:rsid w:val="006848D7"/>
    <w:rsid w:val="006862AB"/>
    <w:rsid w:val="00687B62"/>
    <w:rsid w:val="006926C0"/>
    <w:rsid w:val="0069527E"/>
    <w:rsid w:val="00697593"/>
    <w:rsid w:val="006A0379"/>
    <w:rsid w:val="006A1F2A"/>
    <w:rsid w:val="006A2399"/>
    <w:rsid w:val="006A3B30"/>
    <w:rsid w:val="006A58BF"/>
    <w:rsid w:val="006A7704"/>
    <w:rsid w:val="006B2382"/>
    <w:rsid w:val="006B2D58"/>
    <w:rsid w:val="006B3448"/>
    <w:rsid w:val="006B364C"/>
    <w:rsid w:val="006B406D"/>
    <w:rsid w:val="006B43F4"/>
    <w:rsid w:val="006B48F6"/>
    <w:rsid w:val="006B5804"/>
    <w:rsid w:val="006C1C9F"/>
    <w:rsid w:val="006C3E24"/>
    <w:rsid w:val="006C3EE8"/>
    <w:rsid w:val="006C460B"/>
    <w:rsid w:val="006C5FE3"/>
    <w:rsid w:val="006C693D"/>
    <w:rsid w:val="006C7E03"/>
    <w:rsid w:val="006D143E"/>
    <w:rsid w:val="006D14BF"/>
    <w:rsid w:val="006D3F64"/>
    <w:rsid w:val="006D7EF3"/>
    <w:rsid w:val="006E0C89"/>
    <w:rsid w:val="006E150E"/>
    <w:rsid w:val="006E234F"/>
    <w:rsid w:val="006E4375"/>
    <w:rsid w:val="006E6CEB"/>
    <w:rsid w:val="006E785F"/>
    <w:rsid w:val="006F02A5"/>
    <w:rsid w:val="006F07B4"/>
    <w:rsid w:val="006F0E59"/>
    <w:rsid w:val="006F1BB6"/>
    <w:rsid w:val="006F1F1A"/>
    <w:rsid w:val="006F447A"/>
    <w:rsid w:val="006F7B02"/>
    <w:rsid w:val="00703159"/>
    <w:rsid w:val="007033FB"/>
    <w:rsid w:val="0070623A"/>
    <w:rsid w:val="007068A1"/>
    <w:rsid w:val="00706C65"/>
    <w:rsid w:val="00707015"/>
    <w:rsid w:val="0071039D"/>
    <w:rsid w:val="007104A3"/>
    <w:rsid w:val="00712317"/>
    <w:rsid w:val="0071361E"/>
    <w:rsid w:val="00715C5B"/>
    <w:rsid w:val="00717243"/>
    <w:rsid w:val="007277C8"/>
    <w:rsid w:val="00732208"/>
    <w:rsid w:val="007322B1"/>
    <w:rsid w:val="00733486"/>
    <w:rsid w:val="00733B7C"/>
    <w:rsid w:val="0073448A"/>
    <w:rsid w:val="00734B88"/>
    <w:rsid w:val="00734D83"/>
    <w:rsid w:val="00737CA2"/>
    <w:rsid w:val="00740CA4"/>
    <w:rsid w:val="00746427"/>
    <w:rsid w:val="0074679A"/>
    <w:rsid w:val="00746965"/>
    <w:rsid w:val="00747539"/>
    <w:rsid w:val="00750980"/>
    <w:rsid w:val="00751596"/>
    <w:rsid w:val="00751882"/>
    <w:rsid w:val="00752917"/>
    <w:rsid w:val="00754EF0"/>
    <w:rsid w:val="007562FB"/>
    <w:rsid w:val="007573D4"/>
    <w:rsid w:val="00757655"/>
    <w:rsid w:val="00757F0B"/>
    <w:rsid w:val="007608A8"/>
    <w:rsid w:val="00761396"/>
    <w:rsid w:val="007704E8"/>
    <w:rsid w:val="00770593"/>
    <w:rsid w:val="007734E6"/>
    <w:rsid w:val="00773B61"/>
    <w:rsid w:val="00775607"/>
    <w:rsid w:val="00775D36"/>
    <w:rsid w:val="00776303"/>
    <w:rsid w:val="007767DE"/>
    <w:rsid w:val="00784606"/>
    <w:rsid w:val="00784EAD"/>
    <w:rsid w:val="007861B6"/>
    <w:rsid w:val="0078652F"/>
    <w:rsid w:val="00790AC5"/>
    <w:rsid w:val="00791E86"/>
    <w:rsid w:val="00794391"/>
    <w:rsid w:val="00797129"/>
    <w:rsid w:val="007979E4"/>
    <w:rsid w:val="007A0160"/>
    <w:rsid w:val="007A143F"/>
    <w:rsid w:val="007A4C78"/>
    <w:rsid w:val="007A5564"/>
    <w:rsid w:val="007A5DC4"/>
    <w:rsid w:val="007A649C"/>
    <w:rsid w:val="007B0172"/>
    <w:rsid w:val="007B0FC5"/>
    <w:rsid w:val="007B27A4"/>
    <w:rsid w:val="007B6D27"/>
    <w:rsid w:val="007C10CB"/>
    <w:rsid w:val="007C2818"/>
    <w:rsid w:val="007C2CC7"/>
    <w:rsid w:val="007C4F5E"/>
    <w:rsid w:val="007D186A"/>
    <w:rsid w:val="007D18C1"/>
    <w:rsid w:val="007D5F14"/>
    <w:rsid w:val="007D5FE9"/>
    <w:rsid w:val="007D63FC"/>
    <w:rsid w:val="007D7BD6"/>
    <w:rsid w:val="007D7D6E"/>
    <w:rsid w:val="007E208A"/>
    <w:rsid w:val="007E2FE3"/>
    <w:rsid w:val="007E3A02"/>
    <w:rsid w:val="007E5097"/>
    <w:rsid w:val="007E5C2C"/>
    <w:rsid w:val="007E5E73"/>
    <w:rsid w:val="007E621A"/>
    <w:rsid w:val="007F4D16"/>
    <w:rsid w:val="007F5BBF"/>
    <w:rsid w:val="008013C1"/>
    <w:rsid w:val="00801691"/>
    <w:rsid w:val="00803626"/>
    <w:rsid w:val="00805A99"/>
    <w:rsid w:val="008067A2"/>
    <w:rsid w:val="00807370"/>
    <w:rsid w:val="00807678"/>
    <w:rsid w:val="00817063"/>
    <w:rsid w:val="00820BB9"/>
    <w:rsid w:val="0082104D"/>
    <w:rsid w:val="008213D1"/>
    <w:rsid w:val="00821F6E"/>
    <w:rsid w:val="008230B1"/>
    <w:rsid w:val="00825198"/>
    <w:rsid w:val="008252EE"/>
    <w:rsid w:val="00835387"/>
    <w:rsid w:val="00836608"/>
    <w:rsid w:val="00837F11"/>
    <w:rsid w:val="00840471"/>
    <w:rsid w:val="008409E0"/>
    <w:rsid w:val="00841D02"/>
    <w:rsid w:val="0084230A"/>
    <w:rsid w:val="00843014"/>
    <w:rsid w:val="00843D93"/>
    <w:rsid w:val="00843E22"/>
    <w:rsid w:val="008449BC"/>
    <w:rsid w:val="0084675A"/>
    <w:rsid w:val="00846AC0"/>
    <w:rsid w:val="00852B58"/>
    <w:rsid w:val="008568F9"/>
    <w:rsid w:val="008578AA"/>
    <w:rsid w:val="008605F8"/>
    <w:rsid w:val="00860846"/>
    <w:rsid w:val="00860E95"/>
    <w:rsid w:val="00860EC0"/>
    <w:rsid w:val="00861E67"/>
    <w:rsid w:val="00865D88"/>
    <w:rsid w:val="00871BBE"/>
    <w:rsid w:val="00872045"/>
    <w:rsid w:val="00872C81"/>
    <w:rsid w:val="00875F08"/>
    <w:rsid w:val="008776EB"/>
    <w:rsid w:val="00881E6A"/>
    <w:rsid w:val="008854F6"/>
    <w:rsid w:val="008857B4"/>
    <w:rsid w:val="00886F9A"/>
    <w:rsid w:val="00887846"/>
    <w:rsid w:val="00891D3A"/>
    <w:rsid w:val="00893069"/>
    <w:rsid w:val="008941B6"/>
    <w:rsid w:val="008A057E"/>
    <w:rsid w:val="008A07B5"/>
    <w:rsid w:val="008A21EF"/>
    <w:rsid w:val="008A2CEC"/>
    <w:rsid w:val="008A588A"/>
    <w:rsid w:val="008A5C18"/>
    <w:rsid w:val="008A7C43"/>
    <w:rsid w:val="008B0566"/>
    <w:rsid w:val="008B0C87"/>
    <w:rsid w:val="008B7EA0"/>
    <w:rsid w:val="008C12F7"/>
    <w:rsid w:val="008C2894"/>
    <w:rsid w:val="008C389E"/>
    <w:rsid w:val="008C3BFB"/>
    <w:rsid w:val="008C3C5C"/>
    <w:rsid w:val="008C44E6"/>
    <w:rsid w:val="008C52C7"/>
    <w:rsid w:val="008C6FD3"/>
    <w:rsid w:val="008D7E18"/>
    <w:rsid w:val="008E0CC4"/>
    <w:rsid w:val="008E3F61"/>
    <w:rsid w:val="008E493D"/>
    <w:rsid w:val="008E562B"/>
    <w:rsid w:val="008E58C0"/>
    <w:rsid w:val="008E6600"/>
    <w:rsid w:val="008E6797"/>
    <w:rsid w:val="008E7888"/>
    <w:rsid w:val="008F346F"/>
    <w:rsid w:val="008F7198"/>
    <w:rsid w:val="008F783E"/>
    <w:rsid w:val="00905617"/>
    <w:rsid w:val="00905F63"/>
    <w:rsid w:val="00907319"/>
    <w:rsid w:val="00907638"/>
    <w:rsid w:val="00910A5E"/>
    <w:rsid w:val="00911368"/>
    <w:rsid w:val="00915881"/>
    <w:rsid w:val="0091737B"/>
    <w:rsid w:val="00917AAB"/>
    <w:rsid w:val="00921174"/>
    <w:rsid w:val="00923FB9"/>
    <w:rsid w:val="00924A2B"/>
    <w:rsid w:val="00927595"/>
    <w:rsid w:val="00927A17"/>
    <w:rsid w:val="00931687"/>
    <w:rsid w:val="009355A1"/>
    <w:rsid w:val="009367F7"/>
    <w:rsid w:val="0094384B"/>
    <w:rsid w:val="00947CC9"/>
    <w:rsid w:val="00950A4E"/>
    <w:rsid w:val="00952DB6"/>
    <w:rsid w:val="00953FD4"/>
    <w:rsid w:val="00955746"/>
    <w:rsid w:val="0096190E"/>
    <w:rsid w:val="0096257D"/>
    <w:rsid w:val="009633D0"/>
    <w:rsid w:val="00964122"/>
    <w:rsid w:val="0096606F"/>
    <w:rsid w:val="00966494"/>
    <w:rsid w:val="009711DD"/>
    <w:rsid w:val="00972631"/>
    <w:rsid w:val="009736F9"/>
    <w:rsid w:val="00976125"/>
    <w:rsid w:val="00976D6E"/>
    <w:rsid w:val="00980327"/>
    <w:rsid w:val="00980CA4"/>
    <w:rsid w:val="00985D7E"/>
    <w:rsid w:val="009954EE"/>
    <w:rsid w:val="009A05C9"/>
    <w:rsid w:val="009A0A86"/>
    <w:rsid w:val="009A5E50"/>
    <w:rsid w:val="009A60A0"/>
    <w:rsid w:val="009B2352"/>
    <w:rsid w:val="009B346B"/>
    <w:rsid w:val="009B3AE7"/>
    <w:rsid w:val="009B72E5"/>
    <w:rsid w:val="009C19A8"/>
    <w:rsid w:val="009C31AC"/>
    <w:rsid w:val="009C5D60"/>
    <w:rsid w:val="009C696E"/>
    <w:rsid w:val="009D4085"/>
    <w:rsid w:val="009D60C5"/>
    <w:rsid w:val="009D6A81"/>
    <w:rsid w:val="009D7698"/>
    <w:rsid w:val="009D7A15"/>
    <w:rsid w:val="009E3D24"/>
    <w:rsid w:val="009F0B60"/>
    <w:rsid w:val="009F2DFC"/>
    <w:rsid w:val="00A00EA7"/>
    <w:rsid w:val="00A013C1"/>
    <w:rsid w:val="00A0266F"/>
    <w:rsid w:val="00A04705"/>
    <w:rsid w:val="00A10511"/>
    <w:rsid w:val="00A10816"/>
    <w:rsid w:val="00A11ABC"/>
    <w:rsid w:val="00A122DC"/>
    <w:rsid w:val="00A13945"/>
    <w:rsid w:val="00A149A9"/>
    <w:rsid w:val="00A15BE3"/>
    <w:rsid w:val="00A1714A"/>
    <w:rsid w:val="00A17D48"/>
    <w:rsid w:val="00A21532"/>
    <w:rsid w:val="00A21B8D"/>
    <w:rsid w:val="00A22845"/>
    <w:rsid w:val="00A258AB"/>
    <w:rsid w:val="00A269E8"/>
    <w:rsid w:val="00A26D86"/>
    <w:rsid w:val="00A3085B"/>
    <w:rsid w:val="00A35E06"/>
    <w:rsid w:val="00A36159"/>
    <w:rsid w:val="00A37203"/>
    <w:rsid w:val="00A3746D"/>
    <w:rsid w:val="00A37AAE"/>
    <w:rsid w:val="00A407D9"/>
    <w:rsid w:val="00A43525"/>
    <w:rsid w:val="00A455C0"/>
    <w:rsid w:val="00A47039"/>
    <w:rsid w:val="00A544A7"/>
    <w:rsid w:val="00A5650A"/>
    <w:rsid w:val="00A56EA5"/>
    <w:rsid w:val="00A57DE4"/>
    <w:rsid w:val="00A6048A"/>
    <w:rsid w:val="00A609AF"/>
    <w:rsid w:val="00A60EB8"/>
    <w:rsid w:val="00A62E0E"/>
    <w:rsid w:val="00A62E96"/>
    <w:rsid w:val="00A64D99"/>
    <w:rsid w:val="00A67AD1"/>
    <w:rsid w:val="00A701C7"/>
    <w:rsid w:val="00A70B9F"/>
    <w:rsid w:val="00A715A8"/>
    <w:rsid w:val="00A71B80"/>
    <w:rsid w:val="00A77C67"/>
    <w:rsid w:val="00A820FC"/>
    <w:rsid w:val="00A8229C"/>
    <w:rsid w:val="00A82307"/>
    <w:rsid w:val="00A83B52"/>
    <w:rsid w:val="00A83BC8"/>
    <w:rsid w:val="00A86739"/>
    <w:rsid w:val="00A87577"/>
    <w:rsid w:val="00A87588"/>
    <w:rsid w:val="00A876F8"/>
    <w:rsid w:val="00A90304"/>
    <w:rsid w:val="00A90ABD"/>
    <w:rsid w:val="00A90DB0"/>
    <w:rsid w:val="00A919EE"/>
    <w:rsid w:val="00A91E06"/>
    <w:rsid w:val="00A9285F"/>
    <w:rsid w:val="00A967FE"/>
    <w:rsid w:val="00AA3075"/>
    <w:rsid w:val="00AA364E"/>
    <w:rsid w:val="00AA5AF6"/>
    <w:rsid w:val="00AA6B11"/>
    <w:rsid w:val="00AA70C7"/>
    <w:rsid w:val="00AA7394"/>
    <w:rsid w:val="00AA73DA"/>
    <w:rsid w:val="00AB1115"/>
    <w:rsid w:val="00AB2344"/>
    <w:rsid w:val="00AB2E84"/>
    <w:rsid w:val="00AC0012"/>
    <w:rsid w:val="00AC0B5B"/>
    <w:rsid w:val="00AC3F5C"/>
    <w:rsid w:val="00AC745C"/>
    <w:rsid w:val="00AD359B"/>
    <w:rsid w:val="00AD365B"/>
    <w:rsid w:val="00AD38FE"/>
    <w:rsid w:val="00AD5657"/>
    <w:rsid w:val="00AD6941"/>
    <w:rsid w:val="00AD7731"/>
    <w:rsid w:val="00AE11DE"/>
    <w:rsid w:val="00AE1962"/>
    <w:rsid w:val="00AE2212"/>
    <w:rsid w:val="00AE369D"/>
    <w:rsid w:val="00AE7778"/>
    <w:rsid w:val="00AF04CD"/>
    <w:rsid w:val="00AF60D7"/>
    <w:rsid w:val="00AF6B02"/>
    <w:rsid w:val="00AF72F0"/>
    <w:rsid w:val="00B02042"/>
    <w:rsid w:val="00B063C4"/>
    <w:rsid w:val="00B06BAA"/>
    <w:rsid w:val="00B06C91"/>
    <w:rsid w:val="00B071F8"/>
    <w:rsid w:val="00B119F6"/>
    <w:rsid w:val="00B124F8"/>
    <w:rsid w:val="00B13237"/>
    <w:rsid w:val="00B141F3"/>
    <w:rsid w:val="00B16381"/>
    <w:rsid w:val="00B2001A"/>
    <w:rsid w:val="00B22466"/>
    <w:rsid w:val="00B23B40"/>
    <w:rsid w:val="00B23E59"/>
    <w:rsid w:val="00B26E3A"/>
    <w:rsid w:val="00B30E13"/>
    <w:rsid w:val="00B32AD2"/>
    <w:rsid w:val="00B37C2D"/>
    <w:rsid w:val="00B415D3"/>
    <w:rsid w:val="00B416E4"/>
    <w:rsid w:val="00B43C9C"/>
    <w:rsid w:val="00B44EBD"/>
    <w:rsid w:val="00B458F4"/>
    <w:rsid w:val="00B45E34"/>
    <w:rsid w:val="00B5056F"/>
    <w:rsid w:val="00B50FF9"/>
    <w:rsid w:val="00B51444"/>
    <w:rsid w:val="00B514D0"/>
    <w:rsid w:val="00B51A4C"/>
    <w:rsid w:val="00B51B67"/>
    <w:rsid w:val="00B543DE"/>
    <w:rsid w:val="00B558D1"/>
    <w:rsid w:val="00B5773F"/>
    <w:rsid w:val="00B64EB2"/>
    <w:rsid w:val="00B652DA"/>
    <w:rsid w:val="00B67136"/>
    <w:rsid w:val="00B673B8"/>
    <w:rsid w:val="00B70131"/>
    <w:rsid w:val="00B73BD3"/>
    <w:rsid w:val="00B7699D"/>
    <w:rsid w:val="00B7720B"/>
    <w:rsid w:val="00B80B5F"/>
    <w:rsid w:val="00B81457"/>
    <w:rsid w:val="00B8345A"/>
    <w:rsid w:val="00B83975"/>
    <w:rsid w:val="00B84874"/>
    <w:rsid w:val="00B85052"/>
    <w:rsid w:val="00B85791"/>
    <w:rsid w:val="00B86AA8"/>
    <w:rsid w:val="00B872AC"/>
    <w:rsid w:val="00B91733"/>
    <w:rsid w:val="00B939FE"/>
    <w:rsid w:val="00B955C5"/>
    <w:rsid w:val="00BA1396"/>
    <w:rsid w:val="00BA2DF5"/>
    <w:rsid w:val="00BA333B"/>
    <w:rsid w:val="00BA35D1"/>
    <w:rsid w:val="00BA45F7"/>
    <w:rsid w:val="00BB07CE"/>
    <w:rsid w:val="00BB081D"/>
    <w:rsid w:val="00BB0B3D"/>
    <w:rsid w:val="00BB1E7C"/>
    <w:rsid w:val="00BB340A"/>
    <w:rsid w:val="00BB7262"/>
    <w:rsid w:val="00BC16F9"/>
    <w:rsid w:val="00BC5904"/>
    <w:rsid w:val="00BC7686"/>
    <w:rsid w:val="00BD0D18"/>
    <w:rsid w:val="00BD1040"/>
    <w:rsid w:val="00BD14A6"/>
    <w:rsid w:val="00BD1883"/>
    <w:rsid w:val="00BD2073"/>
    <w:rsid w:val="00BD4212"/>
    <w:rsid w:val="00BD428C"/>
    <w:rsid w:val="00BD4DA9"/>
    <w:rsid w:val="00BE0153"/>
    <w:rsid w:val="00BE15F4"/>
    <w:rsid w:val="00BE2A4E"/>
    <w:rsid w:val="00BE6D02"/>
    <w:rsid w:val="00BF2BCE"/>
    <w:rsid w:val="00BF2FA0"/>
    <w:rsid w:val="00BF4161"/>
    <w:rsid w:val="00BF5D48"/>
    <w:rsid w:val="00BF6E76"/>
    <w:rsid w:val="00BF7607"/>
    <w:rsid w:val="00C01376"/>
    <w:rsid w:val="00C02064"/>
    <w:rsid w:val="00C024E4"/>
    <w:rsid w:val="00C03048"/>
    <w:rsid w:val="00C034DC"/>
    <w:rsid w:val="00C044BC"/>
    <w:rsid w:val="00C06042"/>
    <w:rsid w:val="00C10398"/>
    <w:rsid w:val="00C10FA3"/>
    <w:rsid w:val="00C11992"/>
    <w:rsid w:val="00C12908"/>
    <w:rsid w:val="00C14C60"/>
    <w:rsid w:val="00C15C36"/>
    <w:rsid w:val="00C2069F"/>
    <w:rsid w:val="00C21460"/>
    <w:rsid w:val="00C23D0B"/>
    <w:rsid w:val="00C2527D"/>
    <w:rsid w:val="00C25798"/>
    <w:rsid w:val="00C261FF"/>
    <w:rsid w:val="00C2778D"/>
    <w:rsid w:val="00C35071"/>
    <w:rsid w:val="00C36429"/>
    <w:rsid w:val="00C36620"/>
    <w:rsid w:val="00C41035"/>
    <w:rsid w:val="00C42D86"/>
    <w:rsid w:val="00C440FE"/>
    <w:rsid w:val="00C54169"/>
    <w:rsid w:val="00C565F3"/>
    <w:rsid w:val="00C56FF3"/>
    <w:rsid w:val="00C57CE7"/>
    <w:rsid w:val="00C60636"/>
    <w:rsid w:val="00C606A1"/>
    <w:rsid w:val="00C64144"/>
    <w:rsid w:val="00C662DB"/>
    <w:rsid w:val="00C676CA"/>
    <w:rsid w:val="00C707FC"/>
    <w:rsid w:val="00C72738"/>
    <w:rsid w:val="00C74965"/>
    <w:rsid w:val="00C749FF"/>
    <w:rsid w:val="00C7772C"/>
    <w:rsid w:val="00C82BB5"/>
    <w:rsid w:val="00C83BE4"/>
    <w:rsid w:val="00C87FC1"/>
    <w:rsid w:val="00C90D30"/>
    <w:rsid w:val="00C91014"/>
    <w:rsid w:val="00C94137"/>
    <w:rsid w:val="00C94ADF"/>
    <w:rsid w:val="00C95E84"/>
    <w:rsid w:val="00CA0EA4"/>
    <w:rsid w:val="00CA0F94"/>
    <w:rsid w:val="00CA1A3D"/>
    <w:rsid w:val="00CA30ED"/>
    <w:rsid w:val="00CA3847"/>
    <w:rsid w:val="00CA438D"/>
    <w:rsid w:val="00CA4C28"/>
    <w:rsid w:val="00CA5918"/>
    <w:rsid w:val="00CA7B10"/>
    <w:rsid w:val="00CA7D29"/>
    <w:rsid w:val="00CB1FA7"/>
    <w:rsid w:val="00CB3163"/>
    <w:rsid w:val="00CB46AE"/>
    <w:rsid w:val="00CB53B7"/>
    <w:rsid w:val="00CB7575"/>
    <w:rsid w:val="00CC0C2C"/>
    <w:rsid w:val="00CC14A0"/>
    <w:rsid w:val="00CC278A"/>
    <w:rsid w:val="00CC3B14"/>
    <w:rsid w:val="00CC49FF"/>
    <w:rsid w:val="00CC4FE5"/>
    <w:rsid w:val="00CD0976"/>
    <w:rsid w:val="00CD343E"/>
    <w:rsid w:val="00CD3AF6"/>
    <w:rsid w:val="00CE1B0A"/>
    <w:rsid w:val="00CE2116"/>
    <w:rsid w:val="00CE27C2"/>
    <w:rsid w:val="00CE2D84"/>
    <w:rsid w:val="00CE34B5"/>
    <w:rsid w:val="00CE4A5C"/>
    <w:rsid w:val="00CE568C"/>
    <w:rsid w:val="00CE59BC"/>
    <w:rsid w:val="00CF046D"/>
    <w:rsid w:val="00CF3B89"/>
    <w:rsid w:val="00CF3BE5"/>
    <w:rsid w:val="00CF45D3"/>
    <w:rsid w:val="00CF6CDC"/>
    <w:rsid w:val="00CF707E"/>
    <w:rsid w:val="00D00002"/>
    <w:rsid w:val="00D008F4"/>
    <w:rsid w:val="00D00DD2"/>
    <w:rsid w:val="00D0152F"/>
    <w:rsid w:val="00D0190E"/>
    <w:rsid w:val="00D020EE"/>
    <w:rsid w:val="00D10629"/>
    <w:rsid w:val="00D13A44"/>
    <w:rsid w:val="00D15AB8"/>
    <w:rsid w:val="00D15AF6"/>
    <w:rsid w:val="00D16D95"/>
    <w:rsid w:val="00D172EF"/>
    <w:rsid w:val="00D214F0"/>
    <w:rsid w:val="00D22F19"/>
    <w:rsid w:val="00D2596A"/>
    <w:rsid w:val="00D26044"/>
    <w:rsid w:val="00D30B59"/>
    <w:rsid w:val="00D31B01"/>
    <w:rsid w:val="00D33C1C"/>
    <w:rsid w:val="00D33D4F"/>
    <w:rsid w:val="00D368EF"/>
    <w:rsid w:val="00D3711A"/>
    <w:rsid w:val="00D40825"/>
    <w:rsid w:val="00D40B57"/>
    <w:rsid w:val="00D4281F"/>
    <w:rsid w:val="00D43B35"/>
    <w:rsid w:val="00D440F8"/>
    <w:rsid w:val="00D44537"/>
    <w:rsid w:val="00D47DC3"/>
    <w:rsid w:val="00D51FC9"/>
    <w:rsid w:val="00D55DF5"/>
    <w:rsid w:val="00D56F41"/>
    <w:rsid w:val="00D6212E"/>
    <w:rsid w:val="00D64BA0"/>
    <w:rsid w:val="00D661DE"/>
    <w:rsid w:val="00D70372"/>
    <w:rsid w:val="00D704C1"/>
    <w:rsid w:val="00D705FF"/>
    <w:rsid w:val="00D70841"/>
    <w:rsid w:val="00D71250"/>
    <w:rsid w:val="00D721D5"/>
    <w:rsid w:val="00D723B5"/>
    <w:rsid w:val="00D724BE"/>
    <w:rsid w:val="00D72D45"/>
    <w:rsid w:val="00D732BB"/>
    <w:rsid w:val="00D74B65"/>
    <w:rsid w:val="00D8263A"/>
    <w:rsid w:val="00D83ED6"/>
    <w:rsid w:val="00D855EA"/>
    <w:rsid w:val="00D864FF"/>
    <w:rsid w:val="00D8748C"/>
    <w:rsid w:val="00D9187B"/>
    <w:rsid w:val="00D91B5D"/>
    <w:rsid w:val="00D929AC"/>
    <w:rsid w:val="00D938A0"/>
    <w:rsid w:val="00D97783"/>
    <w:rsid w:val="00D977E7"/>
    <w:rsid w:val="00D97965"/>
    <w:rsid w:val="00DA0872"/>
    <w:rsid w:val="00DA0B64"/>
    <w:rsid w:val="00DA2159"/>
    <w:rsid w:val="00DA3B5E"/>
    <w:rsid w:val="00DA54AC"/>
    <w:rsid w:val="00DA589E"/>
    <w:rsid w:val="00DA58B6"/>
    <w:rsid w:val="00DB084C"/>
    <w:rsid w:val="00DB2A5B"/>
    <w:rsid w:val="00DB3136"/>
    <w:rsid w:val="00DB4203"/>
    <w:rsid w:val="00DB4B59"/>
    <w:rsid w:val="00DB6441"/>
    <w:rsid w:val="00DB6BDE"/>
    <w:rsid w:val="00DC0B45"/>
    <w:rsid w:val="00DC20E7"/>
    <w:rsid w:val="00DC24EC"/>
    <w:rsid w:val="00DC2B6A"/>
    <w:rsid w:val="00DC4453"/>
    <w:rsid w:val="00DC696E"/>
    <w:rsid w:val="00DC7CA9"/>
    <w:rsid w:val="00DD0510"/>
    <w:rsid w:val="00DD0F41"/>
    <w:rsid w:val="00DD5716"/>
    <w:rsid w:val="00DD590A"/>
    <w:rsid w:val="00DD75E9"/>
    <w:rsid w:val="00DD770F"/>
    <w:rsid w:val="00DE295A"/>
    <w:rsid w:val="00DE39A6"/>
    <w:rsid w:val="00DE413D"/>
    <w:rsid w:val="00DE4D8C"/>
    <w:rsid w:val="00DE616C"/>
    <w:rsid w:val="00DE7902"/>
    <w:rsid w:val="00DE7BD7"/>
    <w:rsid w:val="00DE7F4C"/>
    <w:rsid w:val="00DF00E1"/>
    <w:rsid w:val="00DF6347"/>
    <w:rsid w:val="00DF7974"/>
    <w:rsid w:val="00E00A3D"/>
    <w:rsid w:val="00E01E9C"/>
    <w:rsid w:val="00E0212C"/>
    <w:rsid w:val="00E021AF"/>
    <w:rsid w:val="00E0253E"/>
    <w:rsid w:val="00E03A1D"/>
    <w:rsid w:val="00E0608A"/>
    <w:rsid w:val="00E06589"/>
    <w:rsid w:val="00E06670"/>
    <w:rsid w:val="00E06F25"/>
    <w:rsid w:val="00E070F2"/>
    <w:rsid w:val="00E13DAC"/>
    <w:rsid w:val="00E15566"/>
    <w:rsid w:val="00E16972"/>
    <w:rsid w:val="00E20EE8"/>
    <w:rsid w:val="00E224A3"/>
    <w:rsid w:val="00E22C08"/>
    <w:rsid w:val="00E24679"/>
    <w:rsid w:val="00E3222E"/>
    <w:rsid w:val="00E32B3A"/>
    <w:rsid w:val="00E40461"/>
    <w:rsid w:val="00E40F2D"/>
    <w:rsid w:val="00E41CAA"/>
    <w:rsid w:val="00E42715"/>
    <w:rsid w:val="00E4357A"/>
    <w:rsid w:val="00E43F2A"/>
    <w:rsid w:val="00E4498A"/>
    <w:rsid w:val="00E4571F"/>
    <w:rsid w:val="00E46209"/>
    <w:rsid w:val="00E5007D"/>
    <w:rsid w:val="00E51A35"/>
    <w:rsid w:val="00E5222C"/>
    <w:rsid w:val="00E524A2"/>
    <w:rsid w:val="00E5286C"/>
    <w:rsid w:val="00E54D4E"/>
    <w:rsid w:val="00E55D48"/>
    <w:rsid w:val="00E56331"/>
    <w:rsid w:val="00E640B3"/>
    <w:rsid w:val="00E65867"/>
    <w:rsid w:val="00E658FB"/>
    <w:rsid w:val="00E67AD7"/>
    <w:rsid w:val="00E72D5B"/>
    <w:rsid w:val="00E73739"/>
    <w:rsid w:val="00E7653B"/>
    <w:rsid w:val="00E765D9"/>
    <w:rsid w:val="00E766BE"/>
    <w:rsid w:val="00E76DF3"/>
    <w:rsid w:val="00E778A0"/>
    <w:rsid w:val="00E8043A"/>
    <w:rsid w:val="00E8093B"/>
    <w:rsid w:val="00E83960"/>
    <w:rsid w:val="00E83A3B"/>
    <w:rsid w:val="00E84860"/>
    <w:rsid w:val="00E84B88"/>
    <w:rsid w:val="00E8786A"/>
    <w:rsid w:val="00E900E1"/>
    <w:rsid w:val="00E904CC"/>
    <w:rsid w:val="00E91754"/>
    <w:rsid w:val="00E924F8"/>
    <w:rsid w:val="00E92551"/>
    <w:rsid w:val="00E9395E"/>
    <w:rsid w:val="00E951A2"/>
    <w:rsid w:val="00E97826"/>
    <w:rsid w:val="00EA153E"/>
    <w:rsid w:val="00EA1811"/>
    <w:rsid w:val="00EA3005"/>
    <w:rsid w:val="00EA369F"/>
    <w:rsid w:val="00EB4AAC"/>
    <w:rsid w:val="00EB67EA"/>
    <w:rsid w:val="00EC16B0"/>
    <w:rsid w:val="00EC46BC"/>
    <w:rsid w:val="00EC514F"/>
    <w:rsid w:val="00EC73E7"/>
    <w:rsid w:val="00ED0A33"/>
    <w:rsid w:val="00ED22B7"/>
    <w:rsid w:val="00ED2365"/>
    <w:rsid w:val="00ED316C"/>
    <w:rsid w:val="00ED3E94"/>
    <w:rsid w:val="00ED40E1"/>
    <w:rsid w:val="00ED4ECA"/>
    <w:rsid w:val="00ED61A6"/>
    <w:rsid w:val="00ED65B7"/>
    <w:rsid w:val="00EE00EF"/>
    <w:rsid w:val="00EE0A94"/>
    <w:rsid w:val="00EE19B9"/>
    <w:rsid w:val="00EE1A89"/>
    <w:rsid w:val="00EE4704"/>
    <w:rsid w:val="00EE68AA"/>
    <w:rsid w:val="00EF257D"/>
    <w:rsid w:val="00EF2E84"/>
    <w:rsid w:val="00EF4C6E"/>
    <w:rsid w:val="00EF4C95"/>
    <w:rsid w:val="00EF68F3"/>
    <w:rsid w:val="00F02631"/>
    <w:rsid w:val="00F026B6"/>
    <w:rsid w:val="00F02B5A"/>
    <w:rsid w:val="00F03C42"/>
    <w:rsid w:val="00F0534B"/>
    <w:rsid w:val="00F05384"/>
    <w:rsid w:val="00F10E29"/>
    <w:rsid w:val="00F11A0B"/>
    <w:rsid w:val="00F1234B"/>
    <w:rsid w:val="00F12840"/>
    <w:rsid w:val="00F158F2"/>
    <w:rsid w:val="00F15D07"/>
    <w:rsid w:val="00F178BF"/>
    <w:rsid w:val="00F22007"/>
    <w:rsid w:val="00F233CC"/>
    <w:rsid w:val="00F23936"/>
    <w:rsid w:val="00F23BDB"/>
    <w:rsid w:val="00F25BF5"/>
    <w:rsid w:val="00F26557"/>
    <w:rsid w:val="00F314C7"/>
    <w:rsid w:val="00F343FC"/>
    <w:rsid w:val="00F35DD0"/>
    <w:rsid w:val="00F36D99"/>
    <w:rsid w:val="00F37B26"/>
    <w:rsid w:val="00F41D67"/>
    <w:rsid w:val="00F43422"/>
    <w:rsid w:val="00F434DB"/>
    <w:rsid w:val="00F43F13"/>
    <w:rsid w:val="00F469A0"/>
    <w:rsid w:val="00F4701B"/>
    <w:rsid w:val="00F47807"/>
    <w:rsid w:val="00F531B2"/>
    <w:rsid w:val="00F5330F"/>
    <w:rsid w:val="00F53494"/>
    <w:rsid w:val="00F5540C"/>
    <w:rsid w:val="00F562C2"/>
    <w:rsid w:val="00F57102"/>
    <w:rsid w:val="00F60CDB"/>
    <w:rsid w:val="00F61D92"/>
    <w:rsid w:val="00F63FF6"/>
    <w:rsid w:val="00F640A3"/>
    <w:rsid w:val="00F64BA6"/>
    <w:rsid w:val="00F64F76"/>
    <w:rsid w:val="00F663E7"/>
    <w:rsid w:val="00F66A80"/>
    <w:rsid w:val="00F71447"/>
    <w:rsid w:val="00F71A3D"/>
    <w:rsid w:val="00F725C1"/>
    <w:rsid w:val="00F729FE"/>
    <w:rsid w:val="00F72B93"/>
    <w:rsid w:val="00F7324A"/>
    <w:rsid w:val="00F7412D"/>
    <w:rsid w:val="00F80997"/>
    <w:rsid w:val="00F80AA6"/>
    <w:rsid w:val="00F80CD2"/>
    <w:rsid w:val="00F855BB"/>
    <w:rsid w:val="00F9237C"/>
    <w:rsid w:val="00F92E41"/>
    <w:rsid w:val="00F94E52"/>
    <w:rsid w:val="00F95435"/>
    <w:rsid w:val="00F96A03"/>
    <w:rsid w:val="00F973C6"/>
    <w:rsid w:val="00FA1DA9"/>
    <w:rsid w:val="00FA3355"/>
    <w:rsid w:val="00FA7108"/>
    <w:rsid w:val="00FA7AA3"/>
    <w:rsid w:val="00FB1816"/>
    <w:rsid w:val="00FB19C7"/>
    <w:rsid w:val="00FB36DF"/>
    <w:rsid w:val="00FB4FF5"/>
    <w:rsid w:val="00FB5560"/>
    <w:rsid w:val="00FB7254"/>
    <w:rsid w:val="00FC0071"/>
    <w:rsid w:val="00FC1D15"/>
    <w:rsid w:val="00FC3E13"/>
    <w:rsid w:val="00FD1707"/>
    <w:rsid w:val="00FD21BC"/>
    <w:rsid w:val="00FD2585"/>
    <w:rsid w:val="00FD306F"/>
    <w:rsid w:val="00FD33F1"/>
    <w:rsid w:val="00FD6E15"/>
    <w:rsid w:val="00FD6F19"/>
    <w:rsid w:val="00FD7862"/>
    <w:rsid w:val="00FE0570"/>
    <w:rsid w:val="00FE16A7"/>
    <w:rsid w:val="00FE2F72"/>
    <w:rsid w:val="00FE359A"/>
    <w:rsid w:val="00FE5141"/>
    <w:rsid w:val="00FE75FD"/>
    <w:rsid w:val="00FF0C67"/>
    <w:rsid w:val="00FF4BAE"/>
    <w:rsid w:val="00FF6185"/>
    <w:rsid w:val="00FF6B1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4C"/>
    <w:rPr>
      <w:sz w:val="24"/>
      <w:szCs w:val="24"/>
    </w:rPr>
  </w:style>
  <w:style w:type="paragraph" w:styleId="1">
    <w:name w:val="heading 1"/>
    <w:basedOn w:val="a"/>
    <w:next w:val="a"/>
    <w:qFormat/>
    <w:rsid w:val="002E0B4C"/>
    <w:pPr>
      <w:keepNext/>
      <w:spacing w:before="240" w:after="60"/>
      <w:outlineLvl w:val="0"/>
    </w:pPr>
    <w:rPr>
      <w:rFonts w:ascii="Arial" w:hAnsi="Arial" w:cs="Arial"/>
      <w:b/>
      <w:bCs/>
      <w:kern w:val="32"/>
      <w:sz w:val="32"/>
      <w:szCs w:val="32"/>
    </w:rPr>
  </w:style>
  <w:style w:type="paragraph" w:styleId="2">
    <w:name w:val="heading 2"/>
    <w:basedOn w:val="a"/>
    <w:next w:val="a"/>
    <w:qFormat/>
    <w:rsid w:val="002E0B4C"/>
    <w:pPr>
      <w:keepNext/>
      <w:spacing w:before="240" w:after="60"/>
      <w:outlineLvl w:val="1"/>
    </w:pPr>
    <w:rPr>
      <w:rFonts w:ascii="Arial" w:hAnsi="Arial" w:cs="Arial"/>
      <w:b/>
      <w:bCs/>
      <w:i/>
      <w:iCs/>
      <w:sz w:val="28"/>
      <w:szCs w:val="28"/>
    </w:rPr>
  </w:style>
  <w:style w:type="paragraph" w:styleId="3">
    <w:name w:val="heading 3"/>
    <w:basedOn w:val="a"/>
    <w:next w:val="a"/>
    <w:qFormat/>
    <w:rsid w:val="002E0B4C"/>
    <w:pPr>
      <w:keepNext/>
      <w:spacing w:before="240" w:after="60"/>
      <w:outlineLvl w:val="2"/>
    </w:pPr>
    <w:rPr>
      <w:rFonts w:ascii="Arial" w:hAnsi="Arial" w:cs="Arial"/>
      <w:b/>
      <w:bCs/>
      <w:sz w:val="26"/>
      <w:szCs w:val="26"/>
    </w:rPr>
  </w:style>
  <w:style w:type="paragraph" w:styleId="4">
    <w:name w:val="heading 4"/>
    <w:basedOn w:val="a"/>
    <w:next w:val="a"/>
    <w:qFormat/>
    <w:rsid w:val="002E0B4C"/>
    <w:pPr>
      <w:keepNext/>
      <w:jc w:val="both"/>
      <w:outlineLvl w:val="3"/>
    </w:pPr>
    <w:rPr>
      <w:rFonts w:ascii="Arial Narrow" w:hAnsi="Arial Narrow"/>
      <w:b/>
      <w:color w:val="003366"/>
      <w:sz w:val="22"/>
      <w:szCs w:val="22"/>
    </w:rPr>
  </w:style>
  <w:style w:type="paragraph" w:styleId="5">
    <w:name w:val="heading 5"/>
    <w:basedOn w:val="a"/>
    <w:next w:val="a"/>
    <w:qFormat/>
    <w:rsid w:val="002E0B4C"/>
    <w:pPr>
      <w:keepNext/>
      <w:jc w:val="both"/>
      <w:outlineLvl w:val="4"/>
    </w:pPr>
    <w:rPr>
      <w:rFonts w:ascii="Arial Narrow" w:hAnsi="Arial Narrow"/>
      <w:b/>
      <w:szCs w:val="22"/>
    </w:rPr>
  </w:style>
  <w:style w:type="paragraph" w:styleId="6">
    <w:name w:val="heading 6"/>
    <w:basedOn w:val="a"/>
    <w:next w:val="a"/>
    <w:qFormat/>
    <w:rsid w:val="002E0B4C"/>
    <w:pPr>
      <w:keepNext/>
      <w:jc w:val="both"/>
      <w:outlineLvl w:val="5"/>
    </w:pPr>
    <w:rPr>
      <w:rFonts w:ascii="Arial Narrow" w:hAnsi="Arial Narrow"/>
      <w:b/>
      <w:sz w:val="22"/>
      <w:szCs w:val="22"/>
    </w:rPr>
  </w:style>
  <w:style w:type="paragraph" w:styleId="7">
    <w:name w:val="heading 7"/>
    <w:basedOn w:val="a"/>
    <w:next w:val="a"/>
    <w:qFormat/>
    <w:rsid w:val="002E0B4C"/>
    <w:pPr>
      <w:keepNext/>
      <w:jc w:val="both"/>
      <w:outlineLvl w:val="6"/>
    </w:pPr>
    <w:rPr>
      <w:rFonts w:ascii="Arial Narrow" w:hAnsi="Arial Narrow"/>
      <w:b/>
      <w:i/>
      <w:sz w:val="22"/>
      <w:szCs w:val="22"/>
    </w:rPr>
  </w:style>
  <w:style w:type="paragraph" w:styleId="8">
    <w:name w:val="heading 8"/>
    <w:basedOn w:val="a"/>
    <w:next w:val="a"/>
    <w:qFormat/>
    <w:rsid w:val="002E0B4C"/>
    <w:pPr>
      <w:keepNext/>
      <w:spacing w:before="100" w:beforeAutospacing="1" w:after="100" w:afterAutospacing="1"/>
      <w:jc w:val="both"/>
      <w:outlineLvl w:val="7"/>
    </w:pPr>
    <w:rPr>
      <w:rFonts w:ascii="Arial Narrow" w:hAnsi="Arial Narrow"/>
      <w:b/>
      <w:sz w:val="16"/>
      <w:szCs w:val="16"/>
    </w:rPr>
  </w:style>
  <w:style w:type="paragraph" w:styleId="9">
    <w:name w:val="heading 9"/>
    <w:basedOn w:val="a"/>
    <w:next w:val="a"/>
    <w:qFormat/>
    <w:rsid w:val="002E0B4C"/>
    <w:pPr>
      <w:keepNext/>
      <w:jc w:val="both"/>
      <w:outlineLvl w:val="8"/>
    </w:pPr>
    <w:rPr>
      <w:rFonts w:ascii="Arial Narrow" w:hAnsi="Arial Narrow"/>
      <w:b/>
      <w:color w:val="000080"/>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E0B4C"/>
    <w:pPr>
      <w:tabs>
        <w:tab w:val="center" w:pos="4153"/>
        <w:tab w:val="right" w:pos="8306"/>
      </w:tabs>
    </w:pPr>
  </w:style>
  <w:style w:type="paragraph" w:styleId="a4">
    <w:name w:val="footer"/>
    <w:basedOn w:val="a"/>
    <w:rsid w:val="002E0B4C"/>
    <w:pPr>
      <w:tabs>
        <w:tab w:val="center" w:pos="4153"/>
        <w:tab w:val="right" w:pos="8306"/>
      </w:tabs>
    </w:pPr>
  </w:style>
  <w:style w:type="character" w:styleId="a5">
    <w:name w:val="page number"/>
    <w:basedOn w:val="a0"/>
    <w:rsid w:val="002E0B4C"/>
  </w:style>
  <w:style w:type="paragraph" w:styleId="a6">
    <w:name w:val="Balloon Text"/>
    <w:basedOn w:val="a"/>
    <w:semiHidden/>
    <w:rsid w:val="002E0B4C"/>
    <w:rPr>
      <w:rFonts w:ascii="Tahoma" w:hAnsi="Tahoma" w:cs="Tahoma"/>
      <w:sz w:val="16"/>
      <w:szCs w:val="16"/>
    </w:rPr>
  </w:style>
  <w:style w:type="paragraph" w:styleId="a7">
    <w:name w:val="Body Text Indent"/>
    <w:basedOn w:val="a"/>
    <w:rsid w:val="002E0B4C"/>
    <w:pPr>
      <w:ind w:left="720" w:hanging="720"/>
      <w:jc w:val="both"/>
    </w:pPr>
    <w:rPr>
      <w:sz w:val="22"/>
      <w:szCs w:val="22"/>
    </w:rPr>
  </w:style>
  <w:style w:type="paragraph" w:styleId="a8">
    <w:name w:val="Body Text"/>
    <w:basedOn w:val="a"/>
    <w:rsid w:val="002E0B4C"/>
    <w:pPr>
      <w:jc w:val="both"/>
    </w:pPr>
    <w:rPr>
      <w:sz w:val="22"/>
      <w:szCs w:val="22"/>
    </w:rPr>
  </w:style>
  <w:style w:type="paragraph" w:styleId="20">
    <w:name w:val="Body Text Indent 2"/>
    <w:basedOn w:val="a"/>
    <w:rsid w:val="002E0B4C"/>
    <w:pPr>
      <w:ind w:left="284"/>
      <w:jc w:val="both"/>
    </w:pPr>
    <w:rPr>
      <w:sz w:val="22"/>
      <w:szCs w:val="22"/>
    </w:rPr>
  </w:style>
  <w:style w:type="paragraph" w:styleId="a9">
    <w:name w:val="Plain Text"/>
    <w:basedOn w:val="a"/>
    <w:rsid w:val="002E0B4C"/>
    <w:rPr>
      <w:rFonts w:ascii="Courier New" w:hAnsi="Courier New"/>
      <w:sz w:val="20"/>
      <w:szCs w:val="20"/>
    </w:rPr>
  </w:style>
  <w:style w:type="paragraph" w:styleId="21">
    <w:name w:val="Body Text 2"/>
    <w:basedOn w:val="a"/>
    <w:rsid w:val="002E0B4C"/>
    <w:pPr>
      <w:spacing w:after="120" w:line="480" w:lineRule="auto"/>
    </w:pPr>
  </w:style>
  <w:style w:type="paragraph" w:styleId="aa">
    <w:name w:val="footnote text"/>
    <w:aliases w:val="Footnote,Fußnote,Fodnotetekst Tegn Tegn Tegn Tegn Tegn Tegn Tegn Char Char,Fodnotetekst Tegn Tegn Tegn Tegn Tegn Tegn Tegn Char Char Char Char,Fodnotetekst Tegn Tegn Tegn Tegn Tegn Tegn Tegn"/>
    <w:basedOn w:val="a"/>
    <w:link w:val="Char"/>
    <w:rsid w:val="002E0B4C"/>
    <w:rPr>
      <w:sz w:val="20"/>
      <w:szCs w:val="20"/>
      <w:lang w:val="en-GB"/>
    </w:rPr>
  </w:style>
  <w:style w:type="character" w:styleId="ab">
    <w:name w:val="footnote reference"/>
    <w:aliases w:val="Footnote Reference Number,Footnote Reference_LVL6,Footnote Reference_LVL61,Footnote Reference_LVL62,Footnote Reference_LVL63,Footnote Reference_LVL64,C26 Footnote Number,Footnote Reference_LVL65,Footnote symbol,Footnote Reference1"/>
    <w:basedOn w:val="a0"/>
    <w:rsid w:val="002E0B4C"/>
    <w:rPr>
      <w:vertAlign w:val="superscript"/>
    </w:rPr>
  </w:style>
  <w:style w:type="table" w:styleId="ac">
    <w:name w:val="Table Grid"/>
    <w:basedOn w:val="a1"/>
    <w:rsid w:val="00D44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Κείμενο υποσημείωσης Char"/>
    <w:aliases w:val="Footnote Char,Fußnote Char,Fodnotetekst Tegn Tegn Tegn Tegn Tegn Tegn Tegn Char Char Char,Fodnotetekst Tegn Tegn Tegn Tegn Tegn Tegn Tegn Char Char Char Char Char,Fodnotetekst Tegn Tegn Tegn Tegn Tegn Tegn Tegn Char"/>
    <w:basedOn w:val="a0"/>
    <w:link w:val="aa"/>
    <w:uiPriority w:val="99"/>
    <w:semiHidden/>
    <w:rsid w:val="00476C30"/>
    <w:rPr>
      <w:lang w:val="en-GB" w:eastAsia="el-GR" w:bidi="ar-SA"/>
    </w:rPr>
  </w:style>
  <w:style w:type="character" w:styleId="ad">
    <w:name w:val="annotation reference"/>
    <w:basedOn w:val="a0"/>
    <w:semiHidden/>
    <w:rsid w:val="00610DA8"/>
    <w:rPr>
      <w:sz w:val="16"/>
      <w:szCs w:val="16"/>
    </w:rPr>
  </w:style>
  <w:style w:type="paragraph" w:styleId="ae">
    <w:name w:val="annotation text"/>
    <w:basedOn w:val="a"/>
    <w:semiHidden/>
    <w:rsid w:val="00610DA8"/>
    <w:rPr>
      <w:sz w:val="20"/>
      <w:szCs w:val="20"/>
    </w:rPr>
  </w:style>
  <w:style w:type="paragraph" w:styleId="af">
    <w:name w:val="annotation subject"/>
    <w:basedOn w:val="ae"/>
    <w:next w:val="ae"/>
    <w:semiHidden/>
    <w:rsid w:val="00610DA8"/>
    <w:rPr>
      <w:b/>
      <w:bCs/>
    </w:rPr>
  </w:style>
  <w:style w:type="paragraph" w:styleId="af0">
    <w:name w:val="List Paragraph"/>
    <w:basedOn w:val="a"/>
    <w:uiPriority w:val="34"/>
    <w:qFormat/>
    <w:rsid w:val="00875F08"/>
    <w:pPr>
      <w:spacing w:after="200" w:line="276" w:lineRule="auto"/>
      <w:ind w:left="720"/>
      <w:contextualSpacing/>
    </w:pPr>
    <w:rPr>
      <w:rFonts w:ascii="Calibri" w:eastAsia="Calibri" w:hAnsi="Calibri"/>
      <w:sz w:val="22"/>
      <w:szCs w:val="22"/>
      <w:lang w:eastAsia="en-US"/>
    </w:rPr>
  </w:style>
  <w:style w:type="paragraph" w:customStyle="1" w:styleId="CharCharCharCharCharCharCharCharCharCharCharCharChar">
    <w:name w:val="Char Char Char Char Char Char Char Char Char Char Char Char Char"/>
    <w:basedOn w:val="a"/>
    <w:rsid w:val="00F64BA6"/>
    <w:pPr>
      <w:spacing w:after="160" w:line="240" w:lineRule="exact"/>
      <w:jc w:val="both"/>
    </w:pPr>
    <w:rPr>
      <w:rFonts w:ascii="Verdana" w:hAnsi="Verdana"/>
      <w:sz w:val="20"/>
      <w:szCs w:val="20"/>
      <w:lang w:val="en-US" w:eastAsia="en-US"/>
    </w:rPr>
  </w:style>
  <w:style w:type="paragraph" w:styleId="Web">
    <w:name w:val="Normal (Web)"/>
    <w:basedOn w:val="a"/>
    <w:uiPriority w:val="99"/>
    <w:unhideWhenUsed/>
    <w:rsid w:val="00707015"/>
    <w:pPr>
      <w:spacing w:before="100" w:beforeAutospacing="1" w:after="100" w:afterAutospacing="1"/>
    </w:pPr>
    <w:rPr>
      <w:lang w:val="en-US" w:bidi="en-US"/>
    </w:rPr>
  </w:style>
  <w:style w:type="character" w:styleId="af1">
    <w:name w:val="line number"/>
    <w:basedOn w:val="a0"/>
    <w:rsid w:val="00707015"/>
  </w:style>
  <w:style w:type="paragraph" w:styleId="af2">
    <w:name w:val="No Spacing"/>
    <w:link w:val="Char0"/>
    <w:uiPriority w:val="1"/>
    <w:qFormat/>
    <w:rsid w:val="00C56FF3"/>
    <w:rPr>
      <w:rFonts w:asciiTheme="minorHAnsi" w:eastAsiaTheme="minorHAnsi" w:hAnsiTheme="minorHAnsi" w:cstheme="minorBidi"/>
      <w:sz w:val="22"/>
      <w:szCs w:val="22"/>
      <w:lang w:eastAsia="en-US"/>
    </w:rPr>
  </w:style>
  <w:style w:type="character" w:customStyle="1" w:styleId="af3">
    <w:name w:val="Σύμβολο υποσημείωσης"/>
    <w:rsid w:val="00835387"/>
    <w:rPr>
      <w:vertAlign w:val="superscript"/>
    </w:rPr>
  </w:style>
  <w:style w:type="character" w:customStyle="1" w:styleId="10">
    <w:name w:val="Παραπομπή υποσημείωσης1"/>
    <w:rsid w:val="00835387"/>
    <w:rPr>
      <w:vertAlign w:val="superscript"/>
    </w:rPr>
  </w:style>
  <w:style w:type="paragraph" w:styleId="af4">
    <w:name w:val="Revision"/>
    <w:hidden/>
    <w:uiPriority w:val="99"/>
    <w:semiHidden/>
    <w:rsid w:val="0056106D"/>
    <w:rPr>
      <w:sz w:val="24"/>
      <w:szCs w:val="24"/>
    </w:rPr>
  </w:style>
  <w:style w:type="paragraph" w:styleId="af5">
    <w:name w:val="endnote text"/>
    <w:basedOn w:val="a"/>
    <w:link w:val="Char1"/>
    <w:semiHidden/>
    <w:unhideWhenUsed/>
    <w:rsid w:val="00F12840"/>
    <w:rPr>
      <w:sz w:val="20"/>
      <w:szCs w:val="20"/>
    </w:rPr>
  </w:style>
  <w:style w:type="character" w:customStyle="1" w:styleId="Char1">
    <w:name w:val="Κείμενο σημείωσης τέλους Char"/>
    <w:basedOn w:val="a0"/>
    <w:link w:val="af5"/>
    <w:semiHidden/>
    <w:rsid w:val="00F12840"/>
  </w:style>
  <w:style w:type="character" w:styleId="af6">
    <w:name w:val="endnote reference"/>
    <w:basedOn w:val="a0"/>
    <w:semiHidden/>
    <w:unhideWhenUsed/>
    <w:rsid w:val="00F12840"/>
    <w:rPr>
      <w:vertAlign w:val="superscript"/>
    </w:rPr>
  </w:style>
  <w:style w:type="paragraph" w:customStyle="1" w:styleId="aplo">
    <w:name w:val="aplo"/>
    <w:basedOn w:val="a"/>
    <w:rsid w:val="004F40E8"/>
    <w:pPr>
      <w:tabs>
        <w:tab w:val="left" w:pos="567"/>
      </w:tabs>
      <w:spacing w:before="120"/>
      <w:jc w:val="both"/>
    </w:pPr>
    <w:rPr>
      <w:sz w:val="22"/>
      <w:szCs w:val="20"/>
      <w:lang w:val="en-GB"/>
    </w:rPr>
  </w:style>
  <w:style w:type="paragraph" w:styleId="af7">
    <w:name w:val="Title"/>
    <w:basedOn w:val="a"/>
    <w:link w:val="Char2"/>
    <w:qFormat/>
    <w:rsid w:val="004F40E8"/>
    <w:pPr>
      <w:jc w:val="center"/>
    </w:pPr>
    <w:rPr>
      <w:b/>
      <w:bCs/>
      <w:lang w:eastAsia="en-US"/>
    </w:rPr>
  </w:style>
  <w:style w:type="character" w:customStyle="1" w:styleId="Char2">
    <w:name w:val="Τίτλος Char"/>
    <w:basedOn w:val="a0"/>
    <w:link w:val="af7"/>
    <w:rsid w:val="004F40E8"/>
    <w:rPr>
      <w:b/>
      <w:bCs/>
      <w:sz w:val="24"/>
      <w:szCs w:val="24"/>
      <w:lang w:eastAsia="en-US"/>
    </w:rPr>
  </w:style>
  <w:style w:type="numbering" w:customStyle="1" w:styleId="11">
    <w:name w:val="Χωρίς λίστα1"/>
    <w:next w:val="a2"/>
    <w:semiHidden/>
    <w:rsid w:val="004F40E8"/>
  </w:style>
  <w:style w:type="paragraph" w:customStyle="1" w:styleId="keimeno">
    <w:name w:val="keimeno"/>
    <w:basedOn w:val="a"/>
    <w:rsid w:val="004F40E8"/>
    <w:pPr>
      <w:jc w:val="both"/>
    </w:pPr>
    <w:rPr>
      <w:rFonts w:ascii="Arial" w:hAnsi="Arial"/>
      <w:sz w:val="22"/>
      <w:szCs w:val="20"/>
    </w:rPr>
  </w:style>
  <w:style w:type="paragraph" w:styleId="30">
    <w:name w:val="Body Text 3"/>
    <w:basedOn w:val="a"/>
    <w:link w:val="3Char"/>
    <w:rsid w:val="004F40E8"/>
    <w:pPr>
      <w:jc w:val="both"/>
    </w:pPr>
    <w:rPr>
      <w:sz w:val="22"/>
      <w:szCs w:val="20"/>
    </w:rPr>
  </w:style>
  <w:style w:type="character" w:customStyle="1" w:styleId="3Char">
    <w:name w:val="Σώμα κείμενου 3 Char"/>
    <w:basedOn w:val="a0"/>
    <w:link w:val="30"/>
    <w:rsid w:val="004F40E8"/>
    <w:rPr>
      <w:sz w:val="22"/>
    </w:rPr>
  </w:style>
  <w:style w:type="paragraph" w:customStyle="1" w:styleId="Giota">
    <w:name w:val="Giota"/>
    <w:basedOn w:val="a"/>
    <w:rsid w:val="004F40E8"/>
    <w:pPr>
      <w:tabs>
        <w:tab w:val="left" w:pos="567"/>
        <w:tab w:val="left" w:pos="1134"/>
        <w:tab w:val="left" w:pos="1701"/>
      </w:tabs>
      <w:jc w:val="both"/>
    </w:pPr>
    <w:rPr>
      <w:rFonts w:ascii="Arial" w:hAnsi="Arial"/>
      <w:sz w:val="18"/>
      <w:szCs w:val="20"/>
    </w:rPr>
  </w:style>
  <w:style w:type="paragraph" w:customStyle="1" w:styleId="12">
    <w:name w:val="Στυλ1"/>
    <w:basedOn w:val="a"/>
    <w:rsid w:val="004F40E8"/>
    <w:pPr>
      <w:spacing w:before="120"/>
      <w:ind w:firstLine="567"/>
    </w:pPr>
    <w:rPr>
      <w:rFonts w:ascii="Arial" w:hAnsi="Arial"/>
      <w:sz w:val="20"/>
      <w:szCs w:val="20"/>
    </w:rPr>
  </w:style>
  <w:style w:type="paragraph" w:styleId="31">
    <w:name w:val="Body Text Indent 3"/>
    <w:basedOn w:val="a"/>
    <w:link w:val="3Char0"/>
    <w:rsid w:val="004F40E8"/>
    <w:pPr>
      <w:tabs>
        <w:tab w:val="num" w:pos="652"/>
      </w:tabs>
      <w:spacing w:after="120"/>
      <w:ind w:left="652" w:hanging="652"/>
      <w:jc w:val="both"/>
    </w:pPr>
    <w:rPr>
      <w:sz w:val="22"/>
      <w:szCs w:val="20"/>
    </w:rPr>
  </w:style>
  <w:style w:type="character" w:customStyle="1" w:styleId="3Char0">
    <w:name w:val="Σώμα κείμενου με εσοχή 3 Char"/>
    <w:basedOn w:val="a0"/>
    <w:link w:val="31"/>
    <w:rsid w:val="004F40E8"/>
    <w:rPr>
      <w:sz w:val="22"/>
    </w:rPr>
  </w:style>
  <w:style w:type="character" w:styleId="-">
    <w:name w:val="Hyperlink"/>
    <w:basedOn w:val="a0"/>
    <w:uiPriority w:val="99"/>
    <w:rsid w:val="004F40E8"/>
    <w:rPr>
      <w:color w:val="0000FF"/>
      <w:u w:val="single"/>
    </w:rPr>
  </w:style>
  <w:style w:type="paragraph" w:customStyle="1" w:styleId="CharCharCharChar">
    <w:name w:val="Char Char Char Char"/>
    <w:basedOn w:val="a"/>
    <w:rsid w:val="004F40E8"/>
    <w:pPr>
      <w:spacing w:after="160" w:line="240" w:lineRule="exact"/>
      <w:jc w:val="both"/>
    </w:pPr>
    <w:rPr>
      <w:rFonts w:ascii="Verdana" w:hAnsi="Verdana"/>
      <w:sz w:val="20"/>
      <w:szCs w:val="20"/>
      <w:lang w:val="en-US" w:eastAsia="en-US"/>
    </w:rPr>
  </w:style>
  <w:style w:type="character" w:styleId="af8">
    <w:name w:val="Strong"/>
    <w:basedOn w:val="a0"/>
    <w:qFormat/>
    <w:rsid w:val="004F40E8"/>
    <w:rPr>
      <w:b/>
      <w:bCs/>
    </w:rPr>
  </w:style>
  <w:style w:type="paragraph" w:customStyle="1" w:styleId="Default">
    <w:name w:val="Default"/>
    <w:rsid w:val="004F40E8"/>
    <w:pPr>
      <w:autoSpaceDE w:val="0"/>
      <w:autoSpaceDN w:val="0"/>
      <w:adjustRightInd w:val="0"/>
    </w:pPr>
    <w:rPr>
      <w:rFonts w:eastAsia="Calibri"/>
      <w:color w:val="000000"/>
      <w:sz w:val="24"/>
      <w:szCs w:val="24"/>
      <w:lang w:eastAsia="en-US"/>
    </w:rPr>
  </w:style>
  <w:style w:type="paragraph" w:styleId="-HTML">
    <w:name w:val="HTML Preformatted"/>
    <w:basedOn w:val="a"/>
    <w:link w:val="-HTMLChar"/>
    <w:uiPriority w:val="99"/>
    <w:unhideWhenUsed/>
    <w:rsid w:val="004F4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4F40E8"/>
    <w:rPr>
      <w:rFonts w:ascii="Courier New" w:hAnsi="Courier New" w:cs="Courier New"/>
    </w:rPr>
  </w:style>
  <w:style w:type="character" w:styleId="-0">
    <w:name w:val="FollowedHyperlink"/>
    <w:basedOn w:val="a0"/>
    <w:uiPriority w:val="99"/>
    <w:unhideWhenUsed/>
    <w:rsid w:val="004F40E8"/>
    <w:rPr>
      <w:color w:val="800080"/>
      <w:u w:val="single"/>
    </w:rPr>
  </w:style>
  <w:style w:type="paragraph" w:customStyle="1" w:styleId="font5">
    <w:name w:val="font5"/>
    <w:basedOn w:val="a"/>
    <w:rsid w:val="004F40E8"/>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4F40E8"/>
    <w:pPr>
      <w:spacing w:before="100" w:beforeAutospacing="1" w:after="100" w:afterAutospacing="1"/>
    </w:pPr>
    <w:rPr>
      <w:rFonts w:ascii="Tahoma" w:hAnsi="Tahoma" w:cs="Tahoma"/>
      <w:color w:val="000000"/>
      <w:sz w:val="18"/>
      <w:szCs w:val="18"/>
    </w:rPr>
  </w:style>
  <w:style w:type="paragraph" w:customStyle="1" w:styleId="font7">
    <w:name w:val="font7"/>
    <w:basedOn w:val="a"/>
    <w:rsid w:val="004F40E8"/>
    <w:pPr>
      <w:spacing w:before="100" w:beforeAutospacing="1" w:after="100" w:afterAutospacing="1"/>
    </w:pPr>
    <w:rPr>
      <w:rFonts w:ascii="Segoe UI" w:hAnsi="Segoe UI" w:cs="Segoe UI"/>
      <w:b/>
      <w:bCs/>
      <w:i/>
      <w:iCs/>
      <w:sz w:val="16"/>
      <w:szCs w:val="16"/>
    </w:rPr>
  </w:style>
  <w:style w:type="paragraph" w:customStyle="1" w:styleId="xl52827">
    <w:name w:val="xl52827"/>
    <w:basedOn w:val="a"/>
    <w:rsid w:val="004F40E8"/>
    <w:pPr>
      <w:spacing w:before="100" w:beforeAutospacing="1" w:after="100" w:afterAutospacing="1"/>
      <w:textAlignment w:val="center"/>
    </w:pPr>
    <w:rPr>
      <w:rFonts w:ascii="Segoe UI" w:hAnsi="Segoe UI" w:cs="Segoe UI"/>
      <w:sz w:val="16"/>
      <w:szCs w:val="16"/>
    </w:rPr>
  </w:style>
  <w:style w:type="paragraph" w:customStyle="1" w:styleId="xl52828">
    <w:name w:val="xl52828"/>
    <w:basedOn w:val="a"/>
    <w:rsid w:val="004F40E8"/>
    <w:pPr>
      <w:shd w:val="clear" w:color="000000" w:fill="BFBFBF"/>
      <w:spacing w:before="100" w:beforeAutospacing="1" w:after="100" w:afterAutospacing="1"/>
      <w:textAlignment w:val="center"/>
    </w:pPr>
    <w:rPr>
      <w:rFonts w:ascii="Segoe UI" w:hAnsi="Segoe UI" w:cs="Segoe UI"/>
      <w:sz w:val="16"/>
      <w:szCs w:val="16"/>
    </w:rPr>
  </w:style>
  <w:style w:type="paragraph" w:customStyle="1" w:styleId="xl52829">
    <w:name w:val="xl52829"/>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0">
    <w:name w:val="xl52830"/>
    <w:basedOn w:val="a"/>
    <w:rsid w:val="004F40E8"/>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1">
    <w:name w:val="xl52831"/>
    <w:basedOn w:val="a"/>
    <w:rsid w:val="004F40E8"/>
    <w:pPr>
      <w:spacing w:before="100" w:beforeAutospacing="1" w:after="100" w:afterAutospacing="1"/>
      <w:textAlignment w:val="center"/>
    </w:pPr>
    <w:rPr>
      <w:rFonts w:ascii="Segoe UI" w:hAnsi="Segoe UI" w:cs="Segoe UI"/>
      <w:b/>
      <w:bCs/>
      <w:sz w:val="16"/>
      <w:szCs w:val="16"/>
    </w:rPr>
  </w:style>
  <w:style w:type="paragraph" w:customStyle="1" w:styleId="xl52832">
    <w:name w:val="xl52832"/>
    <w:basedOn w:val="a"/>
    <w:rsid w:val="004F40E8"/>
    <w:pPr>
      <w:shd w:val="clear" w:color="000000" w:fill="BFBFBF"/>
      <w:spacing w:before="100" w:beforeAutospacing="1" w:after="100" w:afterAutospacing="1"/>
      <w:textAlignment w:val="center"/>
    </w:pPr>
    <w:rPr>
      <w:rFonts w:ascii="Segoe UI" w:hAnsi="Segoe UI" w:cs="Segoe UI"/>
      <w:b/>
      <w:bCs/>
      <w:sz w:val="16"/>
      <w:szCs w:val="16"/>
    </w:rPr>
  </w:style>
  <w:style w:type="paragraph" w:customStyle="1" w:styleId="xl52833">
    <w:name w:val="xl52833"/>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34">
    <w:name w:val="xl52834"/>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5">
    <w:name w:val="xl52835"/>
    <w:basedOn w:val="a"/>
    <w:rsid w:val="004F40E8"/>
    <w:pPr>
      <w:pBdr>
        <w:left w:val="single" w:sz="4" w:space="0" w:color="auto"/>
        <w:righ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36">
    <w:name w:val="xl52836"/>
    <w:basedOn w:val="a"/>
    <w:rsid w:val="004F40E8"/>
    <w:pPr>
      <w:spacing w:before="100" w:beforeAutospacing="1" w:after="100" w:afterAutospacing="1"/>
      <w:textAlignment w:val="center"/>
    </w:pPr>
    <w:rPr>
      <w:rFonts w:ascii="Segoe UI" w:hAnsi="Segoe UI" w:cs="Segoe UI"/>
      <w:color w:val="C00000"/>
      <w:sz w:val="16"/>
      <w:szCs w:val="16"/>
    </w:rPr>
  </w:style>
  <w:style w:type="paragraph" w:customStyle="1" w:styleId="xl52837">
    <w:name w:val="xl52837"/>
    <w:basedOn w:val="a"/>
    <w:rsid w:val="004F40E8"/>
    <w:pPr>
      <w:pBdr>
        <w:left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38">
    <w:name w:val="xl52838"/>
    <w:basedOn w:val="a"/>
    <w:rsid w:val="004F40E8"/>
    <w:pPr>
      <w:pBdr>
        <w:left w:val="single" w:sz="4" w:space="0" w:color="auto"/>
        <w:righ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39">
    <w:name w:val="xl52839"/>
    <w:basedOn w:val="a"/>
    <w:rsid w:val="004F40E8"/>
    <w:pP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52840">
    <w:name w:val="xl52840"/>
    <w:basedOn w:val="a"/>
    <w:rsid w:val="004F40E8"/>
    <w:pPr>
      <w:spacing w:before="100" w:beforeAutospacing="1" w:after="100" w:afterAutospacing="1"/>
      <w:textAlignment w:val="center"/>
    </w:pPr>
    <w:rPr>
      <w:rFonts w:ascii="Segoe UI" w:hAnsi="Segoe UI" w:cs="Segoe UI"/>
      <w:sz w:val="16"/>
      <w:szCs w:val="16"/>
    </w:rPr>
  </w:style>
  <w:style w:type="paragraph" w:customStyle="1" w:styleId="xl52841">
    <w:name w:val="xl52841"/>
    <w:basedOn w:val="a"/>
    <w:rsid w:val="004F40E8"/>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2">
    <w:name w:val="xl52842"/>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3">
    <w:name w:val="xl52843"/>
    <w:basedOn w:val="a"/>
    <w:rsid w:val="004F40E8"/>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4">
    <w:name w:val="xl52844"/>
    <w:basedOn w:val="a"/>
    <w:rsid w:val="004F40E8"/>
    <w:pPr>
      <w:spacing w:before="100" w:beforeAutospacing="1" w:after="100" w:afterAutospacing="1"/>
      <w:jc w:val="center"/>
      <w:textAlignment w:val="center"/>
    </w:pPr>
    <w:rPr>
      <w:rFonts w:ascii="Segoe UI" w:hAnsi="Segoe UI" w:cs="Segoe UI"/>
      <w:sz w:val="16"/>
      <w:szCs w:val="16"/>
    </w:rPr>
  </w:style>
  <w:style w:type="paragraph" w:customStyle="1" w:styleId="xl52845">
    <w:name w:val="xl52845"/>
    <w:basedOn w:val="a"/>
    <w:rsid w:val="004F40E8"/>
    <w:pPr>
      <w:pBdr>
        <w:left w:val="single" w:sz="4" w:space="0" w:color="auto"/>
        <w:right w:val="single" w:sz="4" w:space="0" w:color="auto"/>
      </w:pBdr>
      <w:spacing w:before="100" w:beforeAutospacing="1" w:after="100" w:afterAutospacing="1"/>
      <w:jc w:val="center"/>
    </w:pPr>
    <w:rPr>
      <w:rFonts w:ascii="Segoe UI" w:hAnsi="Segoe UI" w:cs="Segoe UI"/>
      <w:sz w:val="16"/>
      <w:szCs w:val="16"/>
    </w:rPr>
  </w:style>
  <w:style w:type="paragraph" w:customStyle="1" w:styleId="xl52846">
    <w:name w:val="xl52846"/>
    <w:basedOn w:val="a"/>
    <w:rsid w:val="004F40E8"/>
    <w:pPr>
      <w:pBdr>
        <w:left w:val="single" w:sz="4" w:space="0" w:color="auto"/>
        <w:right w:val="single" w:sz="8" w:space="0" w:color="auto"/>
      </w:pBdr>
      <w:spacing w:before="100" w:beforeAutospacing="1" w:after="100" w:afterAutospacing="1"/>
      <w:jc w:val="center"/>
    </w:pPr>
    <w:rPr>
      <w:rFonts w:ascii="Segoe UI" w:hAnsi="Segoe UI" w:cs="Segoe UI"/>
      <w:sz w:val="16"/>
      <w:szCs w:val="16"/>
    </w:rPr>
  </w:style>
  <w:style w:type="paragraph" w:customStyle="1" w:styleId="xl52847">
    <w:name w:val="xl52847"/>
    <w:basedOn w:val="a"/>
    <w:rsid w:val="004F40E8"/>
    <w:pPr>
      <w:pBdr>
        <w:left w:val="single" w:sz="4" w:space="0" w:color="auto"/>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848">
    <w:name w:val="xl52848"/>
    <w:basedOn w:val="a"/>
    <w:rsid w:val="004F40E8"/>
    <w:pPr>
      <w:pBdr>
        <w:left w:val="single" w:sz="4" w:space="0" w:color="auto"/>
        <w:right w:val="single" w:sz="8" w:space="0" w:color="auto"/>
      </w:pBdr>
      <w:spacing w:before="100" w:beforeAutospacing="1" w:after="100" w:afterAutospacing="1"/>
      <w:jc w:val="center"/>
    </w:pPr>
    <w:rPr>
      <w:rFonts w:ascii="Segoe UI" w:hAnsi="Segoe UI" w:cs="Segoe UI"/>
      <w:b/>
      <w:bCs/>
      <w:sz w:val="16"/>
      <w:szCs w:val="16"/>
    </w:rPr>
  </w:style>
  <w:style w:type="paragraph" w:customStyle="1" w:styleId="xl52849">
    <w:name w:val="xl52849"/>
    <w:basedOn w:val="a"/>
    <w:rsid w:val="004F40E8"/>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0">
    <w:name w:val="xl52850"/>
    <w:basedOn w:val="a"/>
    <w:rsid w:val="004F40E8"/>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1">
    <w:name w:val="xl52851"/>
    <w:basedOn w:val="a"/>
    <w:rsid w:val="004F40E8"/>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2">
    <w:name w:val="xl52852"/>
    <w:basedOn w:val="a"/>
    <w:rsid w:val="004F40E8"/>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3">
    <w:name w:val="xl52853"/>
    <w:basedOn w:val="a"/>
    <w:rsid w:val="004F40E8"/>
    <w:pPr>
      <w:pBdr>
        <w:lef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54">
    <w:name w:val="xl52854"/>
    <w:basedOn w:val="a"/>
    <w:rsid w:val="004F40E8"/>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55">
    <w:name w:val="xl52855"/>
    <w:basedOn w:val="a"/>
    <w:rsid w:val="004F40E8"/>
    <w:pPr>
      <w:pBdr>
        <w:left w:val="single" w:sz="4" w:space="0" w:color="auto"/>
      </w:pBdr>
      <w:spacing w:before="100" w:beforeAutospacing="1" w:after="100" w:afterAutospacing="1"/>
      <w:jc w:val="center"/>
    </w:pPr>
    <w:rPr>
      <w:rFonts w:ascii="Segoe UI" w:hAnsi="Segoe UI" w:cs="Segoe UI"/>
      <w:sz w:val="16"/>
      <w:szCs w:val="16"/>
    </w:rPr>
  </w:style>
  <w:style w:type="paragraph" w:customStyle="1" w:styleId="xl52856">
    <w:name w:val="xl52856"/>
    <w:basedOn w:val="a"/>
    <w:rsid w:val="004F40E8"/>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7">
    <w:name w:val="xl52857"/>
    <w:basedOn w:val="a"/>
    <w:rsid w:val="004F40E8"/>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8">
    <w:name w:val="xl52858"/>
    <w:basedOn w:val="a"/>
    <w:rsid w:val="004F40E8"/>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9">
    <w:name w:val="xl52859"/>
    <w:basedOn w:val="a"/>
    <w:rsid w:val="004F40E8"/>
    <w:pP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860">
    <w:name w:val="xl52860"/>
    <w:basedOn w:val="a"/>
    <w:rsid w:val="004F40E8"/>
    <w:pP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61">
    <w:name w:val="xl52861"/>
    <w:basedOn w:val="a"/>
    <w:rsid w:val="004F40E8"/>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2">
    <w:name w:val="xl52862"/>
    <w:basedOn w:val="a"/>
    <w:rsid w:val="004F40E8"/>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3">
    <w:name w:val="xl52863"/>
    <w:basedOn w:val="a"/>
    <w:rsid w:val="004F40E8"/>
    <w:pP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64">
    <w:name w:val="xl52864"/>
    <w:basedOn w:val="a"/>
    <w:rsid w:val="004F40E8"/>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5">
    <w:name w:val="xl52865"/>
    <w:basedOn w:val="a"/>
    <w:rsid w:val="004F40E8"/>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6">
    <w:name w:val="xl52866"/>
    <w:basedOn w:val="a"/>
    <w:rsid w:val="004F40E8"/>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7">
    <w:name w:val="xl52867"/>
    <w:basedOn w:val="a"/>
    <w:rsid w:val="004F40E8"/>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8">
    <w:name w:val="xl52868"/>
    <w:basedOn w:val="a"/>
    <w:rsid w:val="004F40E8"/>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9">
    <w:name w:val="xl52869"/>
    <w:basedOn w:val="a"/>
    <w:rsid w:val="004F40E8"/>
    <w:pPr>
      <w:shd w:val="clear" w:color="000000" w:fill="A5A5A5"/>
      <w:spacing w:before="100" w:beforeAutospacing="1" w:after="100" w:afterAutospacing="1"/>
      <w:textAlignment w:val="center"/>
    </w:pPr>
    <w:rPr>
      <w:rFonts w:ascii="Segoe UI" w:hAnsi="Segoe UI" w:cs="Segoe UI"/>
      <w:color w:val="C00000"/>
      <w:sz w:val="16"/>
      <w:szCs w:val="16"/>
    </w:rPr>
  </w:style>
  <w:style w:type="paragraph" w:customStyle="1" w:styleId="xl52870">
    <w:name w:val="xl52870"/>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871">
    <w:name w:val="xl52871"/>
    <w:basedOn w:val="a"/>
    <w:rsid w:val="004F40E8"/>
    <w:pPr>
      <w:pBdr>
        <w:left w:val="single" w:sz="8" w:space="0" w:color="auto"/>
      </w:pBdr>
      <w:spacing w:before="100" w:beforeAutospacing="1" w:after="100" w:afterAutospacing="1"/>
      <w:textAlignment w:val="center"/>
    </w:pPr>
    <w:rPr>
      <w:rFonts w:ascii="Segoe UI" w:hAnsi="Segoe UI" w:cs="Segoe UI"/>
      <w:b/>
      <w:bCs/>
      <w:sz w:val="16"/>
      <w:szCs w:val="16"/>
    </w:rPr>
  </w:style>
  <w:style w:type="paragraph" w:customStyle="1" w:styleId="xl52872">
    <w:name w:val="xl52872"/>
    <w:basedOn w:val="a"/>
    <w:rsid w:val="004F40E8"/>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73">
    <w:name w:val="xl52873"/>
    <w:basedOn w:val="a"/>
    <w:rsid w:val="004F40E8"/>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74">
    <w:name w:val="xl52874"/>
    <w:basedOn w:val="a"/>
    <w:rsid w:val="004F40E8"/>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5">
    <w:name w:val="xl52875"/>
    <w:basedOn w:val="a"/>
    <w:rsid w:val="004F40E8"/>
    <w:pPr>
      <w:pBdr>
        <w:left w:val="single" w:sz="8" w:space="0" w:color="auto"/>
      </w:pBd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52876">
    <w:name w:val="xl52876"/>
    <w:basedOn w:val="a"/>
    <w:rsid w:val="004F40E8"/>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7">
    <w:name w:val="xl52877"/>
    <w:basedOn w:val="a"/>
    <w:rsid w:val="004F40E8"/>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8">
    <w:name w:val="xl52878"/>
    <w:basedOn w:val="a"/>
    <w:rsid w:val="004F40E8"/>
    <w:pPr>
      <w:pBdr>
        <w:left w:val="single" w:sz="8" w:space="0" w:color="auto"/>
      </w:pBdr>
      <w:shd w:val="clear" w:color="000000" w:fill="FFFFFF"/>
      <w:spacing w:before="100" w:beforeAutospacing="1" w:after="100" w:afterAutospacing="1"/>
      <w:textAlignment w:val="center"/>
    </w:pPr>
    <w:rPr>
      <w:rFonts w:ascii="Segoe UI" w:hAnsi="Segoe UI" w:cs="Segoe UI"/>
      <w:sz w:val="16"/>
      <w:szCs w:val="16"/>
    </w:rPr>
  </w:style>
  <w:style w:type="paragraph" w:customStyle="1" w:styleId="xl52879">
    <w:name w:val="xl52879"/>
    <w:basedOn w:val="a"/>
    <w:rsid w:val="004F40E8"/>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80">
    <w:name w:val="xl52880"/>
    <w:basedOn w:val="a"/>
    <w:rsid w:val="004F40E8"/>
    <w:pPr>
      <w:pBdr>
        <w:left w:val="single" w:sz="8" w:space="0" w:color="auto"/>
      </w:pBdr>
      <w:spacing w:before="100" w:beforeAutospacing="1" w:after="100" w:afterAutospacing="1"/>
      <w:textAlignment w:val="center"/>
    </w:pPr>
    <w:rPr>
      <w:rFonts w:ascii="Segoe UI" w:hAnsi="Segoe UI" w:cs="Segoe UI"/>
      <w:b/>
      <w:bCs/>
      <w:sz w:val="16"/>
      <w:szCs w:val="16"/>
    </w:rPr>
  </w:style>
  <w:style w:type="paragraph" w:customStyle="1" w:styleId="xl52881">
    <w:name w:val="xl52881"/>
    <w:basedOn w:val="a"/>
    <w:rsid w:val="004F40E8"/>
    <w:pPr>
      <w:pBdr>
        <w:left w:val="single" w:sz="8" w:space="0" w:color="auto"/>
      </w:pBdr>
      <w:shd w:val="clear" w:color="000000" w:fill="A5A5A5"/>
      <w:spacing w:before="100" w:beforeAutospacing="1" w:after="100" w:afterAutospacing="1"/>
      <w:textAlignment w:val="center"/>
    </w:pPr>
    <w:rPr>
      <w:rFonts w:ascii="Segoe UI" w:hAnsi="Segoe UI" w:cs="Segoe UI"/>
      <w:b/>
      <w:bCs/>
      <w:i/>
      <w:iCs/>
      <w:sz w:val="16"/>
      <w:szCs w:val="16"/>
    </w:rPr>
  </w:style>
  <w:style w:type="paragraph" w:customStyle="1" w:styleId="xl52882">
    <w:name w:val="xl52882"/>
    <w:basedOn w:val="a"/>
    <w:rsid w:val="004F40E8"/>
    <w:pPr>
      <w:pBdr>
        <w:left w:val="single" w:sz="8" w:space="0" w:color="auto"/>
      </w:pBdr>
      <w:spacing w:before="100" w:beforeAutospacing="1" w:after="100" w:afterAutospacing="1"/>
    </w:pPr>
    <w:rPr>
      <w:rFonts w:ascii="Segoe UI" w:hAnsi="Segoe UI" w:cs="Segoe UI"/>
      <w:sz w:val="16"/>
      <w:szCs w:val="16"/>
    </w:rPr>
  </w:style>
  <w:style w:type="paragraph" w:customStyle="1" w:styleId="xl52883">
    <w:name w:val="xl52883"/>
    <w:basedOn w:val="a"/>
    <w:rsid w:val="004F40E8"/>
    <w:pPr>
      <w:pBdr>
        <w:left w:val="single" w:sz="8" w:space="0" w:color="auto"/>
      </w:pBdr>
      <w:spacing w:before="100" w:beforeAutospacing="1" w:after="100" w:afterAutospacing="1"/>
    </w:pPr>
    <w:rPr>
      <w:rFonts w:ascii="Segoe UI" w:hAnsi="Segoe UI" w:cs="Segoe UI"/>
      <w:b/>
      <w:bCs/>
      <w:sz w:val="16"/>
      <w:szCs w:val="16"/>
    </w:rPr>
  </w:style>
  <w:style w:type="paragraph" w:customStyle="1" w:styleId="xl52884">
    <w:name w:val="xl52884"/>
    <w:basedOn w:val="a"/>
    <w:rsid w:val="004F40E8"/>
    <w:pPr>
      <w:pBdr>
        <w:left w:val="single" w:sz="8" w:space="0" w:color="auto"/>
      </w:pBdr>
      <w:spacing w:before="100" w:beforeAutospacing="1" w:after="100" w:afterAutospacing="1"/>
    </w:pPr>
    <w:rPr>
      <w:rFonts w:ascii="Segoe UI" w:hAnsi="Segoe UI" w:cs="Segoe UI"/>
      <w:sz w:val="16"/>
      <w:szCs w:val="16"/>
    </w:rPr>
  </w:style>
  <w:style w:type="paragraph" w:customStyle="1" w:styleId="xl52885">
    <w:name w:val="xl52885"/>
    <w:basedOn w:val="a"/>
    <w:rsid w:val="004F40E8"/>
    <w:pPr>
      <w:pBdr>
        <w:left w:val="single" w:sz="8" w:space="0" w:color="auto"/>
      </w:pBdr>
      <w:shd w:val="clear" w:color="000000" w:fill="FFFFFF"/>
      <w:spacing w:before="100" w:beforeAutospacing="1" w:after="100" w:afterAutospacing="1"/>
    </w:pPr>
    <w:rPr>
      <w:rFonts w:ascii="Segoe UI" w:hAnsi="Segoe UI" w:cs="Segoe UI"/>
      <w:b/>
      <w:bCs/>
      <w:i/>
      <w:iCs/>
      <w:sz w:val="16"/>
      <w:szCs w:val="16"/>
    </w:rPr>
  </w:style>
  <w:style w:type="paragraph" w:customStyle="1" w:styleId="xl52886">
    <w:name w:val="xl52886"/>
    <w:basedOn w:val="a"/>
    <w:rsid w:val="004F40E8"/>
    <w:pPr>
      <w:pBdr>
        <w:left w:val="single" w:sz="8" w:space="0" w:color="auto"/>
      </w:pBdr>
      <w:shd w:val="clear" w:color="000000" w:fill="FFFFFF"/>
      <w:spacing w:before="100" w:beforeAutospacing="1" w:after="100" w:afterAutospacing="1"/>
    </w:pPr>
    <w:rPr>
      <w:rFonts w:ascii="Segoe UI" w:hAnsi="Segoe UI" w:cs="Segoe UI"/>
      <w:b/>
      <w:bCs/>
      <w:sz w:val="16"/>
      <w:szCs w:val="16"/>
    </w:rPr>
  </w:style>
  <w:style w:type="paragraph" w:customStyle="1" w:styleId="xl52887">
    <w:name w:val="xl52887"/>
    <w:basedOn w:val="a"/>
    <w:rsid w:val="004F40E8"/>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88">
    <w:name w:val="xl52888"/>
    <w:basedOn w:val="a"/>
    <w:rsid w:val="004F40E8"/>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89">
    <w:name w:val="xl52889"/>
    <w:basedOn w:val="a"/>
    <w:rsid w:val="004F40E8"/>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0">
    <w:name w:val="xl52890"/>
    <w:basedOn w:val="a"/>
    <w:rsid w:val="004F40E8"/>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1">
    <w:name w:val="xl52891"/>
    <w:basedOn w:val="a"/>
    <w:rsid w:val="004F40E8"/>
    <w:pPr>
      <w:pBdr>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92">
    <w:name w:val="xl52892"/>
    <w:basedOn w:val="a"/>
    <w:rsid w:val="004F40E8"/>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93">
    <w:name w:val="xl52893"/>
    <w:basedOn w:val="a"/>
    <w:rsid w:val="004F40E8"/>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4">
    <w:name w:val="xl52894"/>
    <w:basedOn w:val="a"/>
    <w:rsid w:val="004F40E8"/>
    <w:pPr>
      <w:pBdr>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95">
    <w:name w:val="xl52895"/>
    <w:basedOn w:val="a"/>
    <w:rsid w:val="004F40E8"/>
    <w:pPr>
      <w:pBdr>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896">
    <w:name w:val="xl52896"/>
    <w:basedOn w:val="a"/>
    <w:rsid w:val="004F40E8"/>
    <w:pPr>
      <w:pBdr>
        <w:right w:val="single" w:sz="4" w:space="0" w:color="auto"/>
      </w:pBdr>
      <w:spacing w:before="100" w:beforeAutospacing="1" w:after="100" w:afterAutospacing="1"/>
      <w:jc w:val="center"/>
    </w:pPr>
    <w:rPr>
      <w:rFonts w:ascii="Segoe UI" w:hAnsi="Segoe UI" w:cs="Segoe UI"/>
      <w:sz w:val="16"/>
      <w:szCs w:val="16"/>
    </w:rPr>
  </w:style>
  <w:style w:type="paragraph" w:customStyle="1" w:styleId="xl52897">
    <w:name w:val="xl52897"/>
    <w:basedOn w:val="a"/>
    <w:rsid w:val="004F40E8"/>
    <w:pPr>
      <w:pBdr>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898">
    <w:name w:val="xl52898"/>
    <w:basedOn w:val="a"/>
    <w:rsid w:val="004F40E8"/>
    <w:pPr>
      <w:pBdr>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99">
    <w:name w:val="xl52899"/>
    <w:basedOn w:val="a"/>
    <w:rsid w:val="004F40E8"/>
    <w:pPr>
      <w:pBdr>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00">
    <w:name w:val="xl52900"/>
    <w:basedOn w:val="a"/>
    <w:rsid w:val="004F40E8"/>
    <w:pPr>
      <w:pBdr>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01">
    <w:name w:val="xl52901"/>
    <w:basedOn w:val="a"/>
    <w:rsid w:val="004F40E8"/>
    <w:pPr>
      <w:pBdr>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02">
    <w:name w:val="xl52902"/>
    <w:basedOn w:val="a"/>
    <w:rsid w:val="004F40E8"/>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3">
    <w:name w:val="xl52903"/>
    <w:basedOn w:val="a"/>
    <w:rsid w:val="004F40E8"/>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4">
    <w:name w:val="xl52904"/>
    <w:basedOn w:val="a"/>
    <w:rsid w:val="004F40E8"/>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5">
    <w:name w:val="xl52905"/>
    <w:basedOn w:val="a"/>
    <w:rsid w:val="004F40E8"/>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6">
    <w:name w:val="xl52906"/>
    <w:basedOn w:val="a"/>
    <w:rsid w:val="004F40E8"/>
    <w:pPr>
      <w:pBdr>
        <w:lef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07">
    <w:name w:val="xl52907"/>
    <w:basedOn w:val="a"/>
    <w:rsid w:val="004F40E8"/>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8">
    <w:name w:val="xl52908"/>
    <w:basedOn w:val="a"/>
    <w:rsid w:val="004F40E8"/>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9">
    <w:name w:val="xl52909"/>
    <w:basedOn w:val="a"/>
    <w:rsid w:val="004F40E8"/>
    <w:pPr>
      <w:pBdr>
        <w:lef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10">
    <w:name w:val="xl52910"/>
    <w:basedOn w:val="a"/>
    <w:rsid w:val="004F40E8"/>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11">
    <w:name w:val="xl52911"/>
    <w:basedOn w:val="a"/>
    <w:rsid w:val="004F40E8"/>
    <w:pPr>
      <w:pBdr>
        <w:left w:val="single" w:sz="8" w:space="0" w:color="auto"/>
      </w:pBdr>
      <w:spacing w:before="100" w:beforeAutospacing="1" w:after="100" w:afterAutospacing="1"/>
      <w:jc w:val="center"/>
    </w:pPr>
    <w:rPr>
      <w:rFonts w:ascii="Segoe UI" w:hAnsi="Segoe UI" w:cs="Segoe UI"/>
      <w:sz w:val="16"/>
      <w:szCs w:val="16"/>
    </w:rPr>
  </w:style>
  <w:style w:type="paragraph" w:customStyle="1" w:styleId="xl52912">
    <w:name w:val="xl52912"/>
    <w:basedOn w:val="a"/>
    <w:rsid w:val="004F40E8"/>
    <w:pPr>
      <w:pBdr>
        <w:left w:val="single" w:sz="8" w:space="0" w:color="auto"/>
      </w:pBdr>
      <w:spacing w:before="100" w:beforeAutospacing="1" w:after="100" w:afterAutospacing="1"/>
      <w:jc w:val="center"/>
    </w:pPr>
    <w:rPr>
      <w:rFonts w:ascii="Segoe UI" w:hAnsi="Segoe UI" w:cs="Segoe UI"/>
      <w:b/>
      <w:bCs/>
      <w:sz w:val="16"/>
      <w:szCs w:val="16"/>
    </w:rPr>
  </w:style>
  <w:style w:type="paragraph" w:customStyle="1" w:styleId="xl52913">
    <w:name w:val="xl52913"/>
    <w:basedOn w:val="a"/>
    <w:rsid w:val="004F40E8"/>
    <w:pPr>
      <w:pBdr>
        <w:lef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14">
    <w:name w:val="xl52914"/>
    <w:basedOn w:val="a"/>
    <w:rsid w:val="004F40E8"/>
    <w:pPr>
      <w:pBdr>
        <w:lef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15">
    <w:name w:val="xl52915"/>
    <w:basedOn w:val="a"/>
    <w:rsid w:val="004F40E8"/>
    <w:pPr>
      <w:pBdr>
        <w:lef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16">
    <w:name w:val="xl52916"/>
    <w:basedOn w:val="a"/>
    <w:rsid w:val="004F40E8"/>
    <w:pPr>
      <w:pBdr>
        <w:lef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17">
    <w:name w:val="xl52917"/>
    <w:basedOn w:val="a"/>
    <w:rsid w:val="004F40E8"/>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18">
    <w:name w:val="xl52918"/>
    <w:basedOn w:val="a"/>
    <w:rsid w:val="004F40E8"/>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19">
    <w:name w:val="xl52919"/>
    <w:basedOn w:val="a"/>
    <w:rsid w:val="004F40E8"/>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20">
    <w:name w:val="xl52920"/>
    <w:basedOn w:val="a"/>
    <w:rsid w:val="004F40E8"/>
    <w:pPr>
      <w:pBdr>
        <w:left w:val="single" w:sz="8" w:space="0" w:color="auto"/>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21">
    <w:name w:val="xl52921"/>
    <w:basedOn w:val="a"/>
    <w:rsid w:val="004F40E8"/>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22">
    <w:name w:val="xl52922"/>
    <w:basedOn w:val="a"/>
    <w:rsid w:val="004F40E8"/>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23">
    <w:name w:val="xl52923"/>
    <w:basedOn w:val="a"/>
    <w:rsid w:val="004F40E8"/>
    <w:pPr>
      <w:pBdr>
        <w:left w:val="single" w:sz="8"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24">
    <w:name w:val="xl52924"/>
    <w:basedOn w:val="a"/>
    <w:rsid w:val="004F40E8"/>
    <w:pPr>
      <w:pBdr>
        <w:left w:val="single" w:sz="8" w:space="0" w:color="auto"/>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25">
    <w:name w:val="xl52925"/>
    <w:basedOn w:val="a"/>
    <w:rsid w:val="004F40E8"/>
    <w:pPr>
      <w:pBdr>
        <w:left w:val="single" w:sz="4" w:space="0" w:color="auto"/>
        <w:righ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26">
    <w:name w:val="xl52926"/>
    <w:basedOn w:val="a"/>
    <w:rsid w:val="004F40E8"/>
    <w:pPr>
      <w:pBdr>
        <w:left w:val="single" w:sz="8" w:space="0" w:color="auto"/>
        <w:right w:val="single" w:sz="4" w:space="0" w:color="auto"/>
      </w:pBdr>
      <w:spacing w:before="100" w:beforeAutospacing="1" w:after="100" w:afterAutospacing="1"/>
      <w:jc w:val="center"/>
    </w:pPr>
    <w:rPr>
      <w:rFonts w:ascii="Segoe UI" w:hAnsi="Segoe UI" w:cs="Segoe UI"/>
      <w:sz w:val="16"/>
      <w:szCs w:val="16"/>
    </w:rPr>
  </w:style>
  <w:style w:type="paragraph" w:customStyle="1" w:styleId="xl52927">
    <w:name w:val="xl52927"/>
    <w:basedOn w:val="a"/>
    <w:rsid w:val="004F40E8"/>
    <w:pPr>
      <w:pBdr>
        <w:left w:val="single" w:sz="8" w:space="0" w:color="auto"/>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928">
    <w:name w:val="xl52928"/>
    <w:basedOn w:val="a"/>
    <w:rsid w:val="004F40E8"/>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29">
    <w:name w:val="xl52929"/>
    <w:basedOn w:val="a"/>
    <w:rsid w:val="004F40E8"/>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0">
    <w:name w:val="xl52930"/>
    <w:basedOn w:val="a"/>
    <w:rsid w:val="004F40E8"/>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1">
    <w:name w:val="xl52931"/>
    <w:basedOn w:val="a"/>
    <w:rsid w:val="004F40E8"/>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2">
    <w:name w:val="xl52932"/>
    <w:basedOn w:val="a"/>
    <w:rsid w:val="004F40E8"/>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33">
    <w:name w:val="xl52933"/>
    <w:basedOn w:val="a"/>
    <w:rsid w:val="004F40E8"/>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4">
    <w:name w:val="xl52934"/>
    <w:basedOn w:val="a"/>
    <w:rsid w:val="004F40E8"/>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5">
    <w:name w:val="xl52935"/>
    <w:basedOn w:val="a"/>
    <w:rsid w:val="004F40E8"/>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6">
    <w:name w:val="xl52936"/>
    <w:basedOn w:val="a"/>
    <w:rsid w:val="004F40E8"/>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37">
    <w:name w:val="xl52937"/>
    <w:basedOn w:val="a"/>
    <w:rsid w:val="004F40E8"/>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38">
    <w:name w:val="xl52938"/>
    <w:basedOn w:val="a"/>
    <w:rsid w:val="004F40E8"/>
    <w:pPr>
      <w:pBdr>
        <w:lef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39">
    <w:name w:val="xl52939"/>
    <w:basedOn w:val="a"/>
    <w:rsid w:val="004F40E8"/>
    <w:pPr>
      <w:pBdr>
        <w:lef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40">
    <w:name w:val="xl52940"/>
    <w:basedOn w:val="a"/>
    <w:rsid w:val="004F40E8"/>
    <w:pPr>
      <w:pBdr>
        <w:left w:val="single" w:sz="4" w:space="0" w:color="auto"/>
      </w:pBdr>
      <w:spacing w:before="100" w:beforeAutospacing="1" w:after="100" w:afterAutospacing="1"/>
      <w:jc w:val="center"/>
    </w:pPr>
    <w:rPr>
      <w:rFonts w:ascii="Segoe UI" w:hAnsi="Segoe UI" w:cs="Segoe UI"/>
      <w:b/>
      <w:bCs/>
      <w:sz w:val="16"/>
      <w:szCs w:val="16"/>
    </w:rPr>
  </w:style>
  <w:style w:type="paragraph" w:customStyle="1" w:styleId="xl52941">
    <w:name w:val="xl52941"/>
    <w:basedOn w:val="a"/>
    <w:rsid w:val="004F40E8"/>
    <w:pPr>
      <w:pBdr>
        <w:lef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42">
    <w:name w:val="xl52942"/>
    <w:basedOn w:val="a"/>
    <w:rsid w:val="004F40E8"/>
    <w:pPr>
      <w:pBdr>
        <w:lef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43">
    <w:name w:val="xl52943"/>
    <w:basedOn w:val="a"/>
    <w:rsid w:val="004F40E8"/>
    <w:pPr>
      <w:pBdr>
        <w:lef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44">
    <w:name w:val="xl52944"/>
    <w:basedOn w:val="a"/>
    <w:rsid w:val="004F40E8"/>
    <w:pPr>
      <w:pBdr>
        <w:lef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45">
    <w:name w:val="xl52945"/>
    <w:basedOn w:val="a"/>
    <w:rsid w:val="004F40E8"/>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46">
    <w:name w:val="xl52946"/>
    <w:basedOn w:val="a"/>
    <w:rsid w:val="004F40E8"/>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47">
    <w:name w:val="xl52947"/>
    <w:basedOn w:val="a"/>
    <w:rsid w:val="004F40E8"/>
    <w:pPr>
      <w:spacing w:before="100" w:beforeAutospacing="1" w:after="100" w:afterAutospacing="1"/>
      <w:jc w:val="center"/>
      <w:textAlignment w:val="center"/>
    </w:pPr>
    <w:rPr>
      <w:rFonts w:ascii="Segoe UI" w:hAnsi="Segoe UI" w:cs="Segoe UI"/>
      <w:sz w:val="16"/>
      <w:szCs w:val="16"/>
    </w:rPr>
  </w:style>
  <w:style w:type="paragraph" w:customStyle="1" w:styleId="xl52948">
    <w:name w:val="xl52948"/>
    <w:basedOn w:val="a"/>
    <w:rsid w:val="004F40E8"/>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49">
    <w:name w:val="xl52949"/>
    <w:basedOn w:val="a"/>
    <w:rsid w:val="004F40E8"/>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0">
    <w:name w:val="xl52950"/>
    <w:basedOn w:val="a"/>
    <w:rsid w:val="004F40E8"/>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1">
    <w:name w:val="xl52951"/>
    <w:basedOn w:val="a"/>
    <w:rsid w:val="004F40E8"/>
    <w:pPr>
      <w:pBdr>
        <w:righ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52">
    <w:name w:val="xl52952"/>
    <w:basedOn w:val="a"/>
    <w:rsid w:val="004F40E8"/>
    <w:pPr>
      <w:pBdr>
        <w:righ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53">
    <w:name w:val="xl52953"/>
    <w:basedOn w:val="a"/>
    <w:rsid w:val="004F40E8"/>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4">
    <w:name w:val="xl52954"/>
    <w:basedOn w:val="a"/>
    <w:rsid w:val="004F40E8"/>
    <w:pPr>
      <w:spacing w:before="100" w:beforeAutospacing="1" w:after="100" w:afterAutospacing="1"/>
      <w:jc w:val="center"/>
      <w:textAlignment w:val="center"/>
    </w:pPr>
    <w:rPr>
      <w:rFonts w:ascii="Segoe UI" w:hAnsi="Segoe UI" w:cs="Segoe UI"/>
      <w:b/>
      <w:bCs/>
      <w:sz w:val="16"/>
      <w:szCs w:val="16"/>
    </w:rPr>
  </w:style>
  <w:style w:type="paragraph" w:customStyle="1" w:styleId="xl52955">
    <w:name w:val="xl52955"/>
    <w:basedOn w:val="a"/>
    <w:rsid w:val="004F40E8"/>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56">
    <w:name w:val="xl52956"/>
    <w:basedOn w:val="a"/>
    <w:rsid w:val="004F40E8"/>
    <w:pPr>
      <w:pBdr>
        <w:right w:val="single" w:sz="8" w:space="0" w:color="auto"/>
      </w:pBdr>
      <w:spacing w:before="100" w:beforeAutospacing="1" w:after="100" w:afterAutospacing="1"/>
      <w:jc w:val="center"/>
    </w:pPr>
    <w:rPr>
      <w:rFonts w:ascii="Segoe UI" w:hAnsi="Segoe UI" w:cs="Segoe UI"/>
      <w:sz w:val="16"/>
      <w:szCs w:val="16"/>
    </w:rPr>
  </w:style>
  <w:style w:type="paragraph" w:customStyle="1" w:styleId="xl52957">
    <w:name w:val="xl52957"/>
    <w:basedOn w:val="a"/>
    <w:rsid w:val="004F40E8"/>
    <w:pPr>
      <w:spacing w:before="100" w:beforeAutospacing="1" w:after="100" w:afterAutospacing="1"/>
      <w:jc w:val="center"/>
    </w:pPr>
    <w:rPr>
      <w:rFonts w:ascii="Segoe UI" w:hAnsi="Segoe UI" w:cs="Segoe UI"/>
      <w:sz w:val="16"/>
      <w:szCs w:val="16"/>
    </w:rPr>
  </w:style>
  <w:style w:type="paragraph" w:customStyle="1" w:styleId="xl52958">
    <w:name w:val="xl52958"/>
    <w:basedOn w:val="a"/>
    <w:rsid w:val="004F40E8"/>
    <w:pPr>
      <w:pBdr>
        <w:right w:val="single" w:sz="8" w:space="0" w:color="auto"/>
      </w:pBdr>
      <w:spacing w:before="100" w:beforeAutospacing="1" w:after="100" w:afterAutospacing="1"/>
      <w:jc w:val="center"/>
    </w:pPr>
    <w:rPr>
      <w:rFonts w:ascii="Segoe UI" w:hAnsi="Segoe UI" w:cs="Segoe UI"/>
      <w:b/>
      <w:bCs/>
      <w:sz w:val="16"/>
      <w:szCs w:val="16"/>
    </w:rPr>
  </w:style>
  <w:style w:type="paragraph" w:customStyle="1" w:styleId="xl52959">
    <w:name w:val="xl52959"/>
    <w:basedOn w:val="a"/>
    <w:rsid w:val="004F40E8"/>
    <w:pPr>
      <w:pBdr>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60">
    <w:name w:val="xl52960"/>
    <w:basedOn w:val="a"/>
    <w:rsid w:val="004F40E8"/>
    <w:pPr>
      <w:pBdr>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1">
    <w:name w:val="xl52961"/>
    <w:basedOn w:val="a"/>
    <w:rsid w:val="004F40E8"/>
    <w:pPr>
      <w:pBdr>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62">
    <w:name w:val="xl52962"/>
    <w:basedOn w:val="a"/>
    <w:rsid w:val="004F40E8"/>
    <w:pPr>
      <w:pBdr>
        <w:top w:val="single" w:sz="8" w:space="0" w:color="auto"/>
        <w:bottom w:val="single" w:sz="8" w:space="0" w:color="auto"/>
      </w:pBd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963">
    <w:name w:val="xl52963"/>
    <w:basedOn w:val="a"/>
    <w:rsid w:val="004F40E8"/>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64">
    <w:name w:val="xl52964"/>
    <w:basedOn w:val="a"/>
    <w:rsid w:val="004F40E8"/>
    <w:pP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5">
    <w:name w:val="xl52965"/>
    <w:basedOn w:val="a"/>
    <w:rsid w:val="004F40E8"/>
    <w:pPr>
      <w:pBdr>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6">
    <w:name w:val="xl52966"/>
    <w:basedOn w:val="a"/>
    <w:rsid w:val="004F40E8"/>
    <w:pPr>
      <w:spacing w:before="100" w:beforeAutospacing="1" w:after="100" w:afterAutospacing="1"/>
      <w:jc w:val="center"/>
      <w:textAlignment w:val="center"/>
    </w:pPr>
    <w:rPr>
      <w:rFonts w:ascii="Segoe UI" w:hAnsi="Segoe UI" w:cs="Segoe UI"/>
      <w:sz w:val="16"/>
      <w:szCs w:val="16"/>
    </w:rPr>
  </w:style>
  <w:style w:type="paragraph" w:customStyle="1" w:styleId="xl52967">
    <w:name w:val="xl52967"/>
    <w:basedOn w:val="a"/>
    <w:rsid w:val="004F40E8"/>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68">
    <w:name w:val="xl52968"/>
    <w:basedOn w:val="a"/>
    <w:rsid w:val="004F40E8"/>
    <w:pP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69">
    <w:name w:val="xl52969"/>
    <w:basedOn w:val="a"/>
    <w:rsid w:val="004F40E8"/>
    <w:pPr>
      <w:spacing w:before="100" w:beforeAutospacing="1" w:after="100" w:afterAutospacing="1"/>
      <w:jc w:val="center"/>
    </w:pPr>
    <w:rPr>
      <w:rFonts w:ascii="Segoe UI" w:hAnsi="Segoe UI" w:cs="Segoe UI"/>
      <w:b/>
      <w:bCs/>
      <w:sz w:val="16"/>
      <w:szCs w:val="16"/>
    </w:rPr>
  </w:style>
  <w:style w:type="paragraph" w:customStyle="1" w:styleId="xl52970">
    <w:name w:val="xl52970"/>
    <w:basedOn w:val="a"/>
    <w:rsid w:val="004F40E8"/>
    <w:pP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71">
    <w:name w:val="xl52971"/>
    <w:basedOn w:val="a"/>
    <w:rsid w:val="004F40E8"/>
    <w:pPr>
      <w:shd w:val="clear" w:color="000000" w:fill="FFFFFF"/>
      <w:spacing w:before="100" w:beforeAutospacing="1" w:after="100" w:afterAutospacing="1"/>
      <w:jc w:val="center"/>
    </w:pPr>
    <w:rPr>
      <w:rFonts w:ascii="Segoe UI" w:hAnsi="Segoe UI" w:cs="Segoe UI"/>
      <w:b/>
      <w:bCs/>
      <w:sz w:val="16"/>
      <w:szCs w:val="16"/>
    </w:rPr>
  </w:style>
  <w:style w:type="paragraph" w:customStyle="1" w:styleId="xl52972">
    <w:name w:val="xl52972"/>
    <w:basedOn w:val="a"/>
    <w:rsid w:val="004F40E8"/>
    <w:pP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73">
    <w:name w:val="xl52973"/>
    <w:basedOn w:val="a"/>
    <w:rsid w:val="004F40E8"/>
    <w:pPr>
      <w:pBdr>
        <w:bottom w:val="single" w:sz="8" w:space="0" w:color="auto"/>
      </w:pBd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974">
    <w:name w:val="xl52974"/>
    <w:basedOn w:val="a"/>
    <w:rsid w:val="004F40E8"/>
    <w:pPr>
      <w:spacing w:before="100" w:beforeAutospacing="1" w:after="100" w:afterAutospacing="1"/>
      <w:jc w:val="center"/>
      <w:textAlignment w:val="center"/>
    </w:pPr>
    <w:rPr>
      <w:rFonts w:ascii="Segoe UI" w:hAnsi="Segoe UI" w:cs="Segoe UI"/>
      <w:color w:val="FFFFFF"/>
      <w:sz w:val="16"/>
      <w:szCs w:val="16"/>
    </w:rPr>
  </w:style>
  <w:style w:type="paragraph" w:customStyle="1" w:styleId="xl52975">
    <w:name w:val="xl52975"/>
    <w:basedOn w:val="a"/>
    <w:rsid w:val="004F40E8"/>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6">
    <w:name w:val="xl52976"/>
    <w:basedOn w:val="a"/>
    <w:rsid w:val="004F40E8"/>
    <w:pPr>
      <w:pBdr>
        <w:top w:val="single" w:sz="8" w:space="0" w:color="auto"/>
        <w:left w:val="single" w:sz="4"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7">
    <w:name w:val="xl52977"/>
    <w:basedOn w:val="a"/>
    <w:rsid w:val="004F40E8"/>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8">
    <w:name w:val="xl52978"/>
    <w:basedOn w:val="a"/>
    <w:rsid w:val="004F40E8"/>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79">
    <w:name w:val="xl52979"/>
    <w:basedOn w:val="a"/>
    <w:rsid w:val="004F40E8"/>
    <w:pPr>
      <w:pBdr>
        <w:top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0">
    <w:name w:val="xl52980"/>
    <w:basedOn w:val="a"/>
    <w:rsid w:val="004F40E8"/>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1">
    <w:name w:val="xl52981"/>
    <w:basedOn w:val="a"/>
    <w:rsid w:val="004F40E8"/>
    <w:pPr>
      <w:pBdr>
        <w:top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82">
    <w:name w:val="xl52982"/>
    <w:basedOn w:val="a"/>
    <w:rsid w:val="004F40E8"/>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3">
    <w:name w:val="xl52983"/>
    <w:basedOn w:val="a"/>
    <w:rsid w:val="004F40E8"/>
    <w:pPr>
      <w:pBdr>
        <w:righ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84">
    <w:name w:val="xl52984"/>
    <w:basedOn w:val="a"/>
    <w:rsid w:val="004F40E8"/>
    <w:pPr>
      <w:pBdr>
        <w:left w:val="single" w:sz="8" w:space="0" w:color="auto"/>
      </w:pBdr>
      <w:shd w:val="clear" w:color="000000" w:fill="A5A5A5"/>
      <w:spacing w:before="100" w:beforeAutospacing="1" w:after="100" w:afterAutospacing="1"/>
    </w:pPr>
    <w:rPr>
      <w:rFonts w:ascii="Segoe UI" w:hAnsi="Segoe UI" w:cs="Segoe UI"/>
      <w:b/>
      <w:bCs/>
      <w:sz w:val="16"/>
      <w:szCs w:val="16"/>
    </w:rPr>
  </w:style>
  <w:style w:type="paragraph" w:customStyle="1" w:styleId="xl52985">
    <w:name w:val="xl52985"/>
    <w:basedOn w:val="a"/>
    <w:rsid w:val="004F40E8"/>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6">
    <w:name w:val="xl52986"/>
    <w:basedOn w:val="a"/>
    <w:rsid w:val="004F40E8"/>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7">
    <w:name w:val="xl52987"/>
    <w:basedOn w:val="a"/>
    <w:rsid w:val="004F40E8"/>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8">
    <w:name w:val="xl52988"/>
    <w:basedOn w:val="a"/>
    <w:rsid w:val="004F40E8"/>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9">
    <w:name w:val="xl52989"/>
    <w:basedOn w:val="a"/>
    <w:rsid w:val="004F40E8"/>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0">
    <w:name w:val="xl52990"/>
    <w:basedOn w:val="a"/>
    <w:rsid w:val="004F40E8"/>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1">
    <w:name w:val="xl52991"/>
    <w:basedOn w:val="a"/>
    <w:rsid w:val="004F40E8"/>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2">
    <w:name w:val="xl52992"/>
    <w:basedOn w:val="a"/>
    <w:rsid w:val="004F40E8"/>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3">
    <w:name w:val="xl52993"/>
    <w:basedOn w:val="a"/>
    <w:rsid w:val="004F40E8"/>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4">
    <w:name w:val="xl52994"/>
    <w:basedOn w:val="a"/>
    <w:rsid w:val="004F40E8"/>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5">
    <w:name w:val="xl52995"/>
    <w:basedOn w:val="a"/>
    <w:rsid w:val="004F40E8"/>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6">
    <w:name w:val="xl52996"/>
    <w:basedOn w:val="a"/>
    <w:rsid w:val="004F40E8"/>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7">
    <w:name w:val="xl52997"/>
    <w:basedOn w:val="a"/>
    <w:rsid w:val="004F40E8"/>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8">
    <w:name w:val="xl52998"/>
    <w:basedOn w:val="a"/>
    <w:rsid w:val="004F40E8"/>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9">
    <w:name w:val="xl52999"/>
    <w:basedOn w:val="a"/>
    <w:rsid w:val="004F40E8"/>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0">
    <w:name w:val="xl53000"/>
    <w:basedOn w:val="a"/>
    <w:rsid w:val="004F40E8"/>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1">
    <w:name w:val="xl53001"/>
    <w:basedOn w:val="a"/>
    <w:rsid w:val="004F40E8"/>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2">
    <w:name w:val="xl53002"/>
    <w:basedOn w:val="a"/>
    <w:rsid w:val="004F40E8"/>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3">
    <w:name w:val="xl53003"/>
    <w:basedOn w:val="a"/>
    <w:rsid w:val="004F40E8"/>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4">
    <w:name w:val="xl53004"/>
    <w:basedOn w:val="a"/>
    <w:rsid w:val="004F40E8"/>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5">
    <w:name w:val="xl53005"/>
    <w:basedOn w:val="a"/>
    <w:rsid w:val="004F40E8"/>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6">
    <w:name w:val="xl53006"/>
    <w:basedOn w:val="a"/>
    <w:rsid w:val="004F40E8"/>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7">
    <w:name w:val="xl53007"/>
    <w:basedOn w:val="a"/>
    <w:rsid w:val="004F40E8"/>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8">
    <w:name w:val="xl53008"/>
    <w:basedOn w:val="a"/>
    <w:rsid w:val="004F40E8"/>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9">
    <w:name w:val="xl53009"/>
    <w:basedOn w:val="a"/>
    <w:rsid w:val="004F40E8"/>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0">
    <w:name w:val="xl53010"/>
    <w:basedOn w:val="a"/>
    <w:rsid w:val="004F40E8"/>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1">
    <w:name w:val="xl53011"/>
    <w:basedOn w:val="a"/>
    <w:rsid w:val="004F40E8"/>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2">
    <w:name w:val="xl53012"/>
    <w:basedOn w:val="a"/>
    <w:rsid w:val="004F40E8"/>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3">
    <w:name w:val="xl53013"/>
    <w:basedOn w:val="a"/>
    <w:rsid w:val="004F40E8"/>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4">
    <w:name w:val="xl53014"/>
    <w:basedOn w:val="a"/>
    <w:rsid w:val="004F40E8"/>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5">
    <w:name w:val="xl53015"/>
    <w:basedOn w:val="a"/>
    <w:rsid w:val="004F40E8"/>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6">
    <w:name w:val="xl53016"/>
    <w:basedOn w:val="a"/>
    <w:rsid w:val="004F40E8"/>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7">
    <w:name w:val="xl53017"/>
    <w:basedOn w:val="a"/>
    <w:rsid w:val="004F40E8"/>
    <w:pPr>
      <w:pBdr>
        <w:left w:val="single" w:sz="8" w:space="0" w:color="auto"/>
        <w:bottom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3018">
    <w:name w:val="xl53018"/>
    <w:basedOn w:val="a"/>
    <w:rsid w:val="004F40E8"/>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9">
    <w:name w:val="xl53019"/>
    <w:basedOn w:val="a"/>
    <w:rsid w:val="004F40E8"/>
    <w:pPr>
      <w:pBdr>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0">
    <w:name w:val="xl53020"/>
    <w:basedOn w:val="a"/>
    <w:rsid w:val="004F40E8"/>
    <w:pPr>
      <w:pBdr>
        <w:left w:val="single" w:sz="4"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1">
    <w:name w:val="xl53021"/>
    <w:basedOn w:val="a"/>
    <w:rsid w:val="004F40E8"/>
    <w:pPr>
      <w:pBdr>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2">
    <w:name w:val="xl53022"/>
    <w:basedOn w:val="a"/>
    <w:rsid w:val="004F40E8"/>
    <w:pPr>
      <w:pBdr>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3">
    <w:name w:val="xl53023"/>
    <w:basedOn w:val="a"/>
    <w:rsid w:val="004F40E8"/>
    <w:pPr>
      <w:pBdr>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4">
    <w:name w:val="xl53024"/>
    <w:basedOn w:val="a"/>
    <w:rsid w:val="004F40E8"/>
    <w:pPr>
      <w:pBdr>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5">
    <w:name w:val="xl53025"/>
    <w:basedOn w:val="a"/>
    <w:rsid w:val="004F40E8"/>
    <w:pPr>
      <w:pBdr>
        <w:left w:val="single" w:sz="4"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6">
    <w:name w:val="xl53026"/>
    <w:basedOn w:val="a"/>
    <w:rsid w:val="004F40E8"/>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3027">
    <w:name w:val="xl53027"/>
    <w:basedOn w:val="a"/>
    <w:rsid w:val="004F40E8"/>
    <w:pPr>
      <w:pBdr>
        <w:left w:val="single" w:sz="4" w:space="0" w:color="auto"/>
        <w:right w:val="single" w:sz="4" w:space="0" w:color="auto"/>
      </w:pBdr>
      <w:spacing w:before="100" w:beforeAutospacing="1" w:after="100" w:afterAutospacing="1"/>
      <w:textAlignment w:val="center"/>
    </w:pPr>
    <w:rPr>
      <w:rFonts w:ascii="Segoe UI" w:hAnsi="Segoe UI" w:cs="Segoe UI"/>
      <w:sz w:val="16"/>
      <w:szCs w:val="16"/>
    </w:rPr>
  </w:style>
  <w:style w:type="paragraph" w:customStyle="1" w:styleId="xl53028">
    <w:name w:val="xl53028"/>
    <w:basedOn w:val="a"/>
    <w:rsid w:val="004F40E8"/>
    <w:pPr>
      <w:pBdr>
        <w:left w:val="single" w:sz="8" w:space="0" w:color="auto"/>
      </w:pBdr>
      <w:spacing w:before="100" w:beforeAutospacing="1" w:after="100" w:afterAutospacing="1"/>
      <w:textAlignment w:val="center"/>
    </w:pPr>
    <w:rPr>
      <w:rFonts w:ascii="Segoe UI" w:hAnsi="Segoe UI" w:cs="Segoe UI"/>
      <w:color w:val="FFFFFF"/>
      <w:sz w:val="16"/>
      <w:szCs w:val="16"/>
    </w:rPr>
  </w:style>
  <w:style w:type="paragraph" w:customStyle="1" w:styleId="xl53029">
    <w:name w:val="xl53029"/>
    <w:basedOn w:val="a"/>
    <w:rsid w:val="004F40E8"/>
    <w:pPr>
      <w:pBdr>
        <w:lef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3030">
    <w:name w:val="xl53030"/>
    <w:basedOn w:val="a"/>
    <w:rsid w:val="004F40E8"/>
    <w:pPr>
      <w:spacing w:before="100" w:beforeAutospacing="1" w:after="100" w:afterAutospacing="1"/>
      <w:textAlignment w:val="center"/>
    </w:pPr>
    <w:rPr>
      <w:rFonts w:ascii="Segoe UI" w:hAnsi="Segoe UI" w:cs="Segoe UI"/>
      <w:color w:val="FFFFFF"/>
      <w:sz w:val="16"/>
      <w:szCs w:val="16"/>
    </w:rPr>
  </w:style>
  <w:style w:type="paragraph" w:customStyle="1" w:styleId="xl53031">
    <w:name w:val="xl53031"/>
    <w:basedOn w:val="a"/>
    <w:rsid w:val="004F40E8"/>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32">
    <w:name w:val="xl53032"/>
    <w:basedOn w:val="a"/>
    <w:rsid w:val="004F40E8"/>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33">
    <w:name w:val="xl53033"/>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color w:val="FF0000"/>
      <w:sz w:val="16"/>
      <w:szCs w:val="16"/>
    </w:rPr>
  </w:style>
  <w:style w:type="paragraph" w:customStyle="1" w:styleId="xl53034">
    <w:name w:val="xl53034"/>
    <w:basedOn w:val="a"/>
    <w:rsid w:val="004F40E8"/>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color w:val="FF0000"/>
      <w:sz w:val="16"/>
      <w:szCs w:val="16"/>
    </w:rPr>
  </w:style>
  <w:style w:type="paragraph" w:customStyle="1" w:styleId="xl53035">
    <w:name w:val="xl53035"/>
    <w:basedOn w:val="a"/>
    <w:rsid w:val="004F40E8"/>
    <w:pPr>
      <w:pBdr>
        <w:top w:val="single" w:sz="8" w:space="0" w:color="auto"/>
      </w:pBdr>
      <w:shd w:val="clear" w:color="000000" w:fill="272727"/>
      <w:spacing w:before="100" w:beforeAutospacing="1" w:after="100" w:afterAutospacing="1"/>
      <w:textAlignment w:val="center"/>
    </w:pPr>
    <w:rPr>
      <w:rFonts w:ascii="Segoe UI" w:hAnsi="Segoe UI" w:cs="Segoe UI"/>
      <w:b/>
      <w:bCs/>
      <w:color w:val="FFFFFF"/>
      <w:sz w:val="16"/>
      <w:szCs w:val="16"/>
    </w:rPr>
  </w:style>
  <w:style w:type="paragraph" w:customStyle="1" w:styleId="xl53036">
    <w:name w:val="xl53036"/>
    <w:basedOn w:val="a"/>
    <w:rsid w:val="004F40E8"/>
    <w:pPr>
      <w:shd w:val="clear" w:color="000000" w:fill="272727"/>
      <w:spacing w:before="100" w:beforeAutospacing="1" w:after="100" w:afterAutospacing="1"/>
      <w:textAlignment w:val="center"/>
    </w:pPr>
    <w:rPr>
      <w:rFonts w:ascii="Segoe UI" w:hAnsi="Segoe UI" w:cs="Segoe UI"/>
      <w:b/>
      <w:bCs/>
      <w:color w:val="FFFFFF"/>
      <w:sz w:val="16"/>
      <w:szCs w:val="16"/>
    </w:rPr>
  </w:style>
  <w:style w:type="paragraph" w:customStyle="1" w:styleId="xl53037">
    <w:name w:val="xl53037"/>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3038">
    <w:name w:val="xl53038"/>
    <w:basedOn w:val="a"/>
    <w:rsid w:val="004F40E8"/>
    <w:pPr>
      <w:pBdr>
        <w:top w:val="single" w:sz="8" w:space="0" w:color="auto"/>
        <w:left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39">
    <w:name w:val="xl53039"/>
    <w:basedOn w:val="a"/>
    <w:rsid w:val="004F40E8"/>
    <w:pPr>
      <w:pBdr>
        <w:top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0">
    <w:name w:val="xl53040"/>
    <w:basedOn w:val="a"/>
    <w:rsid w:val="004F40E8"/>
    <w:pPr>
      <w:pBdr>
        <w:left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1">
    <w:name w:val="xl53041"/>
    <w:basedOn w:val="a"/>
    <w:rsid w:val="004F40E8"/>
    <w:pP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2">
    <w:name w:val="xl53042"/>
    <w:basedOn w:val="a"/>
    <w:rsid w:val="004F40E8"/>
    <w:pPr>
      <w:pBdr>
        <w:top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43">
    <w:name w:val="xl53043"/>
    <w:basedOn w:val="a"/>
    <w:rsid w:val="004F40E8"/>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44">
    <w:name w:val="xl53044"/>
    <w:basedOn w:val="a"/>
    <w:rsid w:val="004F40E8"/>
    <w:pPr>
      <w:pBdr>
        <w:top w:val="single" w:sz="8" w:space="0" w:color="auto"/>
        <w:left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sz w:val="16"/>
      <w:szCs w:val="16"/>
    </w:rPr>
  </w:style>
  <w:style w:type="paragraph" w:customStyle="1" w:styleId="xl53045">
    <w:name w:val="xl53045"/>
    <w:basedOn w:val="a"/>
    <w:rsid w:val="004F40E8"/>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sz w:val="16"/>
      <w:szCs w:val="16"/>
    </w:rPr>
  </w:style>
  <w:style w:type="paragraph" w:customStyle="1" w:styleId="xl53046">
    <w:name w:val="xl53046"/>
    <w:basedOn w:val="a"/>
    <w:rsid w:val="004F40E8"/>
    <w:pPr>
      <w:pBdr>
        <w:bottom w:val="single" w:sz="8" w:space="0" w:color="auto"/>
      </w:pBdr>
      <w:spacing w:before="100" w:beforeAutospacing="1" w:after="100" w:afterAutospacing="1"/>
      <w:textAlignment w:val="center"/>
    </w:pPr>
    <w:rPr>
      <w:rFonts w:ascii="Segoe UI" w:hAnsi="Segoe UI" w:cs="Segoe UI"/>
      <w:i/>
      <w:iCs/>
      <w:sz w:val="16"/>
      <w:szCs w:val="16"/>
    </w:rPr>
  </w:style>
  <w:style w:type="paragraph" w:customStyle="1" w:styleId="xl53047">
    <w:name w:val="xl53047"/>
    <w:basedOn w:val="a"/>
    <w:rsid w:val="004F40E8"/>
    <w:pPr>
      <w:pBdr>
        <w:bottom w:val="single" w:sz="8" w:space="0" w:color="auto"/>
      </w:pBdr>
      <w:spacing w:before="100" w:beforeAutospacing="1" w:after="100" w:afterAutospacing="1"/>
      <w:jc w:val="center"/>
      <w:textAlignment w:val="center"/>
    </w:pPr>
    <w:rPr>
      <w:rFonts w:ascii="Segoe UI" w:hAnsi="Segoe UI" w:cs="Segoe UI"/>
      <w:i/>
      <w:iCs/>
      <w:sz w:val="16"/>
      <w:szCs w:val="16"/>
    </w:rPr>
  </w:style>
  <w:style w:type="paragraph" w:customStyle="1" w:styleId="af9">
    <w:name w:val="Τ"/>
    <w:basedOn w:val="a"/>
    <w:rsid w:val="004F40E8"/>
    <w:pPr>
      <w:spacing w:before="120" w:after="120" w:line="360" w:lineRule="auto"/>
      <w:jc w:val="both"/>
    </w:pPr>
    <w:rPr>
      <w:rFonts w:ascii="Arial" w:hAnsi="Arial" w:cs="Arial"/>
      <w:sz w:val="22"/>
      <w:szCs w:val="22"/>
    </w:rPr>
  </w:style>
  <w:style w:type="character" w:customStyle="1" w:styleId="Char0">
    <w:name w:val="Χωρίς διάστιχο Char"/>
    <w:basedOn w:val="a0"/>
    <w:link w:val="af2"/>
    <w:uiPriority w:val="1"/>
    <w:rsid w:val="003B594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xristof\Application%20Data\Microsoft\&#928;&#961;&#972;&#964;&#965;&#960;&#945;\PROSX2006.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358540227501791E-2"/>
          <c:y val="8.7480925349447597E-2"/>
          <c:w val="0.90957428322190659"/>
          <c:h val="0.71548230889742981"/>
        </c:manualLayout>
      </c:layout>
      <c:barChart>
        <c:barDir val="col"/>
        <c:grouping val="stacked"/>
        <c:ser>
          <c:idx val="0"/>
          <c:order val="0"/>
          <c:tx>
            <c:strRef>
              <c:f>Φύλλο1!$B$1</c:f>
              <c:strCache>
                <c:ptCount val="1"/>
                <c:pt idx="0">
                  <c:v>Έντοκα</c:v>
                </c:pt>
              </c:strCache>
            </c:strRef>
          </c:tx>
          <c:spPr>
            <a:solidFill>
              <a:srgbClr val="FF6600"/>
            </a:solidFill>
            <a:ln w="12700">
              <a:noFill/>
              <a:prstDash val="solid"/>
            </a:ln>
          </c:spPr>
          <c:cat>
            <c:strRef>
              <c:f>Φύλλο1!$A$2:$A$44</c:f>
              <c:strCache>
                <c:ptCount val="43"/>
                <c:pt idx="0">
                  <c:v>17</c:v>
                </c:pt>
                <c:pt idx="1">
                  <c:v>18</c:v>
                </c:pt>
                <c:pt idx="2">
                  <c:v>19</c:v>
                </c:pt>
                <c:pt idx="3">
                  <c:v>20</c:v>
                </c:pt>
                <c:pt idx="4">
                  <c:v>21</c:v>
                </c:pt>
                <c:pt idx="5">
                  <c:v>22</c:v>
                </c:pt>
                <c:pt idx="6">
                  <c:v>23</c:v>
                </c:pt>
                <c:pt idx="7">
                  <c:v>24</c:v>
                </c:pt>
                <c:pt idx="8">
                  <c:v>25</c:v>
                </c:pt>
                <c:pt idx="9">
                  <c:v>26</c:v>
                </c:pt>
                <c:pt idx="10">
                  <c:v>27</c:v>
                </c:pt>
                <c:pt idx="11">
                  <c:v>28</c:v>
                </c:pt>
                <c:pt idx="12">
                  <c:v>29</c:v>
                </c:pt>
                <c:pt idx="13">
                  <c:v>30</c:v>
                </c:pt>
                <c:pt idx="14">
                  <c:v>31</c:v>
                </c:pt>
                <c:pt idx="15">
                  <c:v>32</c:v>
                </c:pt>
                <c:pt idx="16">
                  <c:v>33</c:v>
                </c:pt>
                <c:pt idx="17">
                  <c:v>34</c:v>
                </c:pt>
                <c:pt idx="18">
                  <c:v>35</c:v>
                </c:pt>
                <c:pt idx="19">
                  <c:v>36</c:v>
                </c:pt>
                <c:pt idx="20">
                  <c:v>37</c:v>
                </c:pt>
                <c:pt idx="21">
                  <c:v>38</c:v>
                </c:pt>
                <c:pt idx="22">
                  <c:v>39</c:v>
                </c:pt>
                <c:pt idx="23">
                  <c:v>40</c:v>
                </c:pt>
                <c:pt idx="24">
                  <c:v>41</c:v>
                </c:pt>
                <c:pt idx="25">
                  <c:v>42</c:v>
                </c:pt>
                <c:pt idx="26">
                  <c:v>43</c:v>
                </c:pt>
                <c:pt idx="27">
                  <c:v>44</c:v>
                </c:pt>
                <c:pt idx="28">
                  <c:v>45</c:v>
                </c:pt>
                <c:pt idx="29">
                  <c:v>46</c:v>
                </c:pt>
                <c:pt idx="30">
                  <c:v>47</c:v>
                </c:pt>
                <c:pt idx="31">
                  <c:v>48</c:v>
                </c:pt>
                <c:pt idx="32">
                  <c:v>49</c:v>
                </c:pt>
                <c:pt idx="33">
                  <c:v>50</c:v>
                </c:pt>
                <c:pt idx="34">
                  <c:v>51</c:v>
                </c:pt>
                <c:pt idx="35">
                  <c:v>52</c:v>
                </c:pt>
                <c:pt idx="36">
                  <c:v>53</c:v>
                </c:pt>
                <c:pt idx="37">
                  <c:v>54</c:v>
                </c:pt>
                <c:pt idx="38">
                  <c:v>55</c:v>
                </c:pt>
                <c:pt idx="39">
                  <c:v>56</c:v>
                </c:pt>
                <c:pt idx="40">
                  <c:v>57</c:v>
                </c:pt>
                <c:pt idx="41">
                  <c:v>58</c:v>
                </c:pt>
                <c:pt idx="42">
                  <c:v>59</c:v>
                </c:pt>
              </c:strCache>
            </c:strRef>
          </c:cat>
          <c:val>
            <c:numRef>
              <c:f>Φύλλο1!$B$2:$B$44</c:f>
              <c:numCache>
                <c:formatCode>#,##0.00</c:formatCode>
                <c:ptCount val="43"/>
                <c:pt idx="0" formatCode="#,##0.0">
                  <c:v>11892.9</c:v>
                </c:pt>
                <c:pt idx="1">
                  <c:v>3032.9</c:v>
                </c:pt>
              </c:numCache>
            </c:numRef>
          </c:val>
        </c:ser>
        <c:ser>
          <c:idx val="3"/>
          <c:order val="1"/>
          <c:tx>
            <c:strRef>
              <c:f>Φύλλο1!$C$1</c:f>
              <c:strCache>
                <c:ptCount val="1"/>
                <c:pt idx="0">
                  <c:v>Repos</c:v>
                </c:pt>
              </c:strCache>
            </c:strRef>
          </c:tx>
          <c:spPr>
            <a:solidFill>
              <a:schemeClr val="accent6">
                <a:lumMod val="60000"/>
                <a:lumOff val="40000"/>
              </a:schemeClr>
            </a:solidFill>
          </c:spPr>
          <c:val>
            <c:numRef>
              <c:f>Φύλλο1!$C$2</c:f>
              <c:numCache>
                <c:formatCode>#,##0.0</c:formatCode>
                <c:ptCount val="1"/>
                <c:pt idx="0">
                  <c:v>15230.4</c:v>
                </c:pt>
              </c:numCache>
            </c:numRef>
          </c:val>
        </c:ser>
        <c:ser>
          <c:idx val="1"/>
          <c:order val="2"/>
          <c:tx>
            <c:strRef>
              <c:f>Φύλλο1!$D$1</c:f>
              <c:strCache>
                <c:ptCount val="1"/>
                <c:pt idx="0">
                  <c:v>Ομόλογα</c:v>
                </c:pt>
              </c:strCache>
            </c:strRef>
          </c:tx>
          <c:spPr>
            <a:solidFill>
              <a:srgbClr val="CCFFCC"/>
            </a:solidFill>
          </c:spPr>
          <c:val>
            <c:numRef>
              <c:f>Φύλλο1!$D$2:$D$42</c:f>
              <c:numCache>
                <c:formatCode>#,##0.0</c:formatCode>
                <c:ptCount val="41"/>
                <c:pt idx="0">
                  <c:v>27.4</c:v>
                </c:pt>
                <c:pt idx="1">
                  <c:v>1899.2</c:v>
                </c:pt>
                <c:pt idx="2">
                  <c:v>8813.2999999999811</c:v>
                </c:pt>
                <c:pt idx="3">
                  <c:v>1366.4</c:v>
                </c:pt>
                <c:pt idx="4">
                  <c:v>0</c:v>
                </c:pt>
                <c:pt idx="5">
                  <c:v>4312.2</c:v>
                </c:pt>
                <c:pt idx="6">
                  <c:v>1792.5</c:v>
                </c:pt>
                <c:pt idx="7">
                  <c:v>3077.4</c:v>
                </c:pt>
                <c:pt idx="8">
                  <c:v>1804.6</c:v>
                </c:pt>
                <c:pt idx="9">
                  <c:v>2435.5</c:v>
                </c:pt>
                <c:pt idx="10">
                  <c:v>1470</c:v>
                </c:pt>
                <c:pt idx="11">
                  <c:v>1725.4</c:v>
                </c:pt>
                <c:pt idx="12">
                  <c:v>1503.9</c:v>
                </c:pt>
                <c:pt idx="13">
                  <c:v>1534.4</c:v>
                </c:pt>
                <c:pt idx="14">
                  <c:v>1368</c:v>
                </c:pt>
                <c:pt idx="15">
                  <c:v>1373.8</c:v>
                </c:pt>
                <c:pt idx="16">
                  <c:v>1452.6</c:v>
                </c:pt>
                <c:pt idx="17">
                  <c:v>1724.2</c:v>
                </c:pt>
                <c:pt idx="18">
                  <c:v>1444.2</c:v>
                </c:pt>
                <c:pt idx="19">
                  <c:v>1505.1</c:v>
                </c:pt>
                <c:pt idx="20">
                  <c:v>1529.1</c:v>
                </c:pt>
                <c:pt idx="21">
                  <c:v>1382.2</c:v>
                </c:pt>
                <c:pt idx="22">
                  <c:v>1337.3</c:v>
                </c:pt>
                <c:pt idx="23">
                  <c:v>1371.9</c:v>
                </c:pt>
                <c:pt idx="24">
                  <c:v>1360.7</c:v>
                </c:pt>
                <c:pt idx="25">
                  <c:v>1432.5</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1163.9000000000001</c:v>
                </c:pt>
              </c:numCache>
            </c:numRef>
          </c:val>
        </c:ser>
        <c:ser>
          <c:idx val="2"/>
          <c:order val="3"/>
          <c:tx>
            <c:strRef>
              <c:f>Φύλλο1!$E$1</c:f>
              <c:strCache>
                <c:ptCount val="1"/>
                <c:pt idx="0">
                  <c:v>Δάνεια</c:v>
                </c:pt>
              </c:strCache>
            </c:strRef>
          </c:tx>
          <c:spPr>
            <a:solidFill>
              <a:srgbClr val="3366FF"/>
            </a:solidFill>
          </c:spPr>
          <c:val>
            <c:numRef>
              <c:f>Φύλλο1!$E$2:$E$44</c:f>
              <c:numCache>
                <c:formatCode>#,##0.0</c:formatCode>
                <c:ptCount val="43"/>
                <c:pt idx="0">
                  <c:v>412.30000000000132</c:v>
                </c:pt>
                <c:pt idx="1">
                  <c:v>2646.5</c:v>
                </c:pt>
                <c:pt idx="2">
                  <c:v>2949.2</c:v>
                </c:pt>
                <c:pt idx="3">
                  <c:v>3662.3</c:v>
                </c:pt>
                <c:pt idx="4">
                  <c:v>5078.2</c:v>
                </c:pt>
                <c:pt idx="5">
                  <c:v>5523.4</c:v>
                </c:pt>
                <c:pt idx="6">
                  <c:v>7294.9</c:v>
                </c:pt>
                <c:pt idx="7">
                  <c:v>5923.8</c:v>
                </c:pt>
                <c:pt idx="8">
                  <c:v>5546.8</c:v>
                </c:pt>
                <c:pt idx="9">
                  <c:v>5553.6</c:v>
                </c:pt>
                <c:pt idx="10">
                  <c:v>6523.6</c:v>
                </c:pt>
                <c:pt idx="11">
                  <c:v>5970.2</c:v>
                </c:pt>
                <c:pt idx="12">
                  <c:v>5432.5</c:v>
                </c:pt>
                <c:pt idx="13">
                  <c:v>6000.5</c:v>
                </c:pt>
                <c:pt idx="14">
                  <c:v>5745.2</c:v>
                </c:pt>
                <c:pt idx="15">
                  <c:v>5737.6</c:v>
                </c:pt>
                <c:pt idx="16">
                  <c:v>5340.7</c:v>
                </c:pt>
                <c:pt idx="17">
                  <c:v>6392.4</c:v>
                </c:pt>
                <c:pt idx="18">
                  <c:v>6414.4</c:v>
                </c:pt>
                <c:pt idx="19">
                  <c:v>6427.2</c:v>
                </c:pt>
                <c:pt idx="20">
                  <c:v>6448.1</c:v>
                </c:pt>
                <c:pt idx="21">
                  <c:v>5862.6</c:v>
                </c:pt>
                <c:pt idx="22">
                  <c:v>5879.6</c:v>
                </c:pt>
                <c:pt idx="23">
                  <c:v>5190.4000000000005</c:v>
                </c:pt>
                <c:pt idx="24">
                  <c:v>3843.3</c:v>
                </c:pt>
                <c:pt idx="25">
                  <c:v>3283.2</c:v>
                </c:pt>
                <c:pt idx="26">
                  <c:v>4727.7</c:v>
                </c:pt>
                <c:pt idx="27">
                  <c:v>4748.1000000000004</c:v>
                </c:pt>
                <c:pt idx="28">
                  <c:v>5351.8</c:v>
                </c:pt>
                <c:pt idx="29">
                  <c:v>5772.2</c:v>
                </c:pt>
                <c:pt idx="30">
                  <c:v>7042.6</c:v>
                </c:pt>
                <c:pt idx="31">
                  <c:v>6862.8</c:v>
                </c:pt>
                <c:pt idx="32">
                  <c:v>7933.1</c:v>
                </c:pt>
                <c:pt idx="33">
                  <c:v>8456.9</c:v>
                </c:pt>
                <c:pt idx="34">
                  <c:v>8572.1</c:v>
                </c:pt>
                <c:pt idx="35">
                  <c:v>8734.5</c:v>
                </c:pt>
                <c:pt idx="36">
                  <c:v>9070.2000000000007</c:v>
                </c:pt>
                <c:pt idx="37">
                  <c:v>9427.2999999999811</c:v>
                </c:pt>
                <c:pt idx="38">
                  <c:v>9436.4</c:v>
                </c:pt>
                <c:pt idx="39">
                  <c:v>9441.7999999999811</c:v>
                </c:pt>
                <c:pt idx="40">
                  <c:v>2209.6999999999998</c:v>
                </c:pt>
                <c:pt idx="41">
                  <c:v>2215.1</c:v>
                </c:pt>
                <c:pt idx="42">
                  <c:v>2222.6</c:v>
                </c:pt>
              </c:numCache>
            </c:numRef>
          </c:val>
        </c:ser>
        <c:gapWidth val="20"/>
        <c:overlap val="100"/>
        <c:axId val="137758208"/>
        <c:axId val="137759744"/>
      </c:barChart>
      <c:catAx>
        <c:axId val="137758208"/>
        <c:scaling>
          <c:orientation val="minMax"/>
        </c:scaling>
        <c:axPos val="b"/>
        <c:numFmt formatCode="@"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Narrow" pitchFamily="34" charset="0"/>
                <a:ea typeface="Times New Roman"/>
                <a:cs typeface="Times New Roman"/>
              </a:defRPr>
            </a:pPr>
            <a:endParaRPr lang="el-GR"/>
          </a:p>
        </c:txPr>
        <c:crossAx val="137759744"/>
        <c:crosses val="autoZero"/>
        <c:auto val="1"/>
        <c:lblAlgn val="ctr"/>
        <c:lblOffset val="100"/>
        <c:tickLblSkip val="1"/>
        <c:tickMarkSkip val="1"/>
      </c:catAx>
      <c:valAx>
        <c:axId val="137759744"/>
        <c:scaling>
          <c:orientation val="minMax"/>
          <c:max val="28000"/>
          <c:min val="0"/>
        </c:scaling>
        <c:axPos val="l"/>
        <c:numFmt formatCode="#,##0" sourceLinked="0"/>
        <c:tickLblPos val="nextTo"/>
        <c:spPr>
          <a:ln w="3175">
            <a:solidFill>
              <a:srgbClr val="000000"/>
            </a:solidFill>
            <a:prstDash val="solid"/>
          </a:ln>
        </c:spPr>
        <c:txPr>
          <a:bodyPr rot="0" vert="horz"/>
          <a:lstStyle/>
          <a:p>
            <a:pPr>
              <a:defRPr sz="800" b="1" i="0" u="none" strike="noStrike" baseline="0">
                <a:solidFill>
                  <a:srgbClr val="000000"/>
                </a:solidFill>
                <a:latin typeface="Arial Narrow" pitchFamily="34" charset="0"/>
                <a:ea typeface="Times New Roman"/>
                <a:cs typeface="Times New Roman"/>
              </a:defRPr>
            </a:pPr>
            <a:endParaRPr lang="el-GR"/>
          </a:p>
        </c:txPr>
        <c:crossAx val="137758208"/>
        <c:crosses val="autoZero"/>
        <c:crossBetween val="between"/>
        <c:majorUnit val="2000"/>
      </c:valAx>
      <c:spPr>
        <a:solidFill>
          <a:srgbClr val="FFFFFF"/>
        </a:solidFill>
        <a:ln w="25400">
          <a:noFill/>
        </a:ln>
      </c:spPr>
    </c:plotArea>
    <c:legend>
      <c:legendPos val="b"/>
      <c:layout>
        <c:manualLayout>
          <c:xMode val="edge"/>
          <c:yMode val="edge"/>
          <c:x val="0.15824803149606517"/>
          <c:y val="0.90909340633496105"/>
          <c:w val="0.68508712452610121"/>
          <c:h val="5.8822220865802854E-2"/>
        </c:manualLayout>
      </c:layout>
      <c:spPr>
        <a:solidFill>
          <a:srgbClr val="FFFFFF"/>
        </a:solidFill>
        <a:ln w="25400">
          <a:noFill/>
        </a:ln>
      </c:spPr>
      <c:txPr>
        <a:bodyPr/>
        <a:lstStyle/>
        <a:p>
          <a:pPr>
            <a:defRPr sz="1010" b="1" i="0" u="none" strike="noStrike" baseline="0">
              <a:solidFill>
                <a:srgbClr val="000000"/>
              </a:solidFill>
              <a:latin typeface="Arial Narrow" pitchFamily="34" charset="0"/>
              <a:ea typeface="Times New Roman"/>
              <a:cs typeface="Times New Roman"/>
            </a:defRPr>
          </a:pPr>
          <a:endParaRPr lang="el-GR"/>
        </a:p>
      </c:txPr>
    </c:legend>
    <c:plotVisOnly val="1"/>
    <c:dispBlanksAs val="gap"/>
  </c:chart>
  <c:spPr>
    <a:solidFill>
      <a:srgbClr val="FFFFFF"/>
    </a:solidFill>
    <a:ln w="9525">
      <a:noFill/>
    </a:ln>
  </c:spPr>
  <c:txPr>
    <a:bodyPr/>
    <a:lstStyle/>
    <a:p>
      <a:pPr>
        <a:defRPr sz="1725" b="0" i="0" u="none" strike="noStrike" baseline="0">
          <a:solidFill>
            <a:srgbClr val="000000"/>
          </a:solidFill>
          <a:latin typeface="Times New Roman"/>
          <a:ea typeface="Times New Roman"/>
          <a:cs typeface="Times New Roman"/>
        </a:defRPr>
      </a:pPr>
      <a:endParaRPr lang="el-GR"/>
    </a:p>
  </c:txPr>
  <c:externalData r:id="rId2"/>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7C2D-9E9E-4065-B560-D21689E6FB97}">
  <ds:schemaRefs>
    <ds:schemaRef ds:uri="http://schemas.openxmlformats.org/officeDocument/2006/bibliography"/>
  </ds:schemaRefs>
</ds:datastoreItem>
</file>

<file path=customXml/itemProps2.xml><?xml version="1.0" encoding="utf-8"?>
<ds:datastoreItem xmlns:ds="http://schemas.openxmlformats.org/officeDocument/2006/customXml" ds:itemID="{36EBFE63-B7A7-46D5-9212-73A73257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PROSX2006</Template>
  <TotalTime>0</TotalTime>
  <Pages>50</Pages>
  <Words>19459</Words>
  <Characters>105083</Characters>
  <Application>Microsoft Office Word</Application>
  <DocSecurity>0</DocSecurity>
  <Lines>875</Lines>
  <Paragraphs>248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ΟΙΚΟΝΟΜΙΚΕΣ ΕΞΕΛΙΞΕΙΣ</vt:lpstr>
      <vt:lpstr>ΟΙΚΟΝΟΜΙΚΕΣ ΕΞΕΛΙΞΕΙΣ</vt:lpstr>
    </vt:vector>
  </TitlesOfParts>
  <Company/>
  <LinksUpToDate>false</LinksUpToDate>
  <CharactersWithSpaces>124294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ΟΙΚΟΝΟΜΙΚΕΣ ΕΞΕΛΙΞΕΙΣ</dc:title>
  <dc:creator>pxristof</dc:creator>
  <cp:lastModifiedBy>user</cp:lastModifiedBy>
  <cp:revision>2</cp:revision>
  <cp:lastPrinted>2017-10-01T18:06:00Z</cp:lastPrinted>
  <dcterms:created xsi:type="dcterms:W3CDTF">2017-10-02T12:24:00Z</dcterms:created>
  <dcterms:modified xsi:type="dcterms:W3CDTF">2017-10-02T12:24:00Z</dcterms:modified>
</cp:coreProperties>
</file>