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cs="Calibri" w:cstheme="minorHAnsi"/>
          <w:bCs/>
          <w:sz w:val="24"/>
          <w:szCs w:val="24"/>
          <w:shd w:fill="FFFFFF" w:val="clear"/>
        </w:rPr>
      </w:pPr>
      <w:r>
        <w:rPr/>
      </w:r>
    </w:p>
    <w:p>
      <w:pPr>
        <w:pStyle w:val="Normal"/>
        <w:jc w:val="both"/>
        <w:rPr>
          <w:rFonts w:cs="Calibri" w:cstheme="minorHAnsi"/>
          <w:sz w:val="24"/>
          <w:szCs w:val="24"/>
        </w:rPr>
      </w:pPr>
      <w:r>
        <w:rPr/>
      </w:r>
    </w:p>
    <w:p>
      <w:pPr>
        <w:pStyle w:val="Normal"/>
        <w:jc w:val="both"/>
        <w:rPr>
          <w:rFonts w:cs="Calibri" w:cstheme="minorHAnsi"/>
          <w:sz w:val="24"/>
          <w:szCs w:val="24"/>
        </w:rPr>
      </w:pPr>
      <w:r>
        <w:rPr>
          <w:rFonts w:cs="Calibri" w:cstheme="minorHAnsi"/>
          <w:sz w:val="24"/>
          <w:szCs w:val="24"/>
        </w:rPr>
        <w:t>Τα αρχικά επιτόκια (από τα οποία αφαιρείται η επιδότηση που προβλέπει το πρόγραμμα) ανακοινώθηκαν από τις τράπεζες που συμμετέχουν στο πρόγραμμα και έχουν ως εξής:</w:t>
      </w:r>
    </w:p>
    <w:tbl>
      <w:tblPr>
        <w:tblStyle w:val="a8"/>
        <w:tblW w:w="829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72"/>
        <w:gridCol w:w="2072"/>
        <w:gridCol w:w="2073"/>
        <w:gridCol w:w="2072"/>
      </w:tblGrid>
      <w:tr>
        <w:trPr/>
        <w:tc>
          <w:tcPr>
            <w:tcW w:w="2072" w:type="dxa"/>
            <w:tcBorders/>
          </w:tcPr>
          <w:p>
            <w:pPr>
              <w:pStyle w:val="Normal"/>
              <w:widowControl/>
              <w:spacing w:lineRule="auto" w:line="240" w:before="0" w:after="0"/>
              <w:jc w:val="left"/>
              <w:rPr>
                <w:rFonts w:ascii="Calibri" w:hAnsi="Calibri" w:eastAsia="Calibri" w:cs=""/>
                <w:kern w:val="0"/>
                <w:sz w:val="22"/>
                <w:szCs w:val="22"/>
                <w:lang w:val="el-GR" w:eastAsia="en-US" w:bidi="ar-SA"/>
              </w:rPr>
            </w:pPr>
            <w:r>
              <w:rPr>
                <w:rFonts w:eastAsia="Calibri" w:cs=""/>
                <w:kern w:val="0"/>
                <w:sz w:val="22"/>
                <w:szCs w:val="22"/>
                <w:lang w:val="el-GR" w:eastAsia="en-US" w:bidi="ar-SA"/>
              </w:rPr>
            </w:r>
          </w:p>
        </w:tc>
        <w:tc>
          <w:tcPr>
            <w:tcW w:w="2072" w:type="dxa"/>
            <w:tcBorders/>
            <w:vAlign w:val="center"/>
          </w:tcPr>
          <w:p>
            <w:pPr>
              <w:pStyle w:val="Normal"/>
              <w:widowControl/>
              <w:spacing w:lineRule="auto" w:line="240" w:before="0" w:after="0"/>
              <w:jc w:val="center"/>
              <w:rPr>
                <w:b/>
                <w:b/>
                <w:bCs/>
              </w:rPr>
            </w:pPr>
            <w:r>
              <w:rPr>
                <w:rFonts w:eastAsia="Calibri" w:cs=""/>
                <w:b/>
                <w:bCs/>
                <w:kern w:val="0"/>
                <w:sz w:val="22"/>
                <w:szCs w:val="22"/>
                <w:lang w:val="el-GR" w:eastAsia="en-US" w:bidi="ar-SA"/>
              </w:rPr>
              <w:t>Σταθερό επιτόκιο</w:t>
            </w:r>
          </w:p>
        </w:tc>
        <w:tc>
          <w:tcPr>
            <w:tcW w:w="2073" w:type="dxa"/>
            <w:tcBorders/>
            <w:vAlign w:val="center"/>
          </w:tcPr>
          <w:p>
            <w:pPr>
              <w:pStyle w:val="Normal"/>
              <w:widowControl/>
              <w:spacing w:lineRule="auto" w:line="240" w:before="0" w:after="0"/>
              <w:jc w:val="center"/>
              <w:rPr>
                <w:b/>
                <w:b/>
                <w:bCs/>
              </w:rPr>
            </w:pPr>
            <w:r>
              <w:rPr>
                <w:rFonts w:eastAsia="Calibri" w:cs=""/>
                <w:b/>
                <w:bCs/>
                <w:kern w:val="0"/>
                <w:sz w:val="22"/>
                <w:szCs w:val="22"/>
                <w:lang w:val="el-GR" w:eastAsia="en-US" w:bidi="ar-SA"/>
              </w:rPr>
              <w:t>Κυμαινόμενο επιτόκιο</w:t>
            </w:r>
          </w:p>
        </w:tc>
        <w:tc>
          <w:tcPr>
            <w:tcW w:w="2072" w:type="dxa"/>
            <w:tcBorders/>
            <w:vAlign w:val="center"/>
          </w:tcPr>
          <w:p>
            <w:pPr>
              <w:pStyle w:val="Normal"/>
              <w:widowControl/>
              <w:spacing w:lineRule="auto" w:line="240" w:before="0" w:after="0"/>
              <w:jc w:val="center"/>
              <w:rPr>
                <w:b/>
                <w:b/>
                <w:bCs/>
              </w:rPr>
            </w:pPr>
            <w:r>
              <w:rPr>
                <w:rFonts w:eastAsia="Calibri" w:cs=""/>
                <w:b/>
                <w:bCs/>
                <w:kern w:val="0"/>
                <w:sz w:val="22"/>
                <w:szCs w:val="22"/>
                <w:lang w:val="el-GR" w:eastAsia="en-US" w:bidi="ar-SA"/>
              </w:rPr>
              <w:t>Περιθώριο</w:t>
            </w:r>
          </w:p>
        </w:tc>
      </w:tr>
      <w:tr>
        <w:trPr/>
        <w:tc>
          <w:tcPr>
            <w:tcW w:w="2072" w:type="dxa"/>
            <w:tcBorders/>
          </w:tcPr>
          <w:p>
            <w:pPr>
              <w:pStyle w:val="Normal"/>
              <w:widowControl/>
              <w:spacing w:lineRule="auto" w:line="240" w:before="0" w:after="0"/>
              <w:jc w:val="left"/>
              <w:rPr>
                <w:b/>
                <w:b/>
                <w:bCs/>
                <w:lang w:val="en-US"/>
              </w:rPr>
            </w:pPr>
            <w:r>
              <w:rPr>
                <w:rFonts w:eastAsia="Calibri" w:cs=""/>
                <w:b/>
                <w:bCs/>
                <w:kern w:val="0"/>
                <w:sz w:val="22"/>
                <w:szCs w:val="22"/>
                <w:lang w:val="en-US" w:eastAsia="en-US" w:bidi="ar-SA"/>
              </w:rPr>
              <w:t>Alpha Bank</w:t>
            </w:r>
          </w:p>
        </w:tc>
        <w:tc>
          <w:tcPr>
            <w:tcW w:w="2072" w:type="dxa"/>
            <w:tcBorders/>
            <w:vAlign w:val="center"/>
          </w:tcPr>
          <w:p>
            <w:pPr>
              <w:pStyle w:val="Normal"/>
              <w:widowControl/>
              <w:spacing w:lineRule="auto" w:line="240" w:before="0" w:after="0"/>
              <w:jc w:val="center"/>
              <w:rPr>
                <w:rFonts w:ascii="Calibri" w:hAnsi="Calibri" w:eastAsia="Calibri" w:cs=""/>
                <w:kern w:val="0"/>
                <w:sz w:val="22"/>
                <w:szCs w:val="22"/>
                <w:lang w:val="el-GR" w:eastAsia="en-US" w:bidi="ar-SA"/>
              </w:rPr>
            </w:pPr>
            <w:r>
              <w:rPr>
                <w:rFonts w:eastAsia="Calibri" w:cs=""/>
                <w:kern w:val="0"/>
                <w:sz w:val="22"/>
                <w:szCs w:val="22"/>
                <w:lang w:val="el-GR" w:eastAsia="en-US" w:bidi="ar-SA"/>
              </w:rPr>
            </w:r>
          </w:p>
        </w:tc>
        <w:tc>
          <w:tcPr>
            <w:tcW w:w="2073" w:type="dxa"/>
            <w:tcBorders/>
            <w:vAlign w:val="center"/>
          </w:tcPr>
          <w:p>
            <w:pPr>
              <w:pStyle w:val="Normal"/>
              <w:widowControl/>
              <w:spacing w:lineRule="auto" w:line="240" w:before="0" w:after="0"/>
              <w:jc w:val="center"/>
              <w:rPr>
                <w:lang w:val="en-US"/>
              </w:rPr>
            </w:pPr>
            <w:r>
              <w:rPr>
                <w:rFonts w:eastAsia="Calibri" w:cs=""/>
                <w:kern w:val="0"/>
                <w:sz w:val="22"/>
                <w:szCs w:val="22"/>
                <w:lang w:val="en-US" w:eastAsia="en-US" w:bidi="ar-SA"/>
              </w:rPr>
              <w:t>Euribor 3M</w:t>
            </w:r>
          </w:p>
        </w:tc>
        <w:tc>
          <w:tcPr>
            <w:tcW w:w="2072" w:type="dxa"/>
            <w:tcBorders/>
            <w:vAlign w:val="center"/>
          </w:tcPr>
          <w:p>
            <w:pPr>
              <w:pStyle w:val="Normal"/>
              <w:widowControl/>
              <w:spacing w:lineRule="auto" w:line="240" w:before="0" w:after="0"/>
              <w:jc w:val="center"/>
              <w:rPr>
                <w:lang w:val="en-US"/>
              </w:rPr>
            </w:pPr>
            <w:r>
              <w:rPr>
                <w:rFonts w:eastAsia="Calibri" w:cs=""/>
                <w:kern w:val="0"/>
                <w:sz w:val="22"/>
                <w:szCs w:val="22"/>
                <w:lang w:val="en-US" w:eastAsia="en-US" w:bidi="ar-SA"/>
              </w:rPr>
              <w:t>2,2%</w:t>
            </w:r>
          </w:p>
        </w:tc>
      </w:tr>
      <w:tr>
        <w:trPr/>
        <w:tc>
          <w:tcPr>
            <w:tcW w:w="2072" w:type="dxa"/>
            <w:tcBorders/>
          </w:tcPr>
          <w:p>
            <w:pPr>
              <w:pStyle w:val="Normal"/>
              <w:widowControl/>
              <w:spacing w:lineRule="auto" w:line="240" w:before="0" w:after="0"/>
              <w:jc w:val="left"/>
              <w:rPr>
                <w:b/>
                <w:b/>
                <w:bCs/>
                <w:lang w:val="en-US"/>
              </w:rPr>
            </w:pPr>
            <w:r>
              <w:rPr>
                <w:rFonts w:eastAsia="Calibri" w:cs=""/>
                <w:b/>
                <w:bCs/>
                <w:kern w:val="0"/>
                <w:sz w:val="22"/>
                <w:szCs w:val="22"/>
                <w:lang w:val="en-US" w:eastAsia="en-US" w:bidi="ar-SA"/>
              </w:rPr>
              <w:t>Eurobank</w:t>
            </w:r>
          </w:p>
        </w:tc>
        <w:tc>
          <w:tcPr>
            <w:tcW w:w="2072" w:type="dxa"/>
            <w:tcBorders/>
            <w:vAlign w:val="center"/>
          </w:tcPr>
          <w:p>
            <w:pPr>
              <w:pStyle w:val="Normal"/>
              <w:widowControl/>
              <w:spacing w:lineRule="auto" w:line="240" w:before="0" w:after="0"/>
              <w:jc w:val="center"/>
              <w:rPr>
                <w:rFonts w:ascii="Calibri" w:hAnsi="Calibri" w:eastAsia="Calibri" w:cs=""/>
                <w:kern w:val="0"/>
                <w:sz w:val="22"/>
                <w:szCs w:val="22"/>
                <w:lang w:val="el-GR" w:eastAsia="en-US" w:bidi="ar-SA"/>
              </w:rPr>
            </w:pPr>
            <w:r>
              <w:rPr>
                <w:rFonts w:eastAsia="Calibri" w:cs=""/>
                <w:kern w:val="0"/>
                <w:sz w:val="22"/>
                <w:szCs w:val="22"/>
                <w:lang w:val="el-GR" w:eastAsia="en-US" w:bidi="ar-SA"/>
              </w:rPr>
            </w:r>
          </w:p>
        </w:tc>
        <w:tc>
          <w:tcPr>
            <w:tcW w:w="2073" w:type="dxa"/>
            <w:tcBorders/>
            <w:vAlign w:val="center"/>
          </w:tcPr>
          <w:p>
            <w:pPr>
              <w:pStyle w:val="Normal"/>
              <w:widowControl/>
              <w:spacing w:lineRule="auto" w:line="240" w:before="0" w:after="0"/>
              <w:jc w:val="center"/>
              <w:rPr>
                <w:rFonts w:ascii="Calibri" w:hAnsi="Calibri" w:eastAsia="Calibri" w:cs=""/>
                <w:kern w:val="0"/>
                <w:sz w:val="22"/>
                <w:szCs w:val="22"/>
                <w:lang w:eastAsia="en-US" w:bidi="ar-SA"/>
              </w:rPr>
            </w:pPr>
            <w:r>
              <w:rPr>
                <w:rFonts w:eastAsia="Calibri" w:cs=""/>
                <w:kern w:val="0"/>
                <w:sz w:val="22"/>
                <w:szCs w:val="22"/>
                <w:lang w:val="en-US" w:eastAsia="en-US" w:bidi="ar-SA"/>
              </w:rPr>
              <w:t>Euribor 3M</w:t>
            </w:r>
          </w:p>
        </w:tc>
        <w:tc>
          <w:tcPr>
            <w:tcW w:w="2072" w:type="dxa"/>
            <w:tcBorders/>
            <w:vAlign w:val="center"/>
          </w:tcPr>
          <w:p>
            <w:pPr>
              <w:pStyle w:val="Normal"/>
              <w:widowControl/>
              <w:spacing w:lineRule="auto" w:line="240" w:before="0" w:after="0"/>
              <w:jc w:val="center"/>
              <w:rPr>
                <w:lang w:val="en-US"/>
              </w:rPr>
            </w:pPr>
            <w:r>
              <w:rPr>
                <w:rFonts w:eastAsia="Calibri" w:cs=""/>
                <w:kern w:val="0"/>
                <w:sz w:val="22"/>
                <w:szCs w:val="22"/>
                <w:lang w:val="en-US" w:eastAsia="en-US" w:bidi="ar-SA"/>
              </w:rPr>
              <w:t>1%-4%</w:t>
            </w:r>
          </w:p>
        </w:tc>
      </w:tr>
      <w:tr>
        <w:trPr/>
        <w:tc>
          <w:tcPr>
            <w:tcW w:w="2072" w:type="dxa"/>
            <w:tcBorders/>
          </w:tcPr>
          <w:p>
            <w:pPr>
              <w:pStyle w:val="Normal"/>
              <w:widowControl/>
              <w:spacing w:lineRule="auto" w:line="240" w:before="0" w:after="0"/>
              <w:jc w:val="left"/>
              <w:rPr>
                <w:b/>
                <w:b/>
                <w:bCs/>
              </w:rPr>
            </w:pPr>
            <w:r>
              <w:rPr>
                <w:rFonts w:eastAsia="Calibri" w:cs=""/>
                <w:b/>
                <w:bCs/>
                <w:kern w:val="0"/>
                <w:sz w:val="22"/>
                <w:szCs w:val="22"/>
                <w:lang w:val="el-GR" w:eastAsia="en-US" w:bidi="ar-SA"/>
              </w:rPr>
              <w:t>Εθνική</w:t>
            </w:r>
          </w:p>
        </w:tc>
        <w:tc>
          <w:tcPr>
            <w:tcW w:w="2072" w:type="dxa"/>
            <w:tcBorders/>
            <w:vAlign w:val="center"/>
          </w:tcPr>
          <w:p>
            <w:pPr>
              <w:pStyle w:val="Normal"/>
              <w:widowControl/>
              <w:spacing w:lineRule="auto" w:line="240" w:before="0" w:after="0"/>
              <w:jc w:val="center"/>
              <w:rPr>
                <w:rFonts w:ascii="Calibri" w:hAnsi="Calibri" w:eastAsia="Calibri" w:cs=""/>
                <w:kern w:val="0"/>
                <w:sz w:val="22"/>
                <w:szCs w:val="22"/>
                <w:lang w:val="el-GR" w:eastAsia="en-US" w:bidi="ar-SA"/>
              </w:rPr>
            </w:pPr>
            <w:r>
              <w:rPr>
                <w:rFonts w:eastAsia="Calibri" w:cs=""/>
                <w:kern w:val="0"/>
                <w:sz w:val="22"/>
                <w:szCs w:val="22"/>
                <w:lang w:val="el-GR" w:eastAsia="en-US" w:bidi="ar-SA"/>
              </w:rPr>
            </w:r>
          </w:p>
        </w:tc>
        <w:tc>
          <w:tcPr>
            <w:tcW w:w="2073" w:type="dxa"/>
            <w:tcBorders/>
            <w:vAlign w:val="center"/>
          </w:tcPr>
          <w:p>
            <w:pPr>
              <w:pStyle w:val="Normal"/>
              <w:widowControl/>
              <w:spacing w:lineRule="auto" w:line="240" w:before="0" w:after="0"/>
              <w:jc w:val="center"/>
              <w:rPr>
                <w:rFonts w:ascii="Calibri" w:hAnsi="Calibri" w:eastAsia="Calibri" w:cs=""/>
                <w:kern w:val="0"/>
                <w:sz w:val="22"/>
                <w:szCs w:val="22"/>
                <w:lang w:eastAsia="en-US" w:bidi="ar-SA"/>
              </w:rPr>
            </w:pPr>
            <w:r>
              <w:rPr>
                <w:rFonts w:eastAsia="Calibri" w:cs=""/>
                <w:kern w:val="0"/>
                <w:sz w:val="22"/>
                <w:szCs w:val="22"/>
                <w:lang w:val="en-US" w:eastAsia="en-US" w:bidi="ar-SA"/>
              </w:rPr>
              <w:t>Euribor 3M</w:t>
            </w:r>
          </w:p>
        </w:tc>
        <w:tc>
          <w:tcPr>
            <w:tcW w:w="2072" w:type="dxa"/>
            <w:tcBorders/>
            <w:vAlign w:val="center"/>
          </w:tcPr>
          <w:p>
            <w:pPr>
              <w:pStyle w:val="Normal"/>
              <w:widowControl/>
              <w:spacing w:lineRule="auto" w:line="240" w:before="0" w:after="0"/>
              <w:jc w:val="center"/>
              <w:rPr>
                <w:lang w:val="en-US"/>
              </w:rPr>
            </w:pPr>
            <w:r>
              <w:rPr>
                <w:rFonts w:eastAsia="Calibri" w:cs=""/>
                <w:kern w:val="0"/>
                <w:sz w:val="22"/>
                <w:szCs w:val="22"/>
                <w:lang w:val="en-US" w:eastAsia="en-US" w:bidi="ar-SA"/>
              </w:rPr>
              <w:t>2%-2,5%</w:t>
            </w:r>
          </w:p>
        </w:tc>
      </w:tr>
      <w:tr>
        <w:trPr/>
        <w:tc>
          <w:tcPr>
            <w:tcW w:w="2072" w:type="dxa"/>
            <w:tcBorders/>
          </w:tcPr>
          <w:p>
            <w:pPr>
              <w:pStyle w:val="Normal"/>
              <w:widowControl/>
              <w:spacing w:lineRule="auto" w:line="240" w:before="0" w:after="0"/>
              <w:jc w:val="left"/>
              <w:rPr>
                <w:b/>
                <w:b/>
                <w:bCs/>
              </w:rPr>
            </w:pPr>
            <w:r>
              <w:rPr>
                <w:rFonts w:eastAsia="Calibri" w:cs=""/>
                <w:b/>
                <w:bCs/>
                <w:kern w:val="0"/>
                <w:sz w:val="22"/>
                <w:szCs w:val="22"/>
                <w:lang w:val="el-GR" w:eastAsia="en-US" w:bidi="ar-SA"/>
              </w:rPr>
              <w:t>Τράπεζα Πειραιώς</w:t>
            </w:r>
          </w:p>
        </w:tc>
        <w:tc>
          <w:tcPr>
            <w:tcW w:w="2072" w:type="dxa"/>
            <w:tcBorders/>
            <w:vAlign w:val="center"/>
          </w:tcPr>
          <w:p>
            <w:pPr>
              <w:pStyle w:val="Normal"/>
              <w:widowControl/>
              <w:spacing w:lineRule="auto" w:line="240" w:before="0" w:after="0"/>
              <w:jc w:val="center"/>
              <w:rPr>
                <w:rFonts w:ascii="Calibri" w:hAnsi="Calibri" w:eastAsia="Calibri" w:cs=""/>
                <w:kern w:val="0"/>
                <w:sz w:val="22"/>
                <w:szCs w:val="22"/>
                <w:lang w:val="el-GR" w:eastAsia="en-US" w:bidi="ar-SA"/>
              </w:rPr>
            </w:pPr>
            <w:r>
              <w:rPr>
                <w:rFonts w:eastAsia="Calibri" w:cs=""/>
                <w:kern w:val="0"/>
                <w:sz w:val="22"/>
                <w:szCs w:val="22"/>
                <w:lang w:val="el-GR" w:eastAsia="en-US" w:bidi="ar-SA"/>
              </w:rPr>
            </w:r>
          </w:p>
        </w:tc>
        <w:tc>
          <w:tcPr>
            <w:tcW w:w="2073" w:type="dxa"/>
            <w:tcBorders/>
            <w:vAlign w:val="center"/>
          </w:tcPr>
          <w:p>
            <w:pPr>
              <w:pStyle w:val="Normal"/>
              <w:widowControl/>
              <w:spacing w:lineRule="auto" w:line="240" w:before="0" w:after="0"/>
              <w:jc w:val="center"/>
              <w:rPr>
                <w:rFonts w:ascii="Calibri" w:hAnsi="Calibri" w:eastAsia="Calibri" w:cs=""/>
                <w:kern w:val="0"/>
                <w:sz w:val="22"/>
                <w:szCs w:val="22"/>
                <w:lang w:eastAsia="en-US" w:bidi="ar-SA"/>
              </w:rPr>
            </w:pPr>
            <w:r>
              <w:rPr>
                <w:rFonts w:eastAsia="Calibri" w:cs=""/>
                <w:kern w:val="0"/>
                <w:sz w:val="22"/>
                <w:szCs w:val="22"/>
                <w:lang w:val="en-US" w:eastAsia="en-US" w:bidi="ar-SA"/>
              </w:rPr>
              <w:t>Euribor 1M</w:t>
            </w:r>
          </w:p>
        </w:tc>
        <w:tc>
          <w:tcPr>
            <w:tcW w:w="2072" w:type="dxa"/>
            <w:tcBorders/>
            <w:vAlign w:val="center"/>
          </w:tcPr>
          <w:p>
            <w:pPr>
              <w:pStyle w:val="Normal"/>
              <w:widowControl/>
              <w:spacing w:lineRule="auto" w:line="240" w:before="0" w:after="0"/>
              <w:jc w:val="center"/>
              <w:rPr>
                <w:lang w:val="en-US"/>
              </w:rPr>
            </w:pPr>
            <w:r>
              <w:rPr>
                <w:rFonts w:eastAsia="Calibri" w:cs=""/>
                <w:kern w:val="0"/>
                <w:sz w:val="22"/>
                <w:szCs w:val="22"/>
                <w:lang w:val="en-US" w:eastAsia="en-US" w:bidi="ar-SA"/>
              </w:rPr>
              <w:t>2,5%</w:t>
            </w:r>
          </w:p>
        </w:tc>
      </w:tr>
      <w:tr>
        <w:trPr/>
        <w:tc>
          <w:tcPr>
            <w:tcW w:w="2072" w:type="dxa"/>
            <w:tcBorders/>
          </w:tcPr>
          <w:p>
            <w:pPr>
              <w:pStyle w:val="Normal"/>
              <w:widowControl/>
              <w:spacing w:lineRule="auto" w:line="240" w:before="0" w:after="0"/>
              <w:jc w:val="left"/>
              <w:rPr>
                <w:b/>
                <w:b/>
                <w:bCs/>
              </w:rPr>
            </w:pPr>
            <w:r>
              <w:rPr>
                <w:rFonts w:eastAsia="Calibri" w:cs=""/>
                <w:b/>
                <w:bCs/>
                <w:kern w:val="0"/>
                <w:sz w:val="22"/>
                <w:szCs w:val="22"/>
                <w:lang w:val="el-GR" w:eastAsia="en-US" w:bidi="ar-SA"/>
              </w:rPr>
              <w:t>Παγκρήτια</w:t>
            </w:r>
          </w:p>
        </w:tc>
        <w:tc>
          <w:tcPr>
            <w:tcW w:w="2072" w:type="dxa"/>
            <w:tcBorders/>
            <w:vAlign w:val="center"/>
          </w:tcPr>
          <w:p>
            <w:pPr>
              <w:pStyle w:val="Normal"/>
              <w:widowControl/>
              <w:spacing w:lineRule="auto" w:line="240" w:before="0" w:after="0"/>
              <w:jc w:val="center"/>
              <w:rPr>
                <w:rFonts w:ascii="Calibri" w:hAnsi="Calibri" w:eastAsia="Calibri" w:cs=""/>
                <w:kern w:val="0"/>
                <w:sz w:val="22"/>
                <w:szCs w:val="22"/>
                <w:lang w:val="el-GR" w:eastAsia="en-US" w:bidi="ar-SA"/>
              </w:rPr>
            </w:pPr>
            <w:r>
              <w:rPr>
                <w:rFonts w:eastAsia="Calibri" w:cs=""/>
                <w:kern w:val="0"/>
                <w:sz w:val="22"/>
                <w:szCs w:val="22"/>
                <w:lang w:val="el-GR" w:eastAsia="en-US" w:bidi="ar-SA"/>
              </w:rPr>
            </w:r>
          </w:p>
        </w:tc>
        <w:tc>
          <w:tcPr>
            <w:tcW w:w="2073" w:type="dxa"/>
            <w:tcBorders/>
            <w:vAlign w:val="center"/>
          </w:tcPr>
          <w:p>
            <w:pPr>
              <w:pStyle w:val="Normal"/>
              <w:widowControl/>
              <w:spacing w:lineRule="auto" w:line="240" w:before="0" w:after="0"/>
              <w:jc w:val="center"/>
              <w:rPr>
                <w:rFonts w:ascii="Calibri" w:hAnsi="Calibri" w:eastAsia="Calibri" w:cs=""/>
                <w:kern w:val="0"/>
                <w:sz w:val="22"/>
                <w:szCs w:val="22"/>
                <w:lang w:eastAsia="en-US" w:bidi="ar-SA"/>
              </w:rPr>
            </w:pPr>
            <w:r>
              <w:rPr>
                <w:rFonts w:eastAsia="Calibri" w:cs=""/>
                <w:kern w:val="0"/>
                <w:sz w:val="22"/>
                <w:szCs w:val="22"/>
                <w:lang w:val="en-US" w:eastAsia="en-US" w:bidi="ar-SA"/>
              </w:rPr>
              <w:t>Euribor 3M</w:t>
            </w:r>
          </w:p>
        </w:tc>
        <w:tc>
          <w:tcPr>
            <w:tcW w:w="2072" w:type="dxa"/>
            <w:tcBorders/>
            <w:vAlign w:val="center"/>
          </w:tcPr>
          <w:p>
            <w:pPr>
              <w:pStyle w:val="Normal"/>
              <w:widowControl/>
              <w:spacing w:lineRule="auto" w:line="240" w:before="0" w:after="0"/>
              <w:jc w:val="center"/>
              <w:rPr>
                <w:lang w:val="en-US"/>
              </w:rPr>
            </w:pPr>
            <w:r>
              <w:rPr>
                <w:rFonts w:eastAsia="Calibri" w:cs=""/>
                <w:kern w:val="0"/>
                <w:sz w:val="22"/>
                <w:szCs w:val="22"/>
                <w:lang w:val="en-US" w:eastAsia="en-US" w:bidi="ar-SA"/>
              </w:rPr>
              <w:t>1,5%-2%</w:t>
            </w:r>
          </w:p>
        </w:tc>
      </w:tr>
      <w:tr>
        <w:trPr/>
        <w:tc>
          <w:tcPr>
            <w:tcW w:w="2072" w:type="dxa"/>
            <w:tcBorders/>
          </w:tcPr>
          <w:p>
            <w:pPr>
              <w:pStyle w:val="Normal"/>
              <w:widowControl/>
              <w:spacing w:lineRule="auto" w:line="240" w:before="0" w:after="0"/>
              <w:jc w:val="left"/>
              <w:rPr>
                <w:b/>
                <w:b/>
                <w:bCs/>
              </w:rPr>
            </w:pPr>
            <w:r>
              <w:rPr>
                <w:rFonts w:eastAsia="Calibri" w:cs=""/>
                <w:b/>
                <w:bCs/>
                <w:kern w:val="0"/>
                <w:sz w:val="22"/>
                <w:szCs w:val="22"/>
                <w:lang w:val="el-GR" w:eastAsia="en-US" w:bidi="ar-SA"/>
              </w:rPr>
              <w:t>Συνεταιριστική Τράπεζα Ηπείρου</w:t>
            </w:r>
          </w:p>
        </w:tc>
        <w:tc>
          <w:tcPr>
            <w:tcW w:w="2072" w:type="dxa"/>
            <w:tcBorders/>
            <w:vAlign w:val="center"/>
          </w:tcPr>
          <w:p>
            <w:pPr>
              <w:pStyle w:val="Normal"/>
              <w:widowControl/>
              <w:spacing w:lineRule="auto" w:line="240" w:before="0" w:after="0"/>
              <w:jc w:val="center"/>
              <w:rPr>
                <w:rFonts w:ascii="Calibri" w:hAnsi="Calibri" w:eastAsia="Calibri" w:cs=""/>
                <w:kern w:val="0"/>
                <w:sz w:val="22"/>
                <w:szCs w:val="22"/>
                <w:lang w:val="el-GR" w:eastAsia="en-US" w:bidi="ar-SA"/>
              </w:rPr>
            </w:pPr>
            <w:r>
              <w:rPr>
                <w:rFonts w:eastAsia="Calibri" w:cs=""/>
                <w:kern w:val="0"/>
                <w:sz w:val="22"/>
                <w:szCs w:val="22"/>
                <w:lang w:val="el-GR" w:eastAsia="en-US" w:bidi="ar-SA"/>
              </w:rPr>
            </w:r>
          </w:p>
        </w:tc>
        <w:tc>
          <w:tcPr>
            <w:tcW w:w="2073" w:type="dxa"/>
            <w:tcBorders/>
            <w:vAlign w:val="center"/>
          </w:tcPr>
          <w:p>
            <w:pPr>
              <w:pStyle w:val="Normal"/>
              <w:widowControl/>
              <w:spacing w:lineRule="auto" w:line="240" w:before="0" w:after="0"/>
              <w:jc w:val="center"/>
              <w:rPr>
                <w:rFonts w:ascii="Calibri" w:hAnsi="Calibri" w:eastAsia="Calibri" w:cs=""/>
                <w:kern w:val="0"/>
                <w:sz w:val="22"/>
                <w:szCs w:val="22"/>
                <w:lang w:eastAsia="en-US" w:bidi="ar-SA"/>
              </w:rPr>
            </w:pPr>
            <w:r>
              <w:rPr>
                <w:rFonts w:eastAsia="Calibri" w:cs=""/>
                <w:kern w:val="0"/>
                <w:sz w:val="22"/>
                <w:szCs w:val="22"/>
                <w:lang w:val="en-US" w:eastAsia="en-US" w:bidi="ar-SA"/>
              </w:rPr>
              <w:t>Euribor 3M</w:t>
            </w:r>
          </w:p>
        </w:tc>
        <w:tc>
          <w:tcPr>
            <w:tcW w:w="2072" w:type="dxa"/>
            <w:tcBorders/>
            <w:vAlign w:val="center"/>
          </w:tcPr>
          <w:p>
            <w:pPr>
              <w:pStyle w:val="Normal"/>
              <w:widowControl/>
              <w:spacing w:lineRule="auto" w:line="240" w:before="0" w:after="0"/>
              <w:jc w:val="center"/>
              <w:rPr>
                <w:lang w:val="en-US"/>
              </w:rPr>
            </w:pPr>
            <w:r>
              <w:rPr>
                <w:rFonts w:eastAsia="Calibri" w:cs=""/>
                <w:kern w:val="0"/>
                <w:sz w:val="22"/>
                <w:szCs w:val="22"/>
                <w:lang w:val="en-US" w:eastAsia="en-US" w:bidi="ar-SA"/>
              </w:rPr>
              <w:t>2%-3,5%</w:t>
            </w:r>
          </w:p>
        </w:tc>
      </w:tr>
      <w:tr>
        <w:trPr/>
        <w:tc>
          <w:tcPr>
            <w:tcW w:w="2072" w:type="dxa"/>
            <w:tcBorders/>
          </w:tcPr>
          <w:p>
            <w:pPr>
              <w:pStyle w:val="Normal"/>
              <w:widowControl/>
              <w:spacing w:lineRule="auto" w:line="240" w:before="0" w:after="0"/>
              <w:jc w:val="left"/>
              <w:rPr>
                <w:b/>
                <w:b/>
                <w:bCs/>
              </w:rPr>
            </w:pPr>
            <w:r>
              <w:rPr>
                <w:rFonts w:eastAsia="Calibri" w:cs=""/>
                <w:b/>
                <w:bCs/>
                <w:kern w:val="0"/>
                <w:sz w:val="22"/>
                <w:szCs w:val="22"/>
                <w:lang w:val="el-GR" w:eastAsia="en-US" w:bidi="ar-SA"/>
              </w:rPr>
              <w:t>Συνεταιριστική Τράπεζα Θεσσαλίας</w:t>
            </w:r>
          </w:p>
        </w:tc>
        <w:tc>
          <w:tcPr>
            <w:tcW w:w="2072" w:type="dxa"/>
            <w:tcBorders/>
            <w:vAlign w:val="center"/>
          </w:tcPr>
          <w:p>
            <w:pPr>
              <w:pStyle w:val="Normal"/>
              <w:widowControl/>
              <w:spacing w:lineRule="auto" w:line="240" w:before="0" w:after="0"/>
              <w:jc w:val="center"/>
              <w:rPr>
                <w:rFonts w:ascii="Calibri" w:hAnsi="Calibri" w:eastAsia="Calibri" w:cs=""/>
                <w:kern w:val="0"/>
                <w:sz w:val="22"/>
                <w:szCs w:val="22"/>
                <w:lang w:val="el-GR" w:eastAsia="en-US" w:bidi="ar-SA"/>
              </w:rPr>
            </w:pPr>
            <w:r>
              <w:rPr>
                <w:rFonts w:eastAsia="Calibri" w:cs=""/>
                <w:kern w:val="0"/>
                <w:sz w:val="22"/>
                <w:szCs w:val="22"/>
                <w:lang w:val="el-GR" w:eastAsia="en-US" w:bidi="ar-SA"/>
              </w:rPr>
            </w:r>
          </w:p>
        </w:tc>
        <w:tc>
          <w:tcPr>
            <w:tcW w:w="2073" w:type="dxa"/>
            <w:tcBorders/>
            <w:vAlign w:val="center"/>
          </w:tcPr>
          <w:p>
            <w:pPr>
              <w:pStyle w:val="Normal"/>
              <w:widowControl/>
              <w:spacing w:lineRule="auto" w:line="240" w:before="0" w:after="0"/>
              <w:jc w:val="center"/>
              <w:rPr>
                <w:rFonts w:ascii="Calibri" w:hAnsi="Calibri" w:eastAsia="Calibri" w:cs=""/>
                <w:kern w:val="0"/>
                <w:sz w:val="22"/>
                <w:szCs w:val="22"/>
                <w:lang w:eastAsia="en-US" w:bidi="ar-SA"/>
              </w:rPr>
            </w:pPr>
            <w:r>
              <w:rPr>
                <w:rFonts w:eastAsia="Calibri" w:cs=""/>
                <w:kern w:val="0"/>
                <w:sz w:val="22"/>
                <w:szCs w:val="22"/>
                <w:lang w:val="en-US" w:eastAsia="en-US" w:bidi="ar-SA"/>
              </w:rPr>
              <w:t>Euribor 1M</w:t>
            </w:r>
          </w:p>
        </w:tc>
        <w:tc>
          <w:tcPr>
            <w:tcW w:w="2072" w:type="dxa"/>
            <w:tcBorders/>
            <w:vAlign w:val="center"/>
          </w:tcPr>
          <w:p>
            <w:pPr>
              <w:pStyle w:val="Normal"/>
              <w:widowControl/>
              <w:spacing w:lineRule="auto" w:line="240" w:before="0" w:after="0"/>
              <w:jc w:val="center"/>
              <w:rPr>
                <w:lang w:val="en-US"/>
              </w:rPr>
            </w:pPr>
            <w:r>
              <w:rPr>
                <w:rFonts w:eastAsia="Calibri" w:cs=""/>
                <w:kern w:val="0"/>
                <w:sz w:val="22"/>
                <w:szCs w:val="22"/>
                <w:lang w:val="en-US" w:eastAsia="en-US" w:bidi="ar-SA"/>
              </w:rPr>
              <w:t>2%-4%</w:t>
            </w:r>
          </w:p>
        </w:tc>
      </w:tr>
      <w:tr>
        <w:trPr/>
        <w:tc>
          <w:tcPr>
            <w:tcW w:w="2072" w:type="dxa"/>
            <w:tcBorders/>
          </w:tcPr>
          <w:p>
            <w:pPr>
              <w:pStyle w:val="Normal"/>
              <w:widowControl/>
              <w:spacing w:lineRule="auto" w:line="240" w:before="0" w:after="0"/>
              <w:jc w:val="left"/>
              <w:rPr>
                <w:b/>
                <w:b/>
                <w:bCs/>
              </w:rPr>
            </w:pPr>
            <w:r>
              <w:rPr>
                <w:rFonts w:eastAsia="Calibri" w:cs=""/>
                <w:b/>
                <w:bCs/>
                <w:kern w:val="0"/>
                <w:sz w:val="22"/>
                <w:szCs w:val="22"/>
                <w:lang w:val="el-GR" w:eastAsia="en-US" w:bidi="ar-SA"/>
              </w:rPr>
              <w:t>Συνεταιριστική Τράπεζα Καρδίτσας</w:t>
            </w:r>
          </w:p>
        </w:tc>
        <w:tc>
          <w:tcPr>
            <w:tcW w:w="2072" w:type="dxa"/>
            <w:tcBorders/>
            <w:vAlign w:val="center"/>
          </w:tcPr>
          <w:p>
            <w:pPr>
              <w:pStyle w:val="Normal"/>
              <w:widowControl/>
              <w:spacing w:lineRule="auto" w:line="240" w:before="0" w:after="0"/>
              <w:jc w:val="center"/>
              <w:rPr>
                <w:rFonts w:ascii="Calibri" w:hAnsi="Calibri" w:eastAsia="Calibri" w:cs=""/>
                <w:kern w:val="0"/>
                <w:sz w:val="22"/>
                <w:szCs w:val="22"/>
                <w:lang w:val="el-GR" w:eastAsia="en-US" w:bidi="ar-SA"/>
              </w:rPr>
            </w:pPr>
            <w:r>
              <w:rPr>
                <w:rFonts w:eastAsia="Calibri" w:cs=""/>
                <w:kern w:val="0"/>
                <w:sz w:val="22"/>
                <w:szCs w:val="22"/>
                <w:lang w:val="el-GR" w:eastAsia="en-US" w:bidi="ar-SA"/>
              </w:rPr>
              <w:t>5%</w:t>
            </w:r>
          </w:p>
        </w:tc>
        <w:tc>
          <w:tcPr>
            <w:tcW w:w="2073" w:type="dxa"/>
            <w:tcBorders/>
            <w:vAlign w:val="center"/>
          </w:tcPr>
          <w:p>
            <w:pPr>
              <w:pStyle w:val="Normal"/>
              <w:widowControl/>
              <w:spacing w:lineRule="auto" w:line="240" w:before="0" w:after="0"/>
              <w:jc w:val="center"/>
              <w:rPr>
                <w:rFonts w:ascii="Calibri" w:hAnsi="Calibri" w:eastAsia="Calibri" w:cs=""/>
                <w:kern w:val="0"/>
                <w:sz w:val="22"/>
                <w:szCs w:val="22"/>
                <w:lang w:val="el-GR" w:eastAsia="en-US" w:bidi="ar-SA"/>
              </w:rPr>
            </w:pPr>
            <w:r>
              <w:rPr>
                <w:rFonts w:eastAsia="Calibri" w:cs=""/>
                <w:kern w:val="0"/>
                <w:sz w:val="22"/>
                <w:szCs w:val="22"/>
                <w:lang w:val="el-GR" w:eastAsia="en-US" w:bidi="ar-SA"/>
              </w:rPr>
            </w:r>
          </w:p>
        </w:tc>
        <w:tc>
          <w:tcPr>
            <w:tcW w:w="2072" w:type="dxa"/>
            <w:tcBorders/>
            <w:vAlign w:val="center"/>
          </w:tcPr>
          <w:p>
            <w:pPr>
              <w:pStyle w:val="Normal"/>
              <w:widowControl/>
              <w:spacing w:lineRule="auto" w:line="240" w:before="0" w:after="0"/>
              <w:jc w:val="center"/>
              <w:rPr>
                <w:rFonts w:ascii="Calibri" w:hAnsi="Calibri" w:eastAsia="Calibri" w:cs=""/>
                <w:kern w:val="0"/>
                <w:sz w:val="22"/>
                <w:szCs w:val="22"/>
                <w:lang w:val="el-GR" w:eastAsia="en-US" w:bidi="ar-SA"/>
              </w:rPr>
            </w:pPr>
            <w:r>
              <w:rPr>
                <w:rFonts w:eastAsia="Calibri" w:cs=""/>
                <w:kern w:val="0"/>
                <w:sz w:val="22"/>
                <w:szCs w:val="22"/>
                <w:lang w:val="el-GR" w:eastAsia="en-US" w:bidi="ar-SA"/>
              </w:rPr>
            </w:r>
          </w:p>
        </w:tc>
      </w:tr>
      <w:tr>
        <w:trPr/>
        <w:tc>
          <w:tcPr>
            <w:tcW w:w="2072" w:type="dxa"/>
            <w:tcBorders/>
          </w:tcPr>
          <w:p>
            <w:pPr>
              <w:pStyle w:val="Normal"/>
              <w:widowControl/>
              <w:spacing w:lineRule="auto" w:line="240" w:before="0" w:after="0"/>
              <w:jc w:val="left"/>
              <w:rPr>
                <w:b/>
                <w:b/>
                <w:bCs/>
              </w:rPr>
            </w:pPr>
            <w:r>
              <w:rPr>
                <w:rFonts w:eastAsia="Calibri" w:cs=""/>
                <w:b/>
                <w:bCs/>
                <w:kern w:val="0"/>
                <w:sz w:val="22"/>
                <w:szCs w:val="22"/>
                <w:lang w:val="el-GR" w:eastAsia="en-US" w:bidi="ar-SA"/>
              </w:rPr>
              <w:t>Συνεταιριστική Τράπεζα Χανίων</w:t>
            </w:r>
          </w:p>
        </w:tc>
        <w:tc>
          <w:tcPr>
            <w:tcW w:w="2072" w:type="dxa"/>
            <w:tcBorders/>
            <w:vAlign w:val="center"/>
          </w:tcPr>
          <w:p>
            <w:pPr>
              <w:pStyle w:val="Normal"/>
              <w:widowControl/>
              <w:spacing w:lineRule="auto" w:line="240" w:before="0" w:after="0"/>
              <w:jc w:val="center"/>
              <w:rPr>
                <w:rFonts w:ascii="Calibri" w:hAnsi="Calibri" w:eastAsia="Calibri" w:cs=""/>
                <w:kern w:val="0"/>
                <w:sz w:val="22"/>
                <w:szCs w:val="22"/>
                <w:lang w:val="el-GR" w:eastAsia="en-US" w:bidi="ar-SA"/>
              </w:rPr>
            </w:pPr>
            <w:r>
              <w:rPr>
                <w:rFonts w:eastAsia="Calibri" w:cs=""/>
                <w:kern w:val="0"/>
                <w:sz w:val="22"/>
                <w:szCs w:val="22"/>
                <w:lang w:val="el-GR" w:eastAsia="en-US" w:bidi="ar-SA"/>
              </w:rPr>
            </w:r>
          </w:p>
        </w:tc>
        <w:tc>
          <w:tcPr>
            <w:tcW w:w="2073" w:type="dxa"/>
            <w:tcBorders/>
            <w:vAlign w:val="center"/>
          </w:tcPr>
          <w:p>
            <w:pPr>
              <w:pStyle w:val="Normal"/>
              <w:widowControl/>
              <w:spacing w:lineRule="auto" w:line="240" w:before="0" w:after="0"/>
              <w:jc w:val="center"/>
              <w:rPr>
                <w:rFonts w:ascii="Calibri" w:hAnsi="Calibri" w:eastAsia="Calibri" w:cs=""/>
                <w:kern w:val="0"/>
                <w:sz w:val="22"/>
                <w:szCs w:val="22"/>
                <w:lang w:eastAsia="en-US" w:bidi="ar-SA"/>
              </w:rPr>
            </w:pPr>
            <w:r>
              <w:rPr>
                <w:rFonts w:eastAsia="Calibri" w:cs=""/>
                <w:kern w:val="0"/>
                <w:sz w:val="22"/>
                <w:szCs w:val="22"/>
                <w:lang w:val="en-US" w:eastAsia="en-US" w:bidi="ar-SA"/>
              </w:rPr>
              <w:t>Euribor 3M</w:t>
            </w:r>
          </w:p>
        </w:tc>
        <w:tc>
          <w:tcPr>
            <w:tcW w:w="2072" w:type="dxa"/>
            <w:tcBorders/>
            <w:vAlign w:val="center"/>
          </w:tcPr>
          <w:p>
            <w:pPr>
              <w:pStyle w:val="Normal"/>
              <w:widowControl/>
              <w:spacing w:lineRule="auto" w:line="240" w:before="0" w:after="0"/>
              <w:jc w:val="center"/>
              <w:rPr>
                <w:lang w:val="en-US"/>
              </w:rPr>
            </w:pPr>
            <w:r>
              <w:rPr>
                <w:rFonts w:eastAsia="Calibri" w:cs=""/>
                <w:kern w:val="0"/>
                <w:sz w:val="22"/>
                <w:szCs w:val="22"/>
                <w:lang w:val="en-US" w:eastAsia="en-US" w:bidi="ar-SA"/>
              </w:rPr>
              <w:t>1,5%-4,9%</w:t>
            </w:r>
          </w:p>
        </w:tc>
      </w:tr>
      <w:tr>
        <w:trPr/>
        <w:tc>
          <w:tcPr>
            <w:tcW w:w="2072" w:type="dxa"/>
            <w:tcBorders/>
          </w:tcPr>
          <w:p>
            <w:pPr>
              <w:pStyle w:val="Normal"/>
              <w:widowControl/>
              <w:spacing w:lineRule="auto" w:line="240" w:before="0" w:after="0"/>
              <w:jc w:val="left"/>
              <w:rPr>
                <w:b/>
                <w:b/>
                <w:bCs/>
                <w:lang w:val="en-US"/>
              </w:rPr>
            </w:pPr>
            <w:r>
              <w:rPr>
                <w:rFonts w:eastAsia="Calibri" w:cs=""/>
                <w:b/>
                <w:bCs/>
                <w:kern w:val="0"/>
                <w:sz w:val="22"/>
                <w:szCs w:val="22"/>
                <w:lang w:val="el-GR" w:eastAsia="en-US" w:bidi="ar-SA"/>
              </w:rPr>
              <w:t xml:space="preserve"> </w:t>
            </w:r>
            <w:r>
              <w:rPr>
                <w:rFonts w:eastAsia="Calibri" w:cs=""/>
                <w:b/>
                <w:bCs/>
                <w:kern w:val="0"/>
                <w:sz w:val="22"/>
                <w:szCs w:val="22"/>
                <w:lang w:val="en-US" w:eastAsia="en-US" w:bidi="ar-SA"/>
              </w:rPr>
              <w:t>Attica Bank</w:t>
            </w:r>
          </w:p>
        </w:tc>
        <w:tc>
          <w:tcPr>
            <w:tcW w:w="2072" w:type="dxa"/>
            <w:tcBorders/>
            <w:vAlign w:val="center"/>
          </w:tcPr>
          <w:p>
            <w:pPr>
              <w:pStyle w:val="Normal"/>
              <w:widowControl/>
              <w:spacing w:lineRule="auto" w:line="240" w:before="0" w:after="0"/>
              <w:jc w:val="center"/>
              <w:rPr>
                <w:rFonts w:ascii="Calibri" w:hAnsi="Calibri" w:eastAsia="Calibri" w:cs=""/>
                <w:kern w:val="0"/>
                <w:sz w:val="22"/>
                <w:szCs w:val="22"/>
                <w:lang w:val="el-GR" w:eastAsia="en-US" w:bidi="ar-SA"/>
              </w:rPr>
            </w:pPr>
            <w:r>
              <w:rPr>
                <w:rFonts w:eastAsia="Calibri" w:cs=""/>
                <w:kern w:val="0"/>
                <w:sz w:val="22"/>
                <w:szCs w:val="22"/>
                <w:lang w:val="el-GR" w:eastAsia="en-US" w:bidi="ar-SA"/>
              </w:rPr>
            </w:r>
          </w:p>
        </w:tc>
        <w:tc>
          <w:tcPr>
            <w:tcW w:w="2073" w:type="dxa"/>
            <w:tcBorders/>
            <w:vAlign w:val="center"/>
          </w:tcPr>
          <w:p>
            <w:pPr>
              <w:pStyle w:val="Normal"/>
              <w:widowControl/>
              <w:spacing w:lineRule="auto" w:line="240" w:before="0" w:after="0"/>
              <w:jc w:val="center"/>
              <w:rPr>
                <w:rFonts w:ascii="Calibri" w:hAnsi="Calibri" w:eastAsia="Calibri" w:cs=""/>
                <w:kern w:val="0"/>
                <w:sz w:val="22"/>
                <w:szCs w:val="22"/>
                <w:lang w:eastAsia="en-US" w:bidi="ar-SA"/>
              </w:rPr>
            </w:pPr>
            <w:r>
              <w:rPr>
                <w:rFonts w:eastAsia="Calibri" w:cs=""/>
                <w:kern w:val="0"/>
                <w:sz w:val="22"/>
                <w:szCs w:val="22"/>
                <w:lang w:val="en-US" w:eastAsia="en-US" w:bidi="ar-SA"/>
              </w:rPr>
              <w:t>Euribor 3M</w:t>
            </w:r>
          </w:p>
        </w:tc>
        <w:tc>
          <w:tcPr>
            <w:tcW w:w="2072" w:type="dxa"/>
            <w:tcBorders/>
            <w:vAlign w:val="center"/>
          </w:tcPr>
          <w:p>
            <w:pPr>
              <w:pStyle w:val="Normal"/>
              <w:widowControl/>
              <w:spacing w:lineRule="auto" w:line="240" w:before="0" w:after="0"/>
              <w:jc w:val="center"/>
              <w:rPr>
                <w:lang w:val="en-US"/>
              </w:rPr>
            </w:pPr>
            <w:r>
              <w:rPr>
                <w:rFonts w:eastAsia="Calibri" w:cs=""/>
                <w:kern w:val="0"/>
                <w:sz w:val="22"/>
                <w:szCs w:val="22"/>
                <w:lang w:val="en-US" w:eastAsia="en-US" w:bidi="ar-SA"/>
              </w:rPr>
              <w:t>2,9%-4%</w:t>
            </w:r>
          </w:p>
        </w:tc>
      </w:tr>
    </w:tbl>
    <w:p>
      <w:pPr>
        <w:pStyle w:val="Normal"/>
        <w:jc w:val="both"/>
        <w:rPr>
          <w:rFonts w:cs="Calibri" w:cstheme="minorHAnsi"/>
          <w:sz w:val="24"/>
          <w:szCs w:val="24"/>
        </w:rPr>
      </w:pPr>
      <w:r>
        <w:rPr>
          <w:rFonts w:cs="Calibri" w:cstheme="minorHAnsi"/>
          <w:sz w:val="24"/>
          <w:szCs w:val="24"/>
        </w:rPr>
      </w:r>
    </w:p>
    <w:p>
      <w:pPr>
        <w:pStyle w:val="Normal"/>
        <w:jc w:val="both"/>
        <w:rPr>
          <w:rFonts w:cs="Calibri" w:cstheme="minorHAnsi"/>
          <w:sz w:val="24"/>
          <w:szCs w:val="24"/>
        </w:rPr>
      </w:pPr>
      <w:r>
        <w:rPr>
          <w:rFonts w:cs="Calibri" w:cstheme="minorHAnsi"/>
          <w:sz w:val="24"/>
          <w:szCs w:val="24"/>
        </w:rPr>
        <w:t>Το επιτόκιο αναφοράς (</w:t>
      </w:r>
      <w:r>
        <w:rPr>
          <w:rFonts w:cs="Calibri" w:cstheme="minorHAnsi"/>
          <w:sz w:val="24"/>
          <w:szCs w:val="24"/>
          <w:lang w:val="en-US"/>
        </w:rPr>
        <w:t>Euribor</w:t>
      </w:r>
      <w:r>
        <w:rPr>
          <w:rFonts w:cs="Calibri" w:cstheme="minorHAnsi"/>
          <w:sz w:val="24"/>
          <w:szCs w:val="24"/>
        </w:rPr>
        <w:t>) κυμαίνεται αυτήν την περίοδο κοντά στο 3%.</w:t>
      </w:r>
    </w:p>
    <w:p>
      <w:pPr>
        <w:pStyle w:val="Normal"/>
        <w:jc w:val="both"/>
        <w:rPr>
          <w:rFonts w:cs="Calibri" w:cstheme="minorHAnsi"/>
          <w:b/>
          <w:b/>
          <w:sz w:val="24"/>
          <w:szCs w:val="24"/>
        </w:rPr>
      </w:pPr>
      <w:r>
        <w:rPr>
          <w:rFonts w:cs="Calibri" w:cstheme="minorHAnsi"/>
          <w:b/>
          <w:sz w:val="24"/>
          <w:szCs w:val="24"/>
        </w:rPr>
      </w:r>
    </w:p>
    <w:p>
      <w:pPr>
        <w:pStyle w:val="Normal"/>
        <w:jc w:val="both"/>
        <w:rPr>
          <w:rFonts w:cs="Calibri" w:cstheme="minorHAnsi"/>
          <w:b/>
          <w:b/>
          <w:sz w:val="24"/>
          <w:szCs w:val="24"/>
        </w:rPr>
      </w:pPr>
      <w:r>
        <w:rPr/>
      </w:r>
    </w:p>
    <w:p>
      <w:pPr>
        <w:pStyle w:val="Normal"/>
        <w:jc w:val="both"/>
        <w:rPr>
          <w:rFonts w:cs="Calibri" w:cstheme="minorHAnsi"/>
          <w:sz w:val="24"/>
          <w:szCs w:val="24"/>
        </w:rPr>
      </w:pPr>
      <w:r>
        <w:rPr>
          <w:rFonts w:cs="Calibri" w:cstheme="minorHAnsi"/>
          <w:sz w:val="24"/>
          <w:szCs w:val="24"/>
        </w:rPr>
      </w:r>
    </w:p>
    <w:p>
      <w:pPr>
        <w:pStyle w:val="Normal"/>
        <w:jc w:val="both"/>
        <w:rPr>
          <w:rFonts w:cs="Calibri" w:cstheme="minorHAnsi"/>
          <w:b/>
          <w:b/>
          <w:sz w:val="24"/>
          <w:szCs w:val="24"/>
        </w:rPr>
      </w:pPr>
      <w:r>
        <w:rPr/>
      </w:r>
    </w:p>
    <w:p>
      <w:pPr>
        <w:pStyle w:val="Normal"/>
        <w:jc w:val="both"/>
        <w:rPr>
          <w:rFonts w:cs="Calibri" w:cstheme="minorHAnsi"/>
          <w:sz w:val="24"/>
          <w:szCs w:val="24"/>
        </w:rPr>
      </w:pPr>
      <w:r>
        <w:rPr/>
      </w:r>
    </w:p>
    <w:p>
      <w:pPr>
        <w:pStyle w:val="Normal"/>
        <w:jc w:val="both"/>
        <w:rPr>
          <w:rFonts w:cs="Calibri" w:cstheme="minorHAnsi"/>
          <w:sz w:val="24"/>
          <w:szCs w:val="24"/>
        </w:rPr>
      </w:pPr>
      <w:r>
        <w:rPr>
          <w:rFonts w:cs="Calibri" w:cstheme="minorHAnsi"/>
          <w:sz w:val="24"/>
          <w:szCs w:val="24"/>
        </w:rPr>
      </w:r>
    </w:p>
    <w:p>
      <w:pPr>
        <w:pStyle w:val="Normal"/>
        <w:jc w:val="both"/>
        <w:rPr>
          <w:rFonts w:cs="Calibri" w:cstheme="minorHAnsi"/>
          <w:b/>
          <w:b/>
          <w:sz w:val="24"/>
          <w:szCs w:val="24"/>
        </w:rPr>
      </w:pPr>
      <w:r>
        <w:rPr/>
      </w:r>
    </w:p>
    <w:p>
      <w:pPr>
        <w:pStyle w:val="Normal"/>
        <w:jc w:val="both"/>
        <w:rPr>
          <w:rFonts w:cs="Calibri" w:cstheme="minorHAnsi"/>
          <w:sz w:val="24"/>
          <w:szCs w:val="24"/>
        </w:rPr>
      </w:pPr>
      <w:r>
        <w:rPr>
          <w:rFonts w:cs="Calibri" w:cstheme="minorHAnsi"/>
          <w:sz w:val="24"/>
          <w:szCs w:val="24"/>
        </w:rPr>
        <w:br/>
      </w:r>
      <w:r>
        <w:rPr/>
        <w:drawing>
          <wp:inline distT="0" distB="0" distL="0" distR="0">
            <wp:extent cx="5274310" cy="3533775"/>
            <wp:effectExtent l="0" t="0" r="0" b="0"/>
            <wp:docPr id="1"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
                    <pic:cNvPicPr>
                      <a:picLocks noChangeAspect="1" noChangeArrowheads="1"/>
                    </pic:cNvPicPr>
                  </pic:nvPicPr>
                  <pic:blipFill>
                    <a:blip r:embed="rId2"/>
                    <a:stretch>
                      <a:fillRect/>
                    </a:stretch>
                  </pic:blipFill>
                  <pic:spPr bwMode="auto">
                    <a:xfrm>
                      <a:off x="0" y="0"/>
                      <a:ext cx="5274310" cy="3533775"/>
                    </a:xfrm>
                    <a:prstGeom prst="rect">
                      <a:avLst/>
                    </a:prstGeom>
                  </pic:spPr>
                </pic:pic>
              </a:graphicData>
            </a:graphic>
          </wp:inline>
        </w:drawing>
      </w:r>
    </w:p>
    <w:p>
      <w:pPr>
        <w:pStyle w:val="Normal"/>
        <w:jc w:val="both"/>
        <w:rPr>
          <w:rFonts w:cs="Calibri" w:cstheme="minorHAnsi"/>
          <w:sz w:val="24"/>
          <w:szCs w:val="24"/>
        </w:rPr>
      </w:pPr>
      <w:r>
        <w:rPr>
          <w:rFonts w:cs="Calibri" w:cstheme="minorHAnsi"/>
          <w:sz w:val="24"/>
          <w:szCs w:val="24"/>
        </w:rPr>
        <w:t xml:space="preserve"> </w:t>
      </w:r>
    </w:p>
    <w:p>
      <w:pPr>
        <w:pStyle w:val="Normal"/>
        <w:jc w:val="both"/>
        <w:rPr>
          <w:rFonts w:cs="Calibri" w:cstheme="minorHAnsi"/>
          <w:b/>
          <w:b/>
          <w:sz w:val="24"/>
          <w:szCs w:val="24"/>
        </w:rPr>
      </w:pPr>
      <w:r>
        <w:rPr>
          <w:rFonts w:cs="Calibri" w:cstheme="minorHAnsi"/>
          <w:b/>
          <w:sz w:val="24"/>
          <w:szCs w:val="24"/>
        </w:rPr>
      </w:r>
    </w:p>
    <w:p>
      <w:pPr>
        <w:pStyle w:val="Normal"/>
        <w:jc w:val="both"/>
        <w:rPr>
          <w:rFonts w:cs="Calibri" w:cstheme="minorHAnsi"/>
          <w:b/>
          <w:b/>
          <w:sz w:val="24"/>
          <w:szCs w:val="24"/>
        </w:rPr>
      </w:pPr>
      <w:r>
        <w:rPr>
          <w:rFonts w:cs="Calibri" w:cstheme="minorHAnsi"/>
          <w:b/>
          <w:sz w:val="24"/>
          <w:szCs w:val="24"/>
        </w:rPr>
      </w:r>
    </w:p>
    <w:p>
      <w:pPr>
        <w:pStyle w:val="Normal"/>
        <w:jc w:val="both"/>
        <w:rPr>
          <w:rFonts w:cs="Calibri" w:cstheme="minorHAnsi"/>
          <w:sz w:val="24"/>
          <w:szCs w:val="24"/>
        </w:rPr>
      </w:pPr>
      <w:r>
        <w:rPr>
          <w:rFonts w:cs="Calibri" w:cstheme="minorHAnsi"/>
          <w:sz w:val="24"/>
          <w:szCs w:val="24"/>
        </w:rPr>
        <w:t xml:space="preserve"> </w:t>
      </w:r>
      <w:r>
        <w:rPr>
          <w:rFonts w:cs="Calibri" w:cstheme="minorHAnsi"/>
          <w:sz w:val="24"/>
          <w:szCs w:val="24"/>
        </w:rPr>
        <w:t xml:space="preserve">Τα προσφερόμενα επιτόκια από τις συμμετέχουσες Τράπεζας αποτυπώνονται στον Πίνακα: </w:t>
      </w:r>
    </w:p>
    <w:p>
      <w:pPr>
        <w:pStyle w:val="Normal"/>
        <w:jc w:val="both"/>
        <w:rPr>
          <w:rFonts w:cs="Calibri" w:cstheme="minorHAnsi"/>
          <w:sz w:val="24"/>
          <w:szCs w:val="24"/>
        </w:rPr>
      </w:pPr>
      <w:r>
        <w:rPr>
          <w:rFonts w:cs="Calibri" w:cstheme="minorHAnsi"/>
          <w:sz w:val="24"/>
          <w:szCs w:val="24"/>
        </w:rPr>
      </w:r>
    </w:p>
    <w:tbl>
      <w:tblPr>
        <w:tblW w:w="8161"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616"/>
        <w:gridCol w:w="2409"/>
        <w:gridCol w:w="1005"/>
        <w:gridCol w:w="2481"/>
        <w:gridCol w:w="1650"/>
      </w:tblGrid>
      <w:tr>
        <w:trPr>
          <w:tblHeader w:val="true"/>
          <w:trHeight w:val="600" w:hRule="atLeast"/>
        </w:trPr>
        <w:tc>
          <w:tcPr>
            <w:tcW w:w="616"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bottom"/>
          </w:tcPr>
          <w:p>
            <w:pPr>
              <w:pStyle w:val="Normal"/>
              <w:widowControl w:val="false"/>
              <w:spacing w:lineRule="auto" w:line="240" w:before="0" w:after="0"/>
              <w:jc w:val="center"/>
              <w:rPr>
                <w:rFonts w:ascii="Calibri" w:hAnsi="Calibri" w:eastAsia="Times New Roman" w:cs="Calibri"/>
                <w:b/>
                <w:b/>
                <w:color w:val="000000"/>
                <w:lang w:eastAsia="el-GR"/>
              </w:rPr>
            </w:pPr>
            <w:r>
              <w:rPr>
                <w:rFonts w:eastAsia="Times New Roman" w:cs="Calibri"/>
                <w:b/>
                <w:color w:val="000000"/>
                <w:lang w:eastAsia="el-GR"/>
              </w:rPr>
              <w:t>α/α</w:t>
            </w:r>
          </w:p>
        </w:tc>
        <w:tc>
          <w:tcPr>
            <w:tcW w:w="2409" w:type="dxa"/>
            <w:tcBorders>
              <w:top w:val="single" w:sz="4" w:space="0" w:color="000000"/>
              <w:bottom w:val="single" w:sz="4" w:space="0" w:color="000000"/>
              <w:right w:val="single" w:sz="4" w:space="0" w:color="000000"/>
            </w:tcBorders>
            <w:shd w:color="auto" w:fill="DEEAF6" w:themeFill="accent5" w:themeFillTint="33" w:val="clear"/>
            <w:vAlign w:val="bottom"/>
          </w:tcPr>
          <w:p>
            <w:pPr>
              <w:pStyle w:val="Normal"/>
              <w:widowControl w:val="false"/>
              <w:spacing w:lineRule="auto" w:line="240" w:before="0" w:after="0"/>
              <w:jc w:val="center"/>
              <w:rPr>
                <w:rFonts w:ascii="Calibri" w:hAnsi="Calibri" w:eastAsia="Times New Roman" w:cs="Calibri"/>
                <w:b/>
                <w:b/>
                <w:color w:val="000000"/>
                <w:lang w:eastAsia="el-GR"/>
              </w:rPr>
            </w:pPr>
            <w:r>
              <w:rPr>
                <w:rFonts w:eastAsia="Times New Roman" w:cs="Calibri"/>
                <w:b/>
                <w:color w:val="000000"/>
                <w:lang w:eastAsia="el-GR"/>
              </w:rPr>
              <w:t>Πιστωτικό Ίδρυμα</w:t>
            </w:r>
          </w:p>
        </w:tc>
        <w:tc>
          <w:tcPr>
            <w:tcW w:w="1005" w:type="dxa"/>
            <w:tcBorders>
              <w:top w:val="single" w:sz="4" w:space="0" w:color="000000"/>
              <w:bottom w:val="single" w:sz="4" w:space="0" w:color="000000"/>
              <w:right w:val="single" w:sz="4" w:space="0" w:color="000000"/>
            </w:tcBorders>
            <w:shd w:color="auto" w:fill="DEEAF6" w:themeFill="accent5" w:themeFillTint="33" w:val="clear"/>
            <w:vAlign w:val="bottom"/>
          </w:tcPr>
          <w:p>
            <w:pPr>
              <w:pStyle w:val="Normal"/>
              <w:widowControl w:val="false"/>
              <w:spacing w:lineRule="auto" w:line="240" w:before="0" w:after="0"/>
              <w:jc w:val="center"/>
              <w:rPr>
                <w:rFonts w:ascii="Calibri" w:hAnsi="Calibri" w:eastAsia="Times New Roman" w:cs="Calibri"/>
                <w:b/>
                <w:b/>
                <w:color w:val="000000"/>
                <w:lang w:eastAsia="el-GR"/>
              </w:rPr>
            </w:pPr>
            <w:r>
              <w:rPr>
                <w:rFonts w:eastAsia="Times New Roman" w:cs="Calibri"/>
                <w:b/>
                <w:color w:val="000000"/>
                <w:lang w:eastAsia="el-GR"/>
              </w:rPr>
              <w:t>Σταθερό Επιτόκιο</w:t>
            </w:r>
          </w:p>
        </w:tc>
        <w:tc>
          <w:tcPr>
            <w:tcW w:w="4131" w:type="dxa"/>
            <w:gridSpan w:val="2"/>
            <w:tcBorders>
              <w:top w:val="single" w:sz="4" w:space="0" w:color="000000"/>
              <w:bottom w:val="single" w:sz="4" w:space="0" w:color="000000"/>
              <w:right w:val="single" w:sz="4" w:space="0" w:color="000000"/>
            </w:tcBorders>
            <w:shd w:color="auto" w:fill="DEEAF6" w:themeFill="accent5" w:themeFillTint="33" w:val="clear"/>
            <w:vAlign w:val="bottom"/>
          </w:tcPr>
          <w:p>
            <w:pPr>
              <w:pStyle w:val="Normal"/>
              <w:widowControl w:val="false"/>
              <w:spacing w:lineRule="auto" w:line="240" w:before="0" w:after="0"/>
              <w:jc w:val="center"/>
              <w:rPr>
                <w:rFonts w:ascii="Calibri" w:hAnsi="Calibri" w:eastAsia="Times New Roman" w:cs="Calibri"/>
                <w:b/>
                <w:b/>
                <w:color w:val="000000"/>
                <w:lang w:eastAsia="el-GR"/>
              </w:rPr>
            </w:pPr>
            <w:r>
              <w:rPr>
                <w:rFonts w:eastAsia="Times New Roman" w:cs="Calibri"/>
                <w:b/>
                <w:color w:val="000000"/>
                <w:lang w:eastAsia="el-GR"/>
              </w:rPr>
              <w:t>Κυμαινόμενο Επιτόκιο</w:t>
            </w:r>
          </w:p>
        </w:tc>
      </w:tr>
      <w:tr>
        <w:trPr>
          <w:trHeight w:val="300" w:hRule="atLeast"/>
        </w:trPr>
        <w:tc>
          <w:tcPr>
            <w:tcW w:w="616" w:type="dxa"/>
            <w:tcBorders>
              <w:left w:val="single" w:sz="4" w:space="0" w:color="000000"/>
              <w:bottom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t> </w:t>
            </w:r>
          </w:p>
        </w:tc>
        <w:tc>
          <w:tcPr>
            <w:tcW w:w="2409" w:type="dxa"/>
            <w:tcBorders>
              <w:bottom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t> </w:t>
            </w:r>
          </w:p>
        </w:tc>
        <w:tc>
          <w:tcPr>
            <w:tcW w:w="100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t> </w:t>
            </w:r>
          </w:p>
        </w:tc>
        <w:tc>
          <w:tcPr>
            <w:tcW w:w="248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t>Επιτόκιο βάσης</w:t>
            </w:r>
          </w:p>
        </w:tc>
        <w:tc>
          <w:tcPr>
            <w:tcW w:w="165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t>Εύρος (%)</w:t>
            </w:r>
          </w:p>
        </w:tc>
      </w:tr>
      <w:tr>
        <w:trPr>
          <w:trHeight w:val="600" w:hRule="atLeast"/>
        </w:trPr>
        <w:tc>
          <w:tcPr>
            <w:tcW w:w="616"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lang w:eastAsia="el-GR"/>
              </w:rPr>
            </w:pPr>
            <w:r>
              <w:rPr>
                <w:rFonts w:eastAsia="Times New Roman" w:cs="Calibri"/>
                <w:color w:val="000000"/>
                <w:lang w:eastAsia="el-GR"/>
              </w:rPr>
              <w:t>1</w:t>
            </w:r>
          </w:p>
        </w:tc>
        <w:tc>
          <w:tcPr>
            <w:tcW w:w="240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t>Alpha Bank</w:t>
            </w:r>
          </w:p>
        </w:tc>
        <w:tc>
          <w:tcPr>
            <w:tcW w:w="100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t> </w:t>
            </w:r>
          </w:p>
        </w:tc>
        <w:tc>
          <w:tcPr>
            <w:tcW w:w="248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t>Euribor 3μήνου</w:t>
            </w:r>
          </w:p>
        </w:tc>
        <w:tc>
          <w:tcPr>
            <w:tcW w:w="165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w:hAnsi="Calibri" w:eastAsia="Times New Roman" w:cs="Calibri"/>
                <w:color w:val="000000"/>
                <w:lang w:eastAsia="el-GR"/>
              </w:rPr>
            </w:pPr>
            <w:r>
              <w:rPr>
                <w:rFonts w:eastAsia="Times New Roman" w:cs="Calibri"/>
                <w:color w:val="000000"/>
                <w:lang w:eastAsia="el-GR"/>
              </w:rPr>
              <w:t>2,20%</w:t>
            </w:r>
          </w:p>
        </w:tc>
      </w:tr>
      <w:tr>
        <w:trPr>
          <w:trHeight w:val="600" w:hRule="atLeast"/>
        </w:trPr>
        <w:tc>
          <w:tcPr>
            <w:tcW w:w="616"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lang w:eastAsia="el-GR"/>
              </w:rPr>
            </w:pPr>
            <w:r>
              <w:rPr>
                <w:rFonts w:eastAsia="Times New Roman" w:cs="Calibri"/>
                <w:color w:val="000000"/>
                <w:lang w:eastAsia="el-GR"/>
              </w:rPr>
              <w:t>2</w:t>
            </w:r>
          </w:p>
        </w:tc>
        <w:tc>
          <w:tcPr>
            <w:tcW w:w="240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t>Attica Bank</w:t>
            </w:r>
          </w:p>
        </w:tc>
        <w:tc>
          <w:tcPr>
            <w:tcW w:w="100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t> </w:t>
            </w:r>
          </w:p>
        </w:tc>
        <w:tc>
          <w:tcPr>
            <w:tcW w:w="248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t>Euribor 3μήνου</w:t>
            </w:r>
          </w:p>
        </w:tc>
        <w:tc>
          <w:tcPr>
            <w:tcW w:w="165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w:hAnsi="Calibri" w:eastAsia="Times New Roman" w:cs="Calibri"/>
                <w:color w:val="000000"/>
                <w:lang w:eastAsia="el-GR"/>
              </w:rPr>
            </w:pPr>
            <w:r>
              <w:rPr>
                <w:rFonts w:eastAsia="Times New Roman" w:cs="Calibri"/>
                <w:color w:val="000000"/>
                <w:lang w:eastAsia="el-GR"/>
              </w:rPr>
              <w:t>2,9%-4%</w:t>
            </w:r>
          </w:p>
        </w:tc>
      </w:tr>
      <w:tr>
        <w:trPr>
          <w:trHeight w:val="600" w:hRule="atLeast"/>
        </w:trPr>
        <w:tc>
          <w:tcPr>
            <w:tcW w:w="616"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lang w:eastAsia="el-GR"/>
              </w:rPr>
            </w:pPr>
            <w:r>
              <w:rPr>
                <w:rFonts w:eastAsia="Times New Roman" w:cs="Calibri"/>
                <w:color w:val="000000"/>
                <w:lang w:eastAsia="el-GR"/>
              </w:rPr>
              <w:t>3</w:t>
            </w:r>
          </w:p>
        </w:tc>
        <w:tc>
          <w:tcPr>
            <w:tcW w:w="240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t>Eurobank</w:t>
            </w:r>
          </w:p>
        </w:tc>
        <w:tc>
          <w:tcPr>
            <w:tcW w:w="100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t> </w:t>
            </w:r>
          </w:p>
        </w:tc>
        <w:tc>
          <w:tcPr>
            <w:tcW w:w="248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t>Euribor 3μήνου</w:t>
            </w:r>
          </w:p>
        </w:tc>
        <w:tc>
          <w:tcPr>
            <w:tcW w:w="165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w:hAnsi="Calibri" w:eastAsia="Times New Roman" w:cs="Calibri"/>
                <w:color w:val="000000"/>
                <w:lang w:eastAsia="el-GR"/>
              </w:rPr>
            </w:pPr>
            <w:r>
              <w:rPr>
                <w:rFonts w:eastAsia="Times New Roman" w:cs="Calibri"/>
                <w:color w:val="000000"/>
                <w:lang w:eastAsia="el-GR"/>
              </w:rPr>
              <w:t>1%-4%</w:t>
            </w:r>
          </w:p>
        </w:tc>
      </w:tr>
      <w:tr>
        <w:trPr>
          <w:trHeight w:val="600" w:hRule="atLeast"/>
        </w:trPr>
        <w:tc>
          <w:tcPr>
            <w:tcW w:w="616"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lang w:eastAsia="el-GR"/>
              </w:rPr>
            </w:pPr>
            <w:r>
              <w:rPr>
                <w:rFonts w:eastAsia="Times New Roman" w:cs="Calibri"/>
                <w:color w:val="000000"/>
                <w:lang w:eastAsia="el-GR"/>
              </w:rPr>
              <w:t>4</w:t>
            </w:r>
          </w:p>
        </w:tc>
        <w:tc>
          <w:tcPr>
            <w:tcW w:w="240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t>Εθνική</w:t>
            </w:r>
          </w:p>
        </w:tc>
        <w:tc>
          <w:tcPr>
            <w:tcW w:w="100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t> </w:t>
            </w:r>
          </w:p>
        </w:tc>
        <w:tc>
          <w:tcPr>
            <w:tcW w:w="248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t>Euribor 3μήνου</w:t>
            </w:r>
          </w:p>
        </w:tc>
        <w:tc>
          <w:tcPr>
            <w:tcW w:w="165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w:hAnsi="Calibri" w:eastAsia="Times New Roman" w:cs="Calibri"/>
                <w:color w:val="000000"/>
                <w:lang w:eastAsia="el-GR"/>
              </w:rPr>
            </w:pPr>
            <w:r>
              <w:rPr>
                <w:rFonts w:eastAsia="Times New Roman" w:cs="Calibri"/>
                <w:color w:val="000000"/>
                <w:lang w:eastAsia="el-GR"/>
              </w:rPr>
              <w:t>2%-2,5%</w:t>
            </w:r>
          </w:p>
        </w:tc>
      </w:tr>
      <w:tr>
        <w:trPr>
          <w:trHeight w:val="600" w:hRule="atLeast"/>
        </w:trPr>
        <w:tc>
          <w:tcPr>
            <w:tcW w:w="616"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lang w:eastAsia="el-GR"/>
              </w:rPr>
            </w:pPr>
            <w:r>
              <w:rPr>
                <w:rFonts w:eastAsia="Times New Roman" w:cs="Calibri"/>
                <w:color w:val="000000"/>
                <w:lang w:eastAsia="el-GR"/>
              </w:rPr>
              <w:t>5</w:t>
            </w:r>
          </w:p>
        </w:tc>
        <w:tc>
          <w:tcPr>
            <w:tcW w:w="240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t>Παγκρήτια</w:t>
            </w:r>
          </w:p>
        </w:tc>
        <w:tc>
          <w:tcPr>
            <w:tcW w:w="100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t> </w:t>
            </w:r>
          </w:p>
        </w:tc>
        <w:tc>
          <w:tcPr>
            <w:tcW w:w="248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t>Euribor 3μήνου</w:t>
            </w:r>
          </w:p>
        </w:tc>
        <w:tc>
          <w:tcPr>
            <w:tcW w:w="165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w:hAnsi="Calibri" w:eastAsia="Times New Roman" w:cs="Calibri"/>
                <w:color w:val="000000"/>
                <w:lang w:eastAsia="el-GR"/>
              </w:rPr>
            </w:pPr>
            <w:r>
              <w:rPr>
                <w:rFonts w:eastAsia="Times New Roman" w:cs="Calibri"/>
                <w:color w:val="000000"/>
                <w:lang w:eastAsia="el-GR"/>
              </w:rPr>
              <w:t>1,5%-2%</w:t>
            </w:r>
          </w:p>
        </w:tc>
      </w:tr>
      <w:tr>
        <w:trPr>
          <w:trHeight w:val="600" w:hRule="atLeast"/>
        </w:trPr>
        <w:tc>
          <w:tcPr>
            <w:tcW w:w="616"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lang w:eastAsia="el-GR"/>
              </w:rPr>
            </w:pPr>
            <w:r>
              <w:rPr>
                <w:rFonts w:eastAsia="Times New Roman" w:cs="Calibri"/>
                <w:color w:val="000000"/>
                <w:lang w:eastAsia="el-GR"/>
              </w:rPr>
              <w:t>6</w:t>
            </w:r>
          </w:p>
        </w:tc>
        <w:tc>
          <w:tcPr>
            <w:tcW w:w="240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t>Συνεταιριστική Τράπεζα Ηπείρου</w:t>
            </w:r>
          </w:p>
        </w:tc>
        <w:tc>
          <w:tcPr>
            <w:tcW w:w="100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t> </w:t>
            </w:r>
          </w:p>
        </w:tc>
        <w:tc>
          <w:tcPr>
            <w:tcW w:w="248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t>Euribor 3μήνου</w:t>
            </w:r>
          </w:p>
        </w:tc>
        <w:tc>
          <w:tcPr>
            <w:tcW w:w="165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w:hAnsi="Calibri" w:eastAsia="Times New Roman" w:cs="Calibri"/>
                <w:color w:val="000000"/>
                <w:lang w:eastAsia="el-GR"/>
              </w:rPr>
            </w:pPr>
            <w:r>
              <w:rPr>
                <w:rFonts w:eastAsia="Times New Roman" w:cs="Calibri"/>
                <w:color w:val="000000"/>
                <w:lang w:eastAsia="el-GR"/>
              </w:rPr>
              <w:t>2%-3,5%</w:t>
            </w:r>
          </w:p>
        </w:tc>
      </w:tr>
      <w:tr>
        <w:trPr>
          <w:trHeight w:val="600" w:hRule="atLeast"/>
        </w:trPr>
        <w:tc>
          <w:tcPr>
            <w:tcW w:w="616"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lang w:eastAsia="el-GR"/>
              </w:rPr>
            </w:pPr>
            <w:r>
              <w:rPr>
                <w:rFonts w:eastAsia="Times New Roman" w:cs="Calibri"/>
                <w:color w:val="000000"/>
                <w:lang w:eastAsia="el-GR"/>
              </w:rPr>
              <w:t>7</w:t>
            </w:r>
          </w:p>
        </w:tc>
        <w:tc>
          <w:tcPr>
            <w:tcW w:w="240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t>Συνεταιριστική Τράπεζα Θεσσαλίας</w:t>
            </w:r>
          </w:p>
        </w:tc>
        <w:tc>
          <w:tcPr>
            <w:tcW w:w="100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t> </w:t>
            </w:r>
          </w:p>
        </w:tc>
        <w:tc>
          <w:tcPr>
            <w:tcW w:w="248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t>Euribor μηνός</w:t>
            </w:r>
          </w:p>
        </w:tc>
        <w:tc>
          <w:tcPr>
            <w:tcW w:w="165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w:hAnsi="Calibri" w:eastAsia="Times New Roman" w:cs="Calibri"/>
                <w:color w:val="000000"/>
                <w:lang w:eastAsia="el-GR"/>
              </w:rPr>
            </w:pPr>
            <w:r>
              <w:rPr>
                <w:rFonts w:eastAsia="Times New Roman" w:cs="Calibri"/>
                <w:color w:val="000000"/>
                <w:lang w:eastAsia="el-GR"/>
              </w:rPr>
              <w:t>2%-4%</w:t>
            </w:r>
          </w:p>
        </w:tc>
      </w:tr>
      <w:tr>
        <w:trPr>
          <w:trHeight w:val="600" w:hRule="atLeast"/>
        </w:trPr>
        <w:tc>
          <w:tcPr>
            <w:tcW w:w="616"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lang w:eastAsia="el-GR"/>
              </w:rPr>
            </w:pPr>
            <w:r>
              <w:rPr>
                <w:rFonts w:eastAsia="Times New Roman" w:cs="Calibri"/>
                <w:color w:val="000000"/>
                <w:lang w:eastAsia="el-GR"/>
              </w:rPr>
              <w:t>8</w:t>
            </w:r>
          </w:p>
        </w:tc>
        <w:tc>
          <w:tcPr>
            <w:tcW w:w="240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t>Συνεταιριστική Τράπεζα Καρδίτσας</w:t>
            </w:r>
          </w:p>
        </w:tc>
        <w:tc>
          <w:tcPr>
            <w:tcW w:w="100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lang w:eastAsia="el-GR"/>
              </w:rPr>
            </w:pPr>
            <w:r>
              <w:rPr>
                <w:rFonts w:eastAsia="Times New Roman" w:cs="Calibri"/>
                <w:color w:val="000000"/>
                <w:lang w:eastAsia="el-GR"/>
              </w:rPr>
              <w:t>5,00%</w:t>
            </w:r>
          </w:p>
        </w:tc>
        <w:tc>
          <w:tcPr>
            <w:tcW w:w="248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w:hAnsi="Calibri" w:eastAsia="Times New Roman" w:cs="Calibri"/>
                <w:color w:val="000000"/>
                <w:lang w:eastAsia="el-GR"/>
              </w:rPr>
            </w:pPr>
            <w:r>
              <w:rPr>
                <w:rFonts w:eastAsia="Times New Roman" w:cs="Calibri"/>
                <w:color w:val="000000"/>
                <w:lang w:eastAsia="el-GR"/>
              </w:rPr>
              <w:t>-</w:t>
            </w:r>
          </w:p>
        </w:tc>
        <w:tc>
          <w:tcPr>
            <w:tcW w:w="165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w:hAnsi="Calibri" w:eastAsia="Times New Roman" w:cs="Calibri"/>
                <w:color w:val="000000"/>
                <w:lang w:eastAsia="el-GR"/>
              </w:rPr>
            </w:pPr>
            <w:r>
              <w:rPr>
                <w:rFonts w:eastAsia="Times New Roman" w:cs="Calibri"/>
                <w:color w:val="000000"/>
                <w:lang w:eastAsia="el-GR"/>
              </w:rPr>
              <w:t>-</w:t>
            </w:r>
          </w:p>
        </w:tc>
      </w:tr>
      <w:tr>
        <w:trPr>
          <w:trHeight w:val="600" w:hRule="atLeast"/>
        </w:trPr>
        <w:tc>
          <w:tcPr>
            <w:tcW w:w="616"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lang w:eastAsia="el-GR"/>
              </w:rPr>
            </w:pPr>
            <w:r>
              <w:rPr>
                <w:rFonts w:eastAsia="Times New Roman" w:cs="Calibri"/>
                <w:color w:val="000000"/>
                <w:lang w:eastAsia="el-GR"/>
              </w:rPr>
              <w:t>9</w:t>
            </w:r>
          </w:p>
        </w:tc>
        <w:tc>
          <w:tcPr>
            <w:tcW w:w="240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t>Συνεταιριστική Τράπεζα Χανίων</w:t>
            </w:r>
          </w:p>
        </w:tc>
        <w:tc>
          <w:tcPr>
            <w:tcW w:w="100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t> </w:t>
            </w:r>
          </w:p>
        </w:tc>
        <w:tc>
          <w:tcPr>
            <w:tcW w:w="248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t>Euribor 3μήνου</w:t>
            </w:r>
          </w:p>
        </w:tc>
        <w:tc>
          <w:tcPr>
            <w:tcW w:w="165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w:hAnsi="Calibri" w:eastAsia="Times New Roman" w:cs="Calibri"/>
                <w:color w:val="000000"/>
                <w:lang w:eastAsia="el-GR"/>
              </w:rPr>
            </w:pPr>
            <w:r>
              <w:rPr>
                <w:rFonts w:eastAsia="Times New Roman" w:cs="Calibri"/>
                <w:color w:val="000000"/>
                <w:lang w:eastAsia="el-GR"/>
              </w:rPr>
              <w:t>1,5%-4,9%</w:t>
            </w:r>
          </w:p>
        </w:tc>
      </w:tr>
      <w:tr>
        <w:trPr>
          <w:trHeight w:val="600" w:hRule="atLeast"/>
        </w:trPr>
        <w:tc>
          <w:tcPr>
            <w:tcW w:w="616"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lang w:eastAsia="el-GR"/>
              </w:rPr>
            </w:pPr>
            <w:r>
              <w:rPr>
                <w:rFonts w:eastAsia="Times New Roman" w:cs="Calibri"/>
                <w:color w:val="000000"/>
                <w:lang w:eastAsia="el-GR"/>
              </w:rPr>
              <w:t>10</w:t>
            </w:r>
          </w:p>
        </w:tc>
        <w:tc>
          <w:tcPr>
            <w:tcW w:w="240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t>Τράπεζα Πειραιώς</w:t>
            </w:r>
          </w:p>
        </w:tc>
        <w:tc>
          <w:tcPr>
            <w:tcW w:w="100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t> </w:t>
            </w:r>
          </w:p>
        </w:tc>
        <w:tc>
          <w:tcPr>
            <w:tcW w:w="248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t>Euribor μηνός</w:t>
            </w:r>
          </w:p>
        </w:tc>
        <w:tc>
          <w:tcPr>
            <w:tcW w:w="165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w:hAnsi="Calibri" w:eastAsia="Times New Roman" w:cs="Calibri"/>
                <w:color w:val="000000"/>
                <w:lang w:eastAsia="el-GR"/>
              </w:rPr>
            </w:pPr>
            <w:r>
              <w:rPr>
                <w:rFonts w:eastAsia="Times New Roman" w:cs="Calibri"/>
                <w:color w:val="000000"/>
                <w:lang w:eastAsia="el-GR"/>
              </w:rPr>
              <w:t>2,50%</w:t>
            </w:r>
          </w:p>
        </w:tc>
      </w:tr>
    </w:tbl>
    <w:p>
      <w:pPr>
        <w:pStyle w:val="Normal"/>
        <w:jc w:val="both"/>
        <w:rPr>
          <w:rFonts w:cs="Calibri" w:cstheme="minorHAnsi"/>
          <w:sz w:val="24"/>
          <w:szCs w:val="24"/>
        </w:rPr>
      </w:pPr>
      <w:r>
        <w:rPr>
          <w:rFonts w:cs="Calibri" w:cstheme="minorHAnsi"/>
          <w:sz w:val="24"/>
          <w:szCs w:val="24"/>
        </w:rPr>
      </w:r>
    </w:p>
    <w:p>
      <w:pPr>
        <w:pStyle w:val="Normal"/>
        <w:jc w:val="both"/>
        <w:rPr>
          <w:rFonts w:cs="Calibri" w:cstheme="minorHAnsi"/>
          <w:sz w:val="24"/>
          <w:szCs w:val="24"/>
        </w:rPr>
      </w:pPr>
      <w:r>
        <w:rPr/>
      </w:r>
    </w:p>
    <w:p>
      <w:pPr>
        <w:pStyle w:val="Normal"/>
        <w:jc w:val="both"/>
        <w:rPr>
          <w:rFonts w:cs="Calibri" w:cstheme="minorHAnsi"/>
          <w:sz w:val="24"/>
          <w:szCs w:val="24"/>
        </w:rPr>
      </w:pPr>
      <w:r>
        <w:rPr>
          <w:rFonts w:cs="Calibri" w:cstheme="minorHAnsi"/>
          <w:sz w:val="24"/>
          <w:szCs w:val="24"/>
        </w:rPr>
      </w:r>
    </w:p>
    <w:p>
      <w:pPr>
        <w:pStyle w:val="Normal"/>
        <w:jc w:val="both"/>
        <w:rPr>
          <w:rFonts w:cs="Calibri" w:cstheme="minorHAnsi"/>
          <w:b/>
          <w:b/>
          <w:sz w:val="24"/>
          <w:szCs w:val="24"/>
        </w:rPr>
      </w:pPr>
      <w:r>
        <w:rPr/>
      </w:r>
    </w:p>
    <w:p>
      <w:pPr>
        <w:pStyle w:val="ListParagraph"/>
        <w:numPr>
          <w:ilvl w:val="0"/>
          <w:numId w:val="1"/>
        </w:numPr>
        <w:jc w:val="both"/>
        <w:rPr>
          <w:rFonts w:cs="Calibri" w:cstheme="minorHAnsi"/>
          <w:sz w:val="24"/>
          <w:szCs w:val="24"/>
        </w:rPr>
      </w:pPr>
      <w:r>
        <w:rPr>
          <w:rFonts w:cs="Calibri" w:cstheme="minorHAnsi"/>
          <w:sz w:val="24"/>
          <w:szCs w:val="24"/>
        </w:rPr>
        <w:t xml:space="preserve">Τα έξοδα νομικού και τεχνικού ελέγχου για την αγορά του βαρύνουν τον δανειολήπτη και αποτυπώνονται στον πίνακα που ακολουθεί: </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3646"/>
        <w:gridCol w:w="4659"/>
      </w:tblGrid>
      <w:tr>
        <w:trPr>
          <w:trHeight w:val="300" w:hRule="atLeast"/>
        </w:trPr>
        <w:tc>
          <w:tcPr>
            <w:tcW w:w="36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b/>
                <w:b/>
                <w:bCs/>
                <w:color w:val="000000"/>
                <w:lang w:eastAsia="el-GR"/>
              </w:rPr>
            </w:pPr>
            <w:r>
              <w:rPr>
                <w:rFonts w:eastAsia="Times New Roman" w:cs="Calibri"/>
                <w:b/>
                <w:bCs/>
                <w:color w:val="000000"/>
                <w:lang w:eastAsia="el-GR"/>
              </w:rPr>
              <w:t xml:space="preserve">ΠΙΣΤΩΤΙΚΟ ΙΔΡΥΜΑ </w:t>
            </w:r>
          </w:p>
        </w:tc>
        <w:tc>
          <w:tcPr>
            <w:tcW w:w="4659" w:type="dxa"/>
            <w:tcBorders>
              <w:top w:val="single" w:sz="4" w:space="0" w:color="000000"/>
              <w:bottom w:val="single" w:sz="4" w:space="0" w:color="000000"/>
              <w:right w:val="single" w:sz="4" w:space="0" w:color="000000"/>
            </w:tcBorders>
            <w:shd w:color="000000" w:fill="B4C6E7" w:val="clear"/>
            <w:vAlign w:val="center"/>
          </w:tcPr>
          <w:p>
            <w:pPr>
              <w:pStyle w:val="Normal"/>
              <w:widowControl w:val="false"/>
              <w:spacing w:lineRule="auto" w:line="240" w:before="0" w:after="0"/>
              <w:jc w:val="center"/>
              <w:rPr>
                <w:rFonts w:ascii="Calibri" w:hAnsi="Calibri" w:eastAsia="Times New Roman" w:cs="Calibri"/>
                <w:b/>
                <w:b/>
                <w:bCs/>
                <w:color w:val="000000"/>
                <w:lang w:eastAsia="el-GR"/>
              </w:rPr>
            </w:pPr>
            <w:r>
              <w:rPr>
                <w:rFonts w:eastAsia="Times New Roman" w:cs="Calibri"/>
                <w:b/>
                <w:bCs/>
                <w:color w:val="000000"/>
                <w:lang w:eastAsia="el-GR"/>
              </w:rPr>
              <w:t>Κόστος Νομικού και Τεχνικού Ελέγχου (ευρώ)</w:t>
            </w:r>
          </w:p>
        </w:tc>
      </w:tr>
      <w:tr>
        <w:trPr>
          <w:trHeight w:val="450" w:hRule="atLeast"/>
        </w:trPr>
        <w:tc>
          <w:tcPr>
            <w:tcW w:w="3646" w:type="dxa"/>
            <w:vMerge w:val="restart"/>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Calibri" w:hAnsi="Calibri" w:eastAsia="Times New Roman" w:cs="Calibri"/>
                <w:b/>
                <w:b/>
                <w:bCs/>
                <w:color w:val="000000"/>
                <w:lang w:eastAsia="el-GR"/>
              </w:rPr>
            </w:pPr>
            <w:r>
              <w:rPr>
                <w:rFonts w:eastAsia="Times New Roman" w:cs="Calibri"/>
                <w:b/>
                <w:bCs/>
                <w:color w:val="000000"/>
                <w:lang w:eastAsia="el-GR"/>
              </w:rPr>
              <w:t>Alpha Bank</w:t>
            </w:r>
          </w:p>
        </w:tc>
        <w:tc>
          <w:tcPr>
            <w:tcW w:w="4659" w:type="dxa"/>
            <w:vMerge w:val="restart"/>
            <w:tcBorders>
              <w:left w:val="single" w:sz="4" w:space="0" w:color="000000"/>
              <w:bottom w:val="single" w:sz="4" w:space="0" w:color="000000"/>
              <w:right w:val="single" w:sz="4" w:space="0" w:color="000000"/>
            </w:tcBorders>
            <w:shd w:color="000000" w:fill="DEEAF6" w:val="clear"/>
            <w:vAlign w:val="center"/>
          </w:tcPr>
          <w:p>
            <w:pPr>
              <w:pStyle w:val="Normal"/>
              <w:widowControl w:val="false"/>
              <w:spacing w:lineRule="auto" w:line="240" w:before="0" w:after="0"/>
              <w:jc w:val="center"/>
              <w:rPr>
                <w:rFonts w:ascii="Calibri" w:hAnsi="Calibri" w:eastAsia="Times New Roman" w:cs="Calibri"/>
                <w:color w:val="000000"/>
                <w:lang w:eastAsia="el-GR"/>
              </w:rPr>
            </w:pPr>
            <w:r>
              <w:rPr>
                <w:rFonts w:eastAsia="Times New Roman" w:cs="Calibri"/>
                <w:color w:val="000000"/>
                <w:lang w:eastAsia="el-GR"/>
              </w:rPr>
              <w:t>420,00 €</w:t>
            </w:r>
          </w:p>
        </w:tc>
      </w:tr>
      <w:tr>
        <w:trPr>
          <w:trHeight w:val="450" w:hRule="atLeast"/>
        </w:trPr>
        <w:tc>
          <w:tcPr>
            <w:tcW w:w="3646"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b/>
                <w:b/>
                <w:bCs/>
                <w:color w:val="000000"/>
                <w:lang w:eastAsia="el-GR"/>
              </w:rPr>
            </w:pPr>
            <w:r>
              <w:rPr>
                <w:rFonts w:eastAsia="Times New Roman" w:cs="Calibri"/>
                <w:b/>
                <w:bCs/>
                <w:color w:val="000000"/>
                <w:lang w:eastAsia="el-GR"/>
              </w:rPr>
            </w:r>
          </w:p>
        </w:tc>
        <w:tc>
          <w:tcPr>
            <w:tcW w:w="4659"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r>
          </w:p>
        </w:tc>
      </w:tr>
      <w:tr>
        <w:trPr>
          <w:trHeight w:val="450" w:hRule="atLeast"/>
        </w:trPr>
        <w:tc>
          <w:tcPr>
            <w:tcW w:w="3646"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b/>
                <w:b/>
                <w:bCs/>
                <w:color w:val="000000"/>
                <w:lang w:eastAsia="el-GR"/>
              </w:rPr>
            </w:pPr>
            <w:r>
              <w:rPr>
                <w:rFonts w:eastAsia="Times New Roman" w:cs="Calibri"/>
                <w:b/>
                <w:bCs/>
                <w:color w:val="000000"/>
                <w:lang w:eastAsia="el-GR"/>
              </w:rPr>
            </w:r>
          </w:p>
        </w:tc>
        <w:tc>
          <w:tcPr>
            <w:tcW w:w="4659"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r>
          </w:p>
        </w:tc>
      </w:tr>
      <w:tr>
        <w:trPr>
          <w:trHeight w:val="450" w:hRule="atLeast"/>
        </w:trPr>
        <w:tc>
          <w:tcPr>
            <w:tcW w:w="3646"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b/>
                <w:b/>
                <w:bCs/>
                <w:color w:val="000000"/>
                <w:lang w:eastAsia="el-GR"/>
              </w:rPr>
            </w:pPr>
            <w:r>
              <w:rPr>
                <w:rFonts w:eastAsia="Times New Roman" w:cs="Calibri"/>
                <w:b/>
                <w:bCs/>
                <w:color w:val="000000"/>
                <w:lang w:eastAsia="el-GR"/>
              </w:rPr>
            </w:r>
          </w:p>
        </w:tc>
        <w:tc>
          <w:tcPr>
            <w:tcW w:w="4659"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r>
          </w:p>
        </w:tc>
      </w:tr>
      <w:tr>
        <w:trPr>
          <w:trHeight w:val="450" w:hRule="atLeast"/>
        </w:trPr>
        <w:tc>
          <w:tcPr>
            <w:tcW w:w="3646"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b/>
                <w:b/>
                <w:bCs/>
                <w:color w:val="000000"/>
                <w:lang w:eastAsia="el-GR"/>
              </w:rPr>
            </w:pPr>
            <w:r>
              <w:rPr>
                <w:rFonts w:eastAsia="Times New Roman" w:cs="Calibri"/>
                <w:b/>
                <w:bCs/>
                <w:color w:val="000000"/>
                <w:lang w:eastAsia="el-GR"/>
              </w:rPr>
            </w:r>
          </w:p>
        </w:tc>
        <w:tc>
          <w:tcPr>
            <w:tcW w:w="4659"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r>
          </w:p>
        </w:tc>
      </w:tr>
      <w:tr>
        <w:trPr>
          <w:trHeight w:val="450" w:hRule="atLeast"/>
        </w:trPr>
        <w:tc>
          <w:tcPr>
            <w:tcW w:w="3646" w:type="dxa"/>
            <w:vMerge w:val="restart"/>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Calibri" w:hAnsi="Calibri" w:eastAsia="Times New Roman" w:cs="Calibri"/>
                <w:b/>
                <w:b/>
                <w:bCs/>
                <w:color w:val="000000"/>
                <w:lang w:eastAsia="el-GR"/>
              </w:rPr>
            </w:pPr>
            <w:r>
              <w:rPr>
                <w:rFonts w:eastAsia="Times New Roman" w:cs="Calibri"/>
                <w:b/>
                <w:bCs/>
                <w:color w:val="000000"/>
                <w:lang w:eastAsia="el-GR"/>
              </w:rPr>
              <w:t>Eurobank</w:t>
            </w:r>
          </w:p>
        </w:tc>
        <w:tc>
          <w:tcPr>
            <w:tcW w:w="4659" w:type="dxa"/>
            <w:vMerge w:val="restart"/>
            <w:tcBorders>
              <w:left w:val="single" w:sz="4" w:space="0" w:color="000000"/>
              <w:bottom w:val="single" w:sz="4" w:space="0" w:color="000000"/>
              <w:right w:val="single" w:sz="4" w:space="0" w:color="000000"/>
            </w:tcBorders>
            <w:shd w:color="000000" w:fill="DEEAF6" w:val="clear"/>
            <w:vAlign w:val="center"/>
          </w:tcPr>
          <w:p>
            <w:pPr>
              <w:pStyle w:val="Normal"/>
              <w:widowControl w:val="false"/>
              <w:spacing w:lineRule="auto" w:line="240" w:before="0" w:after="0"/>
              <w:jc w:val="center"/>
              <w:rPr>
                <w:rFonts w:ascii="Calibri" w:hAnsi="Calibri" w:eastAsia="Times New Roman" w:cs="Calibri"/>
                <w:color w:val="000000"/>
                <w:lang w:eastAsia="el-GR"/>
              </w:rPr>
            </w:pPr>
            <w:r>
              <w:rPr>
                <w:rFonts w:eastAsia="Times New Roman" w:cs="Calibri"/>
                <w:color w:val="000000"/>
                <w:lang w:eastAsia="el-GR"/>
              </w:rPr>
              <w:t xml:space="preserve">• </w:t>
            </w:r>
            <w:r>
              <w:rPr>
                <w:rFonts w:eastAsia="Times New Roman" w:cs="Calibri"/>
                <w:color w:val="000000"/>
                <w:lang w:eastAsia="el-GR"/>
              </w:rPr>
              <w:t>Από 500€ Κόστος Τεχνικού &amp; Νομικού Ελέγχου, το οποίο μεταβάλλεται υπό προϋποθέσεις (π.χ. προσαυξήσεις για περιοχές εκτός έδρας μηχανικού, νησιά, κλπ.).</w:t>
              <w:br/>
              <w:t>• Έως 650€ σε περίπτωση διενέργειας ελέγχου σε παραπάνω από 1 ακίνητα. Για κάθε επιπλέον ακίνητο, για το οποίο θα πραγματοποιηθεί Τεχνικός-Νομικός έλεγχος το κόστος ανέρχεται σε 350€ ανά ακίνητο. Στο πλαίσιο του Προγράμματος η συνολική χρέωση, δε θα υπερβαίνει τα 650€.</w:t>
            </w:r>
          </w:p>
        </w:tc>
      </w:tr>
      <w:tr>
        <w:trPr>
          <w:trHeight w:val="450" w:hRule="atLeast"/>
        </w:trPr>
        <w:tc>
          <w:tcPr>
            <w:tcW w:w="3646"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b/>
                <w:b/>
                <w:bCs/>
                <w:color w:val="000000"/>
                <w:lang w:eastAsia="el-GR"/>
              </w:rPr>
            </w:pPr>
            <w:r>
              <w:rPr>
                <w:rFonts w:eastAsia="Times New Roman" w:cs="Calibri"/>
                <w:b/>
                <w:bCs/>
                <w:color w:val="000000"/>
                <w:lang w:eastAsia="el-GR"/>
              </w:rPr>
            </w:r>
          </w:p>
        </w:tc>
        <w:tc>
          <w:tcPr>
            <w:tcW w:w="4659"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r>
          </w:p>
        </w:tc>
      </w:tr>
      <w:tr>
        <w:trPr>
          <w:trHeight w:val="450" w:hRule="atLeast"/>
        </w:trPr>
        <w:tc>
          <w:tcPr>
            <w:tcW w:w="3646"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b/>
                <w:b/>
                <w:bCs/>
                <w:color w:val="000000"/>
                <w:lang w:eastAsia="el-GR"/>
              </w:rPr>
            </w:pPr>
            <w:r>
              <w:rPr>
                <w:rFonts w:eastAsia="Times New Roman" w:cs="Calibri"/>
                <w:b/>
                <w:bCs/>
                <w:color w:val="000000"/>
                <w:lang w:eastAsia="el-GR"/>
              </w:rPr>
            </w:r>
          </w:p>
        </w:tc>
        <w:tc>
          <w:tcPr>
            <w:tcW w:w="4659"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r>
          </w:p>
        </w:tc>
      </w:tr>
      <w:tr>
        <w:trPr>
          <w:trHeight w:val="450" w:hRule="atLeast"/>
        </w:trPr>
        <w:tc>
          <w:tcPr>
            <w:tcW w:w="3646"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b/>
                <w:b/>
                <w:bCs/>
                <w:color w:val="000000"/>
                <w:lang w:eastAsia="el-GR"/>
              </w:rPr>
            </w:pPr>
            <w:r>
              <w:rPr>
                <w:rFonts w:eastAsia="Times New Roman" w:cs="Calibri"/>
                <w:b/>
                <w:bCs/>
                <w:color w:val="000000"/>
                <w:lang w:eastAsia="el-GR"/>
              </w:rPr>
            </w:r>
          </w:p>
        </w:tc>
        <w:tc>
          <w:tcPr>
            <w:tcW w:w="4659"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r>
          </w:p>
        </w:tc>
      </w:tr>
      <w:tr>
        <w:trPr>
          <w:trHeight w:val="450" w:hRule="atLeast"/>
        </w:trPr>
        <w:tc>
          <w:tcPr>
            <w:tcW w:w="3646"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b/>
                <w:b/>
                <w:bCs/>
                <w:color w:val="000000"/>
                <w:lang w:eastAsia="el-GR"/>
              </w:rPr>
            </w:pPr>
            <w:r>
              <w:rPr>
                <w:rFonts w:eastAsia="Times New Roman" w:cs="Calibri"/>
                <w:b/>
                <w:bCs/>
                <w:color w:val="000000"/>
                <w:lang w:eastAsia="el-GR"/>
              </w:rPr>
            </w:r>
          </w:p>
        </w:tc>
        <w:tc>
          <w:tcPr>
            <w:tcW w:w="4659"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r>
          </w:p>
        </w:tc>
      </w:tr>
      <w:tr>
        <w:trPr>
          <w:trHeight w:val="450" w:hRule="atLeast"/>
        </w:trPr>
        <w:tc>
          <w:tcPr>
            <w:tcW w:w="3646" w:type="dxa"/>
            <w:vMerge w:val="restart"/>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Calibri" w:hAnsi="Calibri" w:eastAsia="Times New Roman" w:cs="Calibri"/>
                <w:b/>
                <w:b/>
                <w:bCs/>
                <w:color w:val="000000"/>
                <w:lang w:eastAsia="el-GR"/>
              </w:rPr>
            </w:pPr>
            <w:r>
              <w:rPr>
                <w:rFonts w:eastAsia="Times New Roman" w:cs="Calibri"/>
                <w:b/>
                <w:bCs/>
                <w:color w:val="000000"/>
                <w:lang w:eastAsia="el-GR"/>
              </w:rPr>
              <w:t>ΕΘΝΙΚΗ</w:t>
            </w:r>
          </w:p>
        </w:tc>
        <w:tc>
          <w:tcPr>
            <w:tcW w:w="4659" w:type="dxa"/>
            <w:vMerge w:val="restart"/>
            <w:tcBorders>
              <w:left w:val="single" w:sz="4" w:space="0" w:color="000000"/>
              <w:bottom w:val="single" w:sz="4" w:space="0" w:color="000000"/>
              <w:right w:val="single" w:sz="4" w:space="0" w:color="000000"/>
            </w:tcBorders>
            <w:shd w:color="000000" w:fill="DEEAF6" w:val="clear"/>
            <w:vAlign w:val="center"/>
          </w:tcPr>
          <w:p>
            <w:pPr>
              <w:pStyle w:val="Normal"/>
              <w:widowControl w:val="false"/>
              <w:spacing w:lineRule="auto" w:line="240" w:before="0" w:after="0"/>
              <w:jc w:val="center"/>
              <w:rPr>
                <w:rFonts w:ascii="Calibri" w:hAnsi="Calibri" w:eastAsia="Times New Roman" w:cs="Calibri"/>
                <w:color w:val="000000"/>
                <w:lang w:eastAsia="el-GR"/>
              </w:rPr>
            </w:pPr>
            <w:r>
              <w:rPr>
                <w:rFonts w:eastAsia="Times New Roman" w:cs="Calibri"/>
                <w:color w:val="000000"/>
                <w:lang w:eastAsia="el-GR"/>
              </w:rPr>
              <w:t>Κόστος Νομικού και Τεχνικού Ελέγχου Κατ’ ελάχιστον €246. Σε ειδικές περιπτώσεις όπου πραγματοποιηθεί αλλαγή ακινήτου και χρειαστεί να πραγματοποιηθούν νέοι έλεγχοι ακινήτου, θα υπάρξει επιπλέον επιβάρυνση για την ολοκλήρωση του Νομικού και του Τεχνικού Ελέγχου.</w:t>
              <w:br/>
              <w:t>Σημειώνουμε ότι στα ως άνω έξοδα δεν περιλαμβάνονται λοιπά έξοδα που σχετίζονται με την εγγραφή του βάρους επί του ακινήτου όπως, δαπάνη για την έκδοση της δικαστικής απόφασης εγγραφής προσημείωσης υποθήκης επί ακινήτου, τέλος για την εγγραφή της προσημείωσης υποθήκης, έξοδα για την υποβολή αίτησης έκδοσης πιστοποιητικών, την περίληψη της δικαστικής απόφασης και την έκδοση των πιστοποιητικών, έξοδα για τη δήλωση των δικαιωμάτων προσημείωσης, εφόσον λειτουργεί Κτηματολογικό Γραφείο, έξοδα άρσης προσημείωσης. Αυτά θα καταβάλλονται από τον πιστούχο.</w:t>
            </w:r>
          </w:p>
        </w:tc>
      </w:tr>
      <w:tr>
        <w:trPr>
          <w:trHeight w:val="450" w:hRule="atLeast"/>
        </w:trPr>
        <w:tc>
          <w:tcPr>
            <w:tcW w:w="3646"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b/>
                <w:b/>
                <w:bCs/>
                <w:color w:val="000000"/>
                <w:lang w:eastAsia="el-GR"/>
              </w:rPr>
            </w:pPr>
            <w:r>
              <w:rPr>
                <w:rFonts w:eastAsia="Times New Roman" w:cs="Calibri"/>
                <w:b/>
                <w:bCs/>
                <w:color w:val="000000"/>
                <w:lang w:eastAsia="el-GR"/>
              </w:rPr>
            </w:r>
          </w:p>
        </w:tc>
        <w:tc>
          <w:tcPr>
            <w:tcW w:w="4659"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r>
          </w:p>
        </w:tc>
      </w:tr>
      <w:tr>
        <w:trPr>
          <w:trHeight w:val="450" w:hRule="atLeast"/>
        </w:trPr>
        <w:tc>
          <w:tcPr>
            <w:tcW w:w="3646"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b/>
                <w:b/>
                <w:bCs/>
                <w:color w:val="000000"/>
                <w:lang w:eastAsia="el-GR"/>
              </w:rPr>
            </w:pPr>
            <w:r>
              <w:rPr>
                <w:rFonts w:eastAsia="Times New Roman" w:cs="Calibri"/>
                <w:b/>
                <w:bCs/>
                <w:color w:val="000000"/>
                <w:lang w:eastAsia="el-GR"/>
              </w:rPr>
            </w:r>
          </w:p>
        </w:tc>
        <w:tc>
          <w:tcPr>
            <w:tcW w:w="4659"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r>
          </w:p>
        </w:tc>
      </w:tr>
      <w:tr>
        <w:trPr>
          <w:trHeight w:val="450" w:hRule="atLeast"/>
        </w:trPr>
        <w:tc>
          <w:tcPr>
            <w:tcW w:w="3646"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b/>
                <w:b/>
                <w:bCs/>
                <w:color w:val="000000"/>
                <w:lang w:eastAsia="el-GR"/>
              </w:rPr>
            </w:pPr>
            <w:r>
              <w:rPr>
                <w:rFonts w:eastAsia="Times New Roman" w:cs="Calibri"/>
                <w:b/>
                <w:bCs/>
                <w:color w:val="000000"/>
                <w:lang w:eastAsia="el-GR"/>
              </w:rPr>
            </w:r>
          </w:p>
        </w:tc>
        <w:tc>
          <w:tcPr>
            <w:tcW w:w="4659"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r>
          </w:p>
        </w:tc>
      </w:tr>
      <w:tr>
        <w:trPr>
          <w:trHeight w:val="2400" w:hRule="atLeast"/>
        </w:trPr>
        <w:tc>
          <w:tcPr>
            <w:tcW w:w="3646"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b/>
                <w:b/>
                <w:bCs/>
                <w:color w:val="000000"/>
                <w:lang w:eastAsia="el-GR"/>
              </w:rPr>
            </w:pPr>
            <w:r>
              <w:rPr>
                <w:rFonts w:eastAsia="Times New Roman" w:cs="Calibri"/>
                <w:b/>
                <w:bCs/>
                <w:color w:val="000000"/>
                <w:lang w:eastAsia="el-GR"/>
              </w:rPr>
            </w:r>
          </w:p>
        </w:tc>
        <w:tc>
          <w:tcPr>
            <w:tcW w:w="4659"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r>
          </w:p>
        </w:tc>
      </w:tr>
      <w:tr>
        <w:trPr>
          <w:trHeight w:val="450" w:hRule="atLeast"/>
        </w:trPr>
        <w:tc>
          <w:tcPr>
            <w:tcW w:w="3646" w:type="dxa"/>
            <w:vMerge w:val="restart"/>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Calibri" w:hAnsi="Calibri" w:eastAsia="Times New Roman" w:cs="Calibri"/>
                <w:b/>
                <w:b/>
                <w:bCs/>
                <w:color w:val="000000"/>
                <w:lang w:eastAsia="el-GR"/>
              </w:rPr>
            </w:pPr>
            <w:r>
              <w:rPr>
                <w:rFonts w:eastAsia="Times New Roman" w:cs="Calibri"/>
                <w:b/>
                <w:bCs/>
                <w:color w:val="000000"/>
                <w:lang w:eastAsia="el-GR"/>
              </w:rPr>
              <w:t>ΠΑΓΚΡΗΤΙΑ</w:t>
            </w:r>
          </w:p>
        </w:tc>
        <w:tc>
          <w:tcPr>
            <w:tcW w:w="4659" w:type="dxa"/>
            <w:vMerge w:val="restart"/>
            <w:tcBorders>
              <w:left w:val="single" w:sz="4" w:space="0" w:color="000000"/>
              <w:bottom w:val="single" w:sz="4" w:space="0" w:color="000000"/>
              <w:right w:val="single" w:sz="4" w:space="0" w:color="000000"/>
            </w:tcBorders>
            <w:shd w:color="000000" w:fill="DEEAF6" w:val="clear"/>
            <w:vAlign w:val="center"/>
          </w:tcPr>
          <w:p>
            <w:pPr>
              <w:pStyle w:val="Normal"/>
              <w:widowControl w:val="false"/>
              <w:spacing w:lineRule="auto" w:line="240" w:before="0" w:after="0"/>
              <w:jc w:val="center"/>
              <w:rPr>
                <w:rFonts w:ascii="Calibri" w:hAnsi="Calibri" w:eastAsia="Times New Roman" w:cs="Calibri"/>
                <w:color w:val="000000"/>
                <w:lang w:eastAsia="el-GR"/>
              </w:rPr>
            </w:pPr>
            <w:r>
              <w:rPr>
                <w:rFonts w:eastAsia="Times New Roman" w:cs="Calibri"/>
                <w:color w:val="000000"/>
                <w:lang w:eastAsia="el-GR"/>
              </w:rPr>
              <w:t xml:space="preserve">Κόστος Νομικού και Τεχνικού Ελέγχου (ευρώ) </w:t>
              <w:br/>
            </w:r>
            <w:r>
              <w:rPr>
                <w:rFonts w:eastAsia="Times New Roman" w:cs="Calibri"/>
                <w:b/>
                <w:bCs/>
                <w:color w:val="000000"/>
                <w:lang w:eastAsia="el-GR"/>
              </w:rPr>
              <w:t>1. Κόστος Νομικού Ελέγχου: € 86,80*</w:t>
            </w:r>
            <w:r>
              <w:rPr>
                <w:rFonts w:eastAsia="Times New Roman" w:cs="Calibri"/>
                <w:color w:val="000000"/>
                <w:lang w:eastAsia="el-GR"/>
              </w:rPr>
              <w:br/>
              <w:t xml:space="preserve"> * - Αφορά σε έξοδα ελέγχου τίτλων ακινήτου προκειμένου να χορηγηθεί η έγκριση του δανείου και δεν περιλαμβάνει έξοδα εγγραφής προσημείωσης και τυχόν άλλα έξοδα που αφορούν στην εμπράγματη εξασφάλιση τα οποία βαρύνουν εξολοκλήρου τον δανειολήπτη.</w:t>
              <w:br/>
              <w:t xml:space="preserve"> - Συμπεριλαμβάνεται ΦΠΑ, σήμερα 24%.</w:t>
              <w:br/>
              <w:t>- Σε περίπτωση μετάβασης δικηγόρου σε υποθηκοφυλακείο εκτός της έδρας του ο δανειολήπτης επιβαρύνεται με τα έξοδα μετακίνησης (€ 0,25/χλμ) καθώς και με τυχόν άλλα πραγματικά έξοδα μετάβασης και διαμονής.</w:t>
              <w:br/>
              <w:t xml:space="preserve">- Τα εν λόγω έξοδα αφορούν ανά ελεγχόμενο ακίνητο, εισπράττονται πριν από τη διενέργεια των αντίστοιχων ελέγχων και δεν επιστρέφονται εφόσον οι έλεγχοι πραγματοποιηθούν. </w:t>
            </w:r>
            <w:r>
              <w:rPr>
                <w:rFonts w:eastAsia="Times New Roman" w:cs="Calibri"/>
                <w:b/>
                <w:bCs/>
                <w:color w:val="000000"/>
                <w:lang w:eastAsia="el-GR"/>
              </w:rPr>
              <w:br/>
              <w:t>2. Κόστος Τεχνικού Ελέγχου: € 148,80**</w:t>
            </w:r>
            <w:r>
              <w:rPr>
                <w:rFonts w:eastAsia="Times New Roman" w:cs="Calibri"/>
                <w:color w:val="000000"/>
                <w:lang w:eastAsia="el-GR"/>
              </w:rPr>
              <w:t xml:space="preserve"> </w:t>
              <w:br/>
              <w:t>** - Αφορά σε έξοδα εκτίμησης ακινήτου προκειμένου να χορηγηθεί η έγκριση του δανείου.</w:t>
              <w:br/>
              <w:t xml:space="preserve"> - Συμπεριλαμβάνεται ΦΠΑ, σήμερα 24%.</w:t>
              <w:br/>
              <w:t xml:space="preserve"> - Σε περίπτωση μετάβασης του εκτιμητή σε απόσταση πέραν των 30χλμ από την έδρα του ο δανειολήπτης επιβαρύνεται με τα έξοδα μετακίνησης (€ 0,25/χλμ) καθώς και με τυχόν άλλα πραγματικά έξοδα μετάβασης και διαμονής. </w:t>
              <w:br/>
              <w:t>- Τα εν λόγω έξοδα αφορούν ανά ελεγχόμενο ακίνητο, εισπράττονται πριν από τη διενέργεια των αντίστοιχων ελέγχων και δεν επιστρέφονται εφόσον οι έλεγχοι πραγματοποιηθούν.</w:t>
            </w:r>
          </w:p>
        </w:tc>
      </w:tr>
      <w:tr>
        <w:trPr>
          <w:trHeight w:val="450" w:hRule="atLeast"/>
        </w:trPr>
        <w:tc>
          <w:tcPr>
            <w:tcW w:w="3646"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b/>
                <w:b/>
                <w:bCs/>
                <w:color w:val="000000"/>
                <w:lang w:eastAsia="el-GR"/>
              </w:rPr>
            </w:pPr>
            <w:r>
              <w:rPr>
                <w:rFonts w:eastAsia="Times New Roman" w:cs="Calibri"/>
                <w:b/>
                <w:bCs/>
                <w:color w:val="000000"/>
                <w:lang w:eastAsia="el-GR"/>
              </w:rPr>
            </w:r>
          </w:p>
        </w:tc>
        <w:tc>
          <w:tcPr>
            <w:tcW w:w="4659"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r>
          </w:p>
        </w:tc>
      </w:tr>
      <w:tr>
        <w:trPr>
          <w:trHeight w:val="450" w:hRule="atLeast"/>
        </w:trPr>
        <w:tc>
          <w:tcPr>
            <w:tcW w:w="3646"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b/>
                <w:b/>
                <w:bCs/>
                <w:color w:val="000000"/>
                <w:lang w:eastAsia="el-GR"/>
              </w:rPr>
            </w:pPr>
            <w:r>
              <w:rPr>
                <w:rFonts w:eastAsia="Times New Roman" w:cs="Calibri"/>
                <w:b/>
                <w:bCs/>
                <w:color w:val="000000"/>
                <w:lang w:eastAsia="el-GR"/>
              </w:rPr>
            </w:r>
          </w:p>
        </w:tc>
        <w:tc>
          <w:tcPr>
            <w:tcW w:w="4659"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r>
          </w:p>
        </w:tc>
      </w:tr>
      <w:tr>
        <w:trPr>
          <w:trHeight w:val="450" w:hRule="atLeast"/>
        </w:trPr>
        <w:tc>
          <w:tcPr>
            <w:tcW w:w="3646"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b/>
                <w:b/>
                <w:bCs/>
                <w:color w:val="000000"/>
                <w:lang w:eastAsia="el-GR"/>
              </w:rPr>
            </w:pPr>
            <w:r>
              <w:rPr>
                <w:rFonts w:eastAsia="Times New Roman" w:cs="Calibri"/>
                <w:b/>
                <w:bCs/>
                <w:color w:val="000000"/>
                <w:lang w:eastAsia="el-GR"/>
              </w:rPr>
            </w:r>
          </w:p>
        </w:tc>
        <w:tc>
          <w:tcPr>
            <w:tcW w:w="4659"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r>
          </w:p>
        </w:tc>
      </w:tr>
      <w:tr>
        <w:trPr>
          <w:trHeight w:val="4380" w:hRule="atLeast"/>
        </w:trPr>
        <w:tc>
          <w:tcPr>
            <w:tcW w:w="3646"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b/>
                <w:b/>
                <w:bCs/>
                <w:color w:val="000000"/>
                <w:lang w:eastAsia="el-GR"/>
              </w:rPr>
            </w:pPr>
            <w:r>
              <w:rPr>
                <w:rFonts w:eastAsia="Times New Roman" w:cs="Calibri"/>
                <w:b/>
                <w:bCs/>
                <w:color w:val="000000"/>
                <w:lang w:eastAsia="el-GR"/>
              </w:rPr>
            </w:r>
          </w:p>
        </w:tc>
        <w:tc>
          <w:tcPr>
            <w:tcW w:w="4659"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r>
          </w:p>
        </w:tc>
      </w:tr>
      <w:tr>
        <w:trPr>
          <w:trHeight w:val="450" w:hRule="atLeast"/>
        </w:trPr>
        <w:tc>
          <w:tcPr>
            <w:tcW w:w="3646" w:type="dxa"/>
            <w:vMerge w:val="restart"/>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Calibri" w:hAnsi="Calibri" w:eastAsia="Times New Roman" w:cs="Calibri"/>
                <w:b/>
                <w:b/>
                <w:bCs/>
                <w:color w:val="000000"/>
                <w:lang w:eastAsia="el-GR"/>
              </w:rPr>
            </w:pPr>
            <w:r>
              <w:rPr>
                <w:rFonts w:eastAsia="Times New Roman" w:cs="Calibri"/>
                <w:b/>
                <w:bCs/>
                <w:color w:val="000000"/>
                <w:lang w:eastAsia="el-GR"/>
              </w:rPr>
              <w:t>ΣΥΝΕΤΑΙΡΙΣΤΙΚΗ ΤΡΑΠΕΖΑ ΗΠΕΙΡΟΥ</w:t>
            </w:r>
          </w:p>
        </w:tc>
        <w:tc>
          <w:tcPr>
            <w:tcW w:w="4659" w:type="dxa"/>
            <w:vMerge w:val="restart"/>
            <w:tcBorders>
              <w:left w:val="single" w:sz="4" w:space="0" w:color="000000"/>
              <w:bottom w:val="single" w:sz="4" w:space="0" w:color="000000"/>
              <w:right w:val="single" w:sz="4" w:space="0" w:color="000000"/>
            </w:tcBorders>
            <w:shd w:color="000000" w:fill="DEEAF6" w:val="clear"/>
            <w:vAlign w:val="center"/>
          </w:tcPr>
          <w:p>
            <w:pPr>
              <w:pStyle w:val="Normal"/>
              <w:widowControl w:val="false"/>
              <w:spacing w:lineRule="auto" w:line="240" w:before="0" w:after="0"/>
              <w:jc w:val="center"/>
              <w:rPr>
                <w:rFonts w:ascii="Calibri" w:hAnsi="Calibri" w:eastAsia="Times New Roman" w:cs="Calibri"/>
                <w:color w:val="000000"/>
                <w:lang w:eastAsia="el-GR"/>
              </w:rPr>
            </w:pPr>
            <w:r>
              <w:rPr>
                <w:rFonts w:eastAsia="Times New Roman" w:cs="Calibri"/>
                <w:color w:val="000000"/>
                <w:lang w:eastAsia="el-GR"/>
              </w:rPr>
              <w:t>400,00 €</w:t>
            </w:r>
          </w:p>
        </w:tc>
      </w:tr>
      <w:tr>
        <w:trPr>
          <w:trHeight w:val="450" w:hRule="atLeast"/>
        </w:trPr>
        <w:tc>
          <w:tcPr>
            <w:tcW w:w="3646"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b/>
                <w:b/>
                <w:bCs/>
                <w:color w:val="000000"/>
                <w:lang w:eastAsia="el-GR"/>
              </w:rPr>
            </w:pPr>
            <w:r>
              <w:rPr>
                <w:rFonts w:eastAsia="Times New Roman" w:cs="Calibri"/>
                <w:b/>
                <w:bCs/>
                <w:color w:val="000000"/>
                <w:lang w:eastAsia="el-GR"/>
              </w:rPr>
            </w:r>
          </w:p>
        </w:tc>
        <w:tc>
          <w:tcPr>
            <w:tcW w:w="4659"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r>
          </w:p>
        </w:tc>
      </w:tr>
      <w:tr>
        <w:trPr>
          <w:trHeight w:val="450" w:hRule="atLeast"/>
        </w:trPr>
        <w:tc>
          <w:tcPr>
            <w:tcW w:w="3646"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b/>
                <w:b/>
                <w:bCs/>
                <w:color w:val="000000"/>
                <w:lang w:eastAsia="el-GR"/>
              </w:rPr>
            </w:pPr>
            <w:r>
              <w:rPr>
                <w:rFonts w:eastAsia="Times New Roman" w:cs="Calibri"/>
                <w:b/>
                <w:bCs/>
                <w:color w:val="000000"/>
                <w:lang w:eastAsia="el-GR"/>
              </w:rPr>
            </w:r>
          </w:p>
        </w:tc>
        <w:tc>
          <w:tcPr>
            <w:tcW w:w="4659"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r>
          </w:p>
        </w:tc>
      </w:tr>
      <w:tr>
        <w:trPr>
          <w:trHeight w:val="450" w:hRule="atLeast"/>
        </w:trPr>
        <w:tc>
          <w:tcPr>
            <w:tcW w:w="3646"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b/>
                <w:b/>
                <w:bCs/>
                <w:color w:val="000000"/>
                <w:lang w:eastAsia="el-GR"/>
              </w:rPr>
            </w:pPr>
            <w:r>
              <w:rPr>
                <w:rFonts w:eastAsia="Times New Roman" w:cs="Calibri"/>
                <w:b/>
                <w:bCs/>
                <w:color w:val="000000"/>
                <w:lang w:eastAsia="el-GR"/>
              </w:rPr>
            </w:r>
          </w:p>
        </w:tc>
        <w:tc>
          <w:tcPr>
            <w:tcW w:w="4659"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r>
          </w:p>
        </w:tc>
      </w:tr>
      <w:tr>
        <w:trPr>
          <w:trHeight w:val="450" w:hRule="atLeast"/>
        </w:trPr>
        <w:tc>
          <w:tcPr>
            <w:tcW w:w="3646"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b/>
                <w:b/>
                <w:bCs/>
                <w:color w:val="000000"/>
                <w:lang w:eastAsia="el-GR"/>
              </w:rPr>
            </w:pPr>
            <w:r>
              <w:rPr>
                <w:rFonts w:eastAsia="Times New Roman" w:cs="Calibri"/>
                <w:b/>
                <w:bCs/>
                <w:color w:val="000000"/>
                <w:lang w:eastAsia="el-GR"/>
              </w:rPr>
            </w:r>
          </w:p>
        </w:tc>
        <w:tc>
          <w:tcPr>
            <w:tcW w:w="4659"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r>
          </w:p>
        </w:tc>
      </w:tr>
      <w:tr>
        <w:trPr>
          <w:trHeight w:val="450" w:hRule="atLeast"/>
        </w:trPr>
        <w:tc>
          <w:tcPr>
            <w:tcW w:w="3646" w:type="dxa"/>
            <w:vMerge w:val="restart"/>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Calibri" w:hAnsi="Calibri" w:eastAsia="Times New Roman" w:cs="Calibri"/>
                <w:b/>
                <w:b/>
                <w:bCs/>
                <w:color w:val="000000"/>
                <w:lang w:eastAsia="el-GR"/>
              </w:rPr>
            </w:pPr>
            <w:r>
              <w:rPr>
                <w:rFonts w:eastAsia="Times New Roman" w:cs="Calibri"/>
                <w:b/>
                <w:bCs/>
                <w:color w:val="000000"/>
                <w:lang w:eastAsia="el-GR"/>
              </w:rPr>
              <w:t xml:space="preserve">ΣΥΝΕΤΑΙΡΙΣΤΙΚΗ ΤΡΑΠΕΖΑ ΘΕΣΣΑΛΙΑΣ </w:t>
            </w:r>
          </w:p>
        </w:tc>
        <w:tc>
          <w:tcPr>
            <w:tcW w:w="4659" w:type="dxa"/>
            <w:vMerge w:val="restart"/>
            <w:tcBorders>
              <w:left w:val="single" w:sz="4" w:space="0" w:color="000000"/>
              <w:bottom w:val="single" w:sz="4" w:space="0" w:color="000000"/>
              <w:right w:val="single" w:sz="4" w:space="0" w:color="000000"/>
            </w:tcBorders>
            <w:shd w:color="000000" w:fill="DEEAF6" w:val="clear"/>
            <w:vAlign w:val="center"/>
          </w:tcPr>
          <w:p>
            <w:pPr>
              <w:pStyle w:val="Normal"/>
              <w:widowControl w:val="false"/>
              <w:spacing w:lineRule="auto" w:line="240" w:before="0" w:after="0"/>
              <w:jc w:val="center"/>
              <w:rPr>
                <w:rFonts w:ascii="Calibri" w:hAnsi="Calibri" w:eastAsia="Times New Roman" w:cs="Calibri"/>
                <w:color w:val="000000"/>
                <w:lang w:eastAsia="el-GR"/>
              </w:rPr>
            </w:pPr>
            <w:r>
              <w:rPr>
                <w:rFonts w:eastAsia="Times New Roman" w:cs="Calibri"/>
                <w:color w:val="000000"/>
                <w:lang w:eastAsia="el-GR"/>
              </w:rPr>
              <w:t>350,00 €</w:t>
            </w:r>
          </w:p>
        </w:tc>
      </w:tr>
      <w:tr>
        <w:trPr>
          <w:trHeight w:val="450" w:hRule="atLeast"/>
        </w:trPr>
        <w:tc>
          <w:tcPr>
            <w:tcW w:w="3646"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b/>
                <w:b/>
                <w:bCs/>
                <w:color w:val="000000"/>
                <w:lang w:eastAsia="el-GR"/>
              </w:rPr>
            </w:pPr>
            <w:r>
              <w:rPr>
                <w:rFonts w:eastAsia="Times New Roman" w:cs="Calibri"/>
                <w:b/>
                <w:bCs/>
                <w:color w:val="000000"/>
                <w:lang w:eastAsia="el-GR"/>
              </w:rPr>
            </w:r>
          </w:p>
        </w:tc>
        <w:tc>
          <w:tcPr>
            <w:tcW w:w="4659"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r>
          </w:p>
        </w:tc>
      </w:tr>
      <w:tr>
        <w:trPr>
          <w:trHeight w:val="450" w:hRule="atLeast"/>
        </w:trPr>
        <w:tc>
          <w:tcPr>
            <w:tcW w:w="3646"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b/>
                <w:b/>
                <w:bCs/>
                <w:color w:val="000000"/>
                <w:lang w:eastAsia="el-GR"/>
              </w:rPr>
            </w:pPr>
            <w:r>
              <w:rPr>
                <w:rFonts w:eastAsia="Times New Roman" w:cs="Calibri"/>
                <w:b/>
                <w:bCs/>
                <w:color w:val="000000"/>
                <w:lang w:eastAsia="el-GR"/>
              </w:rPr>
            </w:r>
          </w:p>
        </w:tc>
        <w:tc>
          <w:tcPr>
            <w:tcW w:w="4659"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r>
          </w:p>
        </w:tc>
      </w:tr>
      <w:tr>
        <w:trPr>
          <w:trHeight w:val="450" w:hRule="atLeast"/>
        </w:trPr>
        <w:tc>
          <w:tcPr>
            <w:tcW w:w="3646"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b/>
                <w:b/>
                <w:bCs/>
                <w:color w:val="000000"/>
                <w:lang w:eastAsia="el-GR"/>
              </w:rPr>
            </w:pPr>
            <w:r>
              <w:rPr>
                <w:rFonts w:eastAsia="Times New Roman" w:cs="Calibri"/>
                <w:b/>
                <w:bCs/>
                <w:color w:val="000000"/>
                <w:lang w:eastAsia="el-GR"/>
              </w:rPr>
            </w:r>
          </w:p>
        </w:tc>
        <w:tc>
          <w:tcPr>
            <w:tcW w:w="4659"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r>
          </w:p>
        </w:tc>
      </w:tr>
      <w:tr>
        <w:trPr>
          <w:trHeight w:val="450" w:hRule="atLeast"/>
        </w:trPr>
        <w:tc>
          <w:tcPr>
            <w:tcW w:w="3646"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b/>
                <w:b/>
                <w:bCs/>
                <w:color w:val="000000"/>
                <w:lang w:eastAsia="el-GR"/>
              </w:rPr>
            </w:pPr>
            <w:r>
              <w:rPr>
                <w:rFonts w:eastAsia="Times New Roman" w:cs="Calibri"/>
                <w:b/>
                <w:bCs/>
                <w:color w:val="000000"/>
                <w:lang w:eastAsia="el-GR"/>
              </w:rPr>
            </w:r>
          </w:p>
        </w:tc>
        <w:tc>
          <w:tcPr>
            <w:tcW w:w="4659"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r>
          </w:p>
        </w:tc>
      </w:tr>
      <w:tr>
        <w:trPr>
          <w:trHeight w:val="450" w:hRule="atLeast"/>
        </w:trPr>
        <w:tc>
          <w:tcPr>
            <w:tcW w:w="3646" w:type="dxa"/>
            <w:vMerge w:val="restart"/>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Calibri" w:hAnsi="Calibri" w:eastAsia="Times New Roman" w:cs="Calibri"/>
                <w:b/>
                <w:b/>
                <w:bCs/>
                <w:color w:val="000000"/>
                <w:lang w:eastAsia="el-GR"/>
              </w:rPr>
            </w:pPr>
            <w:r>
              <w:rPr>
                <w:rFonts w:eastAsia="Times New Roman" w:cs="Calibri"/>
                <w:b/>
                <w:bCs/>
                <w:color w:val="000000"/>
                <w:lang w:eastAsia="el-GR"/>
              </w:rPr>
              <w:t xml:space="preserve">ΣΥΝΕΤΑΙΡΙΣΤΙΚΗ ΤΡΑΠΕΖΑ ΚΑΡΔΙΤΣΑΣ </w:t>
            </w:r>
          </w:p>
        </w:tc>
        <w:tc>
          <w:tcPr>
            <w:tcW w:w="4659" w:type="dxa"/>
            <w:vMerge w:val="restart"/>
            <w:tcBorders>
              <w:left w:val="single" w:sz="4" w:space="0" w:color="000000"/>
              <w:bottom w:val="single" w:sz="4" w:space="0" w:color="000000"/>
              <w:right w:val="single" w:sz="4" w:space="0" w:color="000000"/>
            </w:tcBorders>
            <w:shd w:color="000000" w:fill="DEEAF6" w:val="clear"/>
            <w:vAlign w:val="center"/>
          </w:tcPr>
          <w:p>
            <w:pPr>
              <w:pStyle w:val="Normal"/>
              <w:widowControl w:val="false"/>
              <w:spacing w:lineRule="auto" w:line="240" w:before="0" w:after="0"/>
              <w:jc w:val="center"/>
              <w:rPr>
                <w:rFonts w:ascii="Calibri" w:hAnsi="Calibri" w:eastAsia="Times New Roman" w:cs="Calibri"/>
                <w:color w:val="000000"/>
                <w:lang w:eastAsia="el-GR"/>
              </w:rPr>
            </w:pPr>
            <w:r>
              <w:rPr>
                <w:rFonts w:eastAsia="Times New Roman" w:cs="Calibri"/>
                <w:color w:val="000000"/>
                <w:lang w:eastAsia="el-GR"/>
              </w:rPr>
              <w:t>300,00 €</w:t>
            </w:r>
          </w:p>
        </w:tc>
      </w:tr>
      <w:tr>
        <w:trPr>
          <w:trHeight w:val="450" w:hRule="atLeast"/>
        </w:trPr>
        <w:tc>
          <w:tcPr>
            <w:tcW w:w="3646"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b/>
                <w:b/>
                <w:bCs/>
                <w:color w:val="000000"/>
                <w:lang w:eastAsia="el-GR"/>
              </w:rPr>
            </w:pPr>
            <w:r>
              <w:rPr>
                <w:rFonts w:eastAsia="Times New Roman" w:cs="Calibri"/>
                <w:b/>
                <w:bCs/>
                <w:color w:val="000000"/>
                <w:lang w:eastAsia="el-GR"/>
              </w:rPr>
            </w:r>
          </w:p>
        </w:tc>
        <w:tc>
          <w:tcPr>
            <w:tcW w:w="4659"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r>
          </w:p>
        </w:tc>
      </w:tr>
      <w:tr>
        <w:trPr>
          <w:trHeight w:val="450" w:hRule="atLeast"/>
        </w:trPr>
        <w:tc>
          <w:tcPr>
            <w:tcW w:w="3646"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b/>
                <w:b/>
                <w:bCs/>
                <w:color w:val="000000"/>
                <w:lang w:eastAsia="el-GR"/>
              </w:rPr>
            </w:pPr>
            <w:r>
              <w:rPr>
                <w:rFonts w:eastAsia="Times New Roman" w:cs="Calibri"/>
                <w:b/>
                <w:bCs/>
                <w:color w:val="000000"/>
                <w:lang w:eastAsia="el-GR"/>
              </w:rPr>
            </w:r>
          </w:p>
        </w:tc>
        <w:tc>
          <w:tcPr>
            <w:tcW w:w="4659"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r>
          </w:p>
        </w:tc>
      </w:tr>
      <w:tr>
        <w:trPr>
          <w:trHeight w:val="450" w:hRule="atLeast"/>
        </w:trPr>
        <w:tc>
          <w:tcPr>
            <w:tcW w:w="3646"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b/>
                <w:b/>
                <w:bCs/>
                <w:color w:val="000000"/>
                <w:lang w:eastAsia="el-GR"/>
              </w:rPr>
            </w:pPr>
            <w:r>
              <w:rPr>
                <w:rFonts w:eastAsia="Times New Roman" w:cs="Calibri"/>
                <w:b/>
                <w:bCs/>
                <w:color w:val="000000"/>
                <w:lang w:eastAsia="el-GR"/>
              </w:rPr>
            </w:r>
          </w:p>
        </w:tc>
        <w:tc>
          <w:tcPr>
            <w:tcW w:w="4659"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r>
          </w:p>
        </w:tc>
      </w:tr>
      <w:tr>
        <w:trPr>
          <w:trHeight w:val="450" w:hRule="atLeast"/>
        </w:trPr>
        <w:tc>
          <w:tcPr>
            <w:tcW w:w="3646"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b/>
                <w:b/>
                <w:bCs/>
                <w:color w:val="000000"/>
                <w:lang w:eastAsia="el-GR"/>
              </w:rPr>
            </w:pPr>
            <w:r>
              <w:rPr>
                <w:rFonts w:eastAsia="Times New Roman" w:cs="Calibri"/>
                <w:b/>
                <w:bCs/>
                <w:color w:val="000000"/>
                <w:lang w:eastAsia="el-GR"/>
              </w:rPr>
            </w:r>
          </w:p>
        </w:tc>
        <w:tc>
          <w:tcPr>
            <w:tcW w:w="4659"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r>
          </w:p>
        </w:tc>
      </w:tr>
      <w:tr>
        <w:trPr>
          <w:trHeight w:val="450" w:hRule="atLeast"/>
        </w:trPr>
        <w:tc>
          <w:tcPr>
            <w:tcW w:w="3646" w:type="dxa"/>
            <w:vMerge w:val="restart"/>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Calibri" w:hAnsi="Calibri" w:eastAsia="Times New Roman" w:cs="Calibri"/>
                <w:b/>
                <w:b/>
                <w:bCs/>
                <w:color w:val="000000"/>
                <w:lang w:eastAsia="el-GR"/>
              </w:rPr>
            </w:pPr>
            <w:r>
              <w:rPr>
                <w:rFonts w:eastAsia="Times New Roman" w:cs="Calibri"/>
                <w:b/>
                <w:bCs/>
                <w:color w:val="000000"/>
                <w:lang w:eastAsia="el-GR"/>
              </w:rPr>
              <w:t>ΣΥΝΕΤΑΙΡΙΣΤΙΚΗ ΤΡΑΠΕΖΑ ΧΑΝΙΩΝ</w:t>
            </w:r>
          </w:p>
        </w:tc>
        <w:tc>
          <w:tcPr>
            <w:tcW w:w="4659" w:type="dxa"/>
            <w:vMerge w:val="restart"/>
            <w:tcBorders>
              <w:left w:val="single" w:sz="4" w:space="0" w:color="000000"/>
              <w:bottom w:val="single" w:sz="4" w:space="0" w:color="000000"/>
              <w:right w:val="single" w:sz="4" w:space="0" w:color="000000"/>
            </w:tcBorders>
            <w:shd w:color="000000" w:fill="DEEAF6" w:val="clear"/>
            <w:vAlign w:val="center"/>
          </w:tcPr>
          <w:p>
            <w:pPr>
              <w:pStyle w:val="Normal"/>
              <w:widowControl w:val="false"/>
              <w:spacing w:lineRule="auto" w:line="240" w:before="0" w:after="0"/>
              <w:jc w:val="center"/>
              <w:rPr>
                <w:rFonts w:ascii="Calibri" w:hAnsi="Calibri" w:eastAsia="Times New Roman" w:cs="Calibri"/>
                <w:color w:val="000000"/>
                <w:lang w:eastAsia="el-GR"/>
              </w:rPr>
            </w:pPr>
            <w:r>
              <w:rPr>
                <w:rFonts w:eastAsia="Times New Roman" w:cs="Calibri"/>
                <w:color w:val="000000"/>
                <w:lang w:eastAsia="el-GR"/>
              </w:rPr>
              <w:t>350€+ ΦΠΑ</w:t>
            </w:r>
          </w:p>
        </w:tc>
      </w:tr>
      <w:tr>
        <w:trPr>
          <w:trHeight w:val="450" w:hRule="atLeast"/>
        </w:trPr>
        <w:tc>
          <w:tcPr>
            <w:tcW w:w="3646"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b/>
                <w:b/>
                <w:bCs/>
                <w:color w:val="000000"/>
                <w:lang w:eastAsia="el-GR"/>
              </w:rPr>
            </w:pPr>
            <w:r>
              <w:rPr>
                <w:rFonts w:eastAsia="Times New Roman" w:cs="Calibri"/>
                <w:b/>
                <w:bCs/>
                <w:color w:val="000000"/>
                <w:lang w:eastAsia="el-GR"/>
              </w:rPr>
            </w:r>
          </w:p>
        </w:tc>
        <w:tc>
          <w:tcPr>
            <w:tcW w:w="4659"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r>
          </w:p>
        </w:tc>
      </w:tr>
      <w:tr>
        <w:trPr>
          <w:trHeight w:val="450" w:hRule="atLeast"/>
        </w:trPr>
        <w:tc>
          <w:tcPr>
            <w:tcW w:w="3646"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b/>
                <w:b/>
                <w:bCs/>
                <w:color w:val="000000"/>
                <w:lang w:eastAsia="el-GR"/>
              </w:rPr>
            </w:pPr>
            <w:r>
              <w:rPr>
                <w:rFonts w:eastAsia="Times New Roman" w:cs="Calibri"/>
                <w:b/>
                <w:bCs/>
                <w:color w:val="000000"/>
                <w:lang w:eastAsia="el-GR"/>
              </w:rPr>
            </w:r>
          </w:p>
        </w:tc>
        <w:tc>
          <w:tcPr>
            <w:tcW w:w="4659"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r>
          </w:p>
        </w:tc>
      </w:tr>
      <w:tr>
        <w:trPr>
          <w:trHeight w:val="450" w:hRule="atLeast"/>
        </w:trPr>
        <w:tc>
          <w:tcPr>
            <w:tcW w:w="3646"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b/>
                <w:b/>
                <w:bCs/>
                <w:color w:val="000000"/>
                <w:lang w:eastAsia="el-GR"/>
              </w:rPr>
            </w:pPr>
            <w:r>
              <w:rPr>
                <w:rFonts w:eastAsia="Times New Roman" w:cs="Calibri"/>
                <w:b/>
                <w:bCs/>
                <w:color w:val="000000"/>
                <w:lang w:eastAsia="el-GR"/>
              </w:rPr>
            </w:r>
          </w:p>
        </w:tc>
        <w:tc>
          <w:tcPr>
            <w:tcW w:w="4659"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r>
          </w:p>
        </w:tc>
      </w:tr>
      <w:tr>
        <w:trPr>
          <w:trHeight w:val="450" w:hRule="atLeast"/>
        </w:trPr>
        <w:tc>
          <w:tcPr>
            <w:tcW w:w="3646"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b/>
                <w:b/>
                <w:bCs/>
                <w:color w:val="000000"/>
                <w:lang w:eastAsia="el-GR"/>
              </w:rPr>
            </w:pPr>
            <w:r>
              <w:rPr>
                <w:rFonts w:eastAsia="Times New Roman" w:cs="Calibri"/>
                <w:b/>
                <w:bCs/>
                <w:color w:val="000000"/>
                <w:lang w:eastAsia="el-GR"/>
              </w:rPr>
            </w:r>
          </w:p>
        </w:tc>
        <w:tc>
          <w:tcPr>
            <w:tcW w:w="4659"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r>
          </w:p>
        </w:tc>
      </w:tr>
      <w:tr>
        <w:trPr>
          <w:trHeight w:val="450" w:hRule="atLeast"/>
        </w:trPr>
        <w:tc>
          <w:tcPr>
            <w:tcW w:w="3646" w:type="dxa"/>
            <w:vMerge w:val="restart"/>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Calibri" w:hAnsi="Calibri" w:eastAsia="Times New Roman" w:cs="Calibri"/>
                <w:b/>
                <w:b/>
                <w:bCs/>
                <w:color w:val="000000"/>
                <w:lang w:eastAsia="el-GR"/>
              </w:rPr>
            </w:pPr>
            <w:r>
              <w:rPr>
                <w:rFonts w:eastAsia="Times New Roman" w:cs="Calibri"/>
                <w:b/>
                <w:bCs/>
                <w:color w:val="000000"/>
                <w:lang w:eastAsia="el-GR"/>
              </w:rPr>
              <w:t xml:space="preserve">ATTICA BANK </w:t>
            </w:r>
          </w:p>
        </w:tc>
        <w:tc>
          <w:tcPr>
            <w:tcW w:w="4659" w:type="dxa"/>
            <w:vMerge w:val="restart"/>
            <w:tcBorders>
              <w:left w:val="single" w:sz="4" w:space="0" w:color="000000"/>
              <w:bottom w:val="single" w:sz="4" w:space="0" w:color="000000"/>
              <w:right w:val="single" w:sz="4" w:space="0" w:color="000000"/>
            </w:tcBorders>
            <w:shd w:color="000000" w:fill="DEEAF6" w:val="clear"/>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t>Κόστος Νομικού και Τεχνικού Ελέγχου (ευρώ)</w:t>
              <w:br/>
              <w:t>•Δαπάνη εκτίμησης Γης - Οριζόντιας ή Αυτοτελούς Κατοικίας : Πάγιο € 175</w:t>
              <w:br/>
              <w:t>πλέον Φ.Π.Α.</w:t>
              <w:br/>
              <w:t>Η δαπάνη εκτίμησης περιλαμβάνει έλεγχο πολεοδομικής νομιμότητας</w:t>
              <w:br/>
              <w:t>ακινήτων εκτιμηθείσας αξίας έως € 600.000.</w:t>
              <w:br/>
              <w:t>Για εκτιμώμενα ακίνητα οδικής απόστασης &gt; 40χλμ από την έδρα του εντολέα</w:t>
              <w:br/>
              <w:t>καταβάλλονται οδοιπορικά έξοδα με χρέωση € 0,25/χλμ.</w:t>
              <w:br/>
              <w:t>Επίσης καταβάλλονται έξοδα εισιτηρίων, πορθμείων, διοδίων σύμφωνα με τα</w:t>
              <w:br/>
              <w:t>παραστατικά που θα προσκομίζονται από τον εκτιμητή με μέγιστη αμοιβή</w:t>
              <w:br/>
              <w:t>το ποσό των 80 € πλέον ΦΠΑ.. Σε περιπτώσεις διανυκτέρευσης του εκτιμητή</w:t>
              <w:br/>
              <w:t>θα εκδίδεται τιμολόγιο και μέχρι του ποσού των € 70 (διανυκτέρευση και πρωϊνό)</w:t>
              <w:br/>
              <w:t>με μέγιστη αμοιβή το ποσό των € 120 / ημέρα πλέον</w:t>
              <w:br/>
              <w:t>ΦΠΑ και μία διανυκτέρευση.</w:t>
              <w:br/>
              <w:t>•Δαπάνη Νομικού Ελέγχου :</w:t>
              <w:br/>
              <w:t>80 συμπεριλαμβανομένου Φ.Π.Α.</w:t>
              <w:br/>
              <w:t>Σε καμία περίπτωση το συνολικό ποσό των εξόδων νομικού και τεχνικού ελέγχου</w:t>
              <w:br/>
              <w:t>ανά τελικό αποδέκτη δεν θα υπερβεί το ποσό των € 650.</w:t>
              <w:br/>
              <w:t>Τα ανωτέρω έξοδα εισπράττονται ανά ακίνητο.</w:t>
            </w:r>
          </w:p>
        </w:tc>
      </w:tr>
      <w:tr>
        <w:trPr>
          <w:trHeight w:val="450" w:hRule="atLeast"/>
        </w:trPr>
        <w:tc>
          <w:tcPr>
            <w:tcW w:w="3646"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b/>
                <w:b/>
                <w:bCs/>
                <w:color w:val="000000"/>
                <w:lang w:eastAsia="el-GR"/>
              </w:rPr>
            </w:pPr>
            <w:r>
              <w:rPr>
                <w:rFonts w:eastAsia="Times New Roman" w:cs="Calibri"/>
                <w:b/>
                <w:bCs/>
                <w:color w:val="000000"/>
                <w:lang w:eastAsia="el-GR"/>
              </w:rPr>
            </w:r>
          </w:p>
        </w:tc>
        <w:tc>
          <w:tcPr>
            <w:tcW w:w="4659"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r>
          </w:p>
        </w:tc>
      </w:tr>
      <w:tr>
        <w:trPr>
          <w:trHeight w:val="450" w:hRule="atLeast"/>
        </w:trPr>
        <w:tc>
          <w:tcPr>
            <w:tcW w:w="3646"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b/>
                <w:b/>
                <w:bCs/>
                <w:color w:val="000000"/>
                <w:lang w:eastAsia="el-GR"/>
              </w:rPr>
            </w:pPr>
            <w:r>
              <w:rPr>
                <w:rFonts w:eastAsia="Times New Roman" w:cs="Calibri"/>
                <w:b/>
                <w:bCs/>
                <w:color w:val="000000"/>
                <w:lang w:eastAsia="el-GR"/>
              </w:rPr>
            </w:r>
          </w:p>
        </w:tc>
        <w:tc>
          <w:tcPr>
            <w:tcW w:w="4659"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r>
          </w:p>
        </w:tc>
      </w:tr>
      <w:tr>
        <w:trPr>
          <w:trHeight w:val="450" w:hRule="atLeast"/>
        </w:trPr>
        <w:tc>
          <w:tcPr>
            <w:tcW w:w="3646"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b/>
                <w:b/>
                <w:bCs/>
                <w:color w:val="000000"/>
                <w:lang w:eastAsia="el-GR"/>
              </w:rPr>
            </w:pPr>
            <w:r>
              <w:rPr>
                <w:rFonts w:eastAsia="Times New Roman" w:cs="Calibri"/>
                <w:b/>
                <w:bCs/>
                <w:color w:val="000000"/>
                <w:lang w:eastAsia="el-GR"/>
              </w:rPr>
            </w:r>
          </w:p>
        </w:tc>
        <w:tc>
          <w:tcPr>
            <w:tcW w:w="4659"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r>
          </w:p>
        </w:tc>
      </w:tr>
      <w:tr>
        <w:trPr>
          <w:trHeight w:val="4170" w:hRule="atLeast"/>
        </w:trPr>
        <w:tc>
          <w:tcPr>
            <w:tcW w:w="3646"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b/>
                <w:b/>
                <w:bCs/>
                <w:color w:val="000000"/>
                <w:lang w:eastAsia="el-GR"/>
              </w:rPr>
            </w:pPr>
            <w:r>
              <w:rPr>
                <w:rFonts w:eastAsia="Times New Roman" w:cs="Calibri"/>
                <w:b/>
                <w:bCs/>
                <w:color w:val="000000"/>
                <w:lang w:eastAsia="el-GR"/>
              </w:rPr>
            </w:r>
          </w:p>
        </w:tc>
        <w:tc>
          <w:tcPr>
            <w:tcW w:w="4659"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r>
          </w:p>
        </w:tc>
      </w:tr>
      <w:tr>
        <w:trPr>
          <w:trHeight w:val="450" w:hRule="atLeast"/>
        </w:trPr>
        <w:tc>
          <w:tcPr>
            <w:tcW w:w="3646" w:type="dxa"/>
            <w:vMerge w:val="restart"/>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Calibri" w:hAnsi="Calibri" w:eastAsia="Times New Roman" w:cs="Calibri"/>
                <w:b/>
                <w:b/>
                <w:bCs/>
                <w:color w:val="000000"/>
                <w:lang w:eastAsia="el-GR"/>
              </w:rPr>
            </w:pPr>
            <w:r>
              <w:rPr>
                <w:rFonts w:eastAsia="Times New Roman" w:cs="Calibri"/>
                <w:b/>
                <w:bCs/>
                <w:color w:val="000000"/>
                <w:lang w:eastAsia="el-GR"/>
              </w:rPr>
              <w:t xml:space="preserve">ΤΡΑΠΕΖΑ ΠΕΙΡΑΙΩΣ </w:t>
            </w:r>
          </w:p>
        </w:tc>
        <w:tc>
          <w:tcPr>
            <w:tcW w:w="4659" w:type="dxa"/>
            <w:vMerge w:val="restart"/>
            <w:tcBorders>
              <w:left w:val="single" w:sz="4" w:space="0" w:color="000000"/>
              <w:bottom w:val="single" w:sz="4" w:space="0" w:color="000000"/>
              <w:right w:val="single" w:sz="4" w:space="0" w:color="000000"/>
            </w:tcBorders>
            <w:shd w:color="000000" w:fill="DEEAF6" w:val="clear"/>
            <w:vAlign w:val="center"/>
          </w:tcPr>
          <w:p>
            <w:pPr>
              <w:pStyle w:val="Normal"/>
              <w:widowControl w:val="false"/>
              <w:spacing w:lineRule="auto" w:line="240" w:before="0" w:after="0"/>
              <w:jc w:val="center"/>
              <w:rPr>
                <w:rFonts w:ascii="Calibri" w:hAnsi="Calibri" w:eastAsia="Times New Roman" w:cs="Calibri"/>
                <w:color w:val="000000"/>
                <w:lang w:eastAsia="el-GR"/>
              </w:rPr>
            </w:pPr>
            <w:r>
              <w:rPr>
                <w:rFonts w:eastAsia="Times New Roman" w:cs="Calibri"/>
                <w:color w:val="000000"/>
                <w:lang w:eastAsia="el-GR"/>
              </w:rPr>
              <w:t>500€, συμπεριλαμβανομένου ΦΠΑ. Η αμοιβή αφορά μέγιστο ποσό για ένα ακίνητο και δεν περιλαμβάνει τυχόν οδοιπορικά που ενδέχεται να επιβαρύνουν λόγω ακινήτου σε απομακρυσμένες περιοχές όπου δεν υφίσταται κατάστημα της τράπεζας</w:t>
            </w:r>
          </w:p>
        </w:tc>
      </w:tr>
      <w:tr>
        <w:trPr>
          <w:trHeight w:val="450" w:hRule="atLeast"/>
        </w:trPr>
        <w:tc>
          <w:tcPr>
            <w:tcW w:w="3646"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b/>
                <w:b/>
                <w:bCs/>
                <w:color w:val="000000"/>
                <w:lang w:eastAsia="el-GR"/>
              </w:rPr>
            </w:pPr>
            <w:r>
              <w:rPr>
                <w:rFonts w:eastAsia="Times New Roman" w:cs="Calibri"/>
                <w:b/>
                <w:bCs/>
                <w:color w:val="000000"/>
                <w:lang w:eastAsia="el-GR"/>
              </w:rPr>
            </w:r>
          </w:p>
        </w:tc>
        <w:tc>
          <w:tcPr>
            <w:tcW w:w="4659"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r>
          </w:p>
        </w:tc>
      </w:tr>
      <w:tr>
        <w:trPr>
          <w:trHeight w:val="450" w:hRule="atLeast"/>
        </w:trPr>
        <w:tc>
          <w:tcPr>
            <w:tcW w:w="3646"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b/>
                <w:b/>
                <w:bCs/>
                <w:color w:val="000000"/>
                <w:lang w:eastAsia="el-GR"/>
              </w:rPr>
            </w:pPr>
            <w:r>
              <w:rPr>
                <w:rFonts w:eastAsia="Times New Roman" w:cs="Calibri"/>
                <w:b/>
                <w:bCs/>
                <w:color w:val="000000"/>
                <w:lang w:eastAsia="el-GR"/>
              </w:rPr>
            </w:r>
          </w:p>
        </w:tc>
        <w:tc>
          <w:tcPr>
            <w:tcW w:w="4659"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r>
          </w:p>
        </w:tc>
      </w:tr>
      <w:tr>
        <w:trPr>
          <w:trHeight w:val="450" w:hRule="atLeast"/>
        </w:trPr>
        <w:tc>
          <w:tcPr>
            <w:tcW w:w="3646"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b/>
                <w:b/>
                <w:bCs/>
                <w:color w:val="000000"/>
                <w:lang w:eastAsia="el-GR"/>
              </w:rPr>
            </w:pPr>
            <w:r>
              <w:rPr>
                <w:rFonts w:eastAsia="Times New Roman" w:cs="Calibri"/>
                <w:b/>
                <w:bCs/>
                <w:color w:val="000000"/>
                <w:lang w:eastAsia="el-GR"/>
              </w:rPr>
            </w:r>
          </w:p>
        </w:tc>
        <w:tc>
          <w:tcPr>
            <w:tcW w:w="4659"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r>
          </w:p>
        </w:tc>
      </w:tr>
      <w:tr>
        <w:trPr>
          <w:trHeight w:val="450" w:hRule="atLeast"/>
        </w:trPr>
        <w:tc>
          <w:tcPr>
            <w:tcW w:w="3646"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b/>
                <w:b/>
                <w:bCs/>
                <w:color w:val="000000"/>
                <w:lang w:eastAsia="el-GR"/>
              </w:rPr>
            </w:pPr>
            <w:r>
              <w:rPr>
                <w:rFonts w:eastAsia="Times New Roman" w:cs="Calibri"/>
                <w:b/>
                <w:bCs/>
                <w:color w:val="000000"/>
                <w:lang w:eastAsia="el-GR"/>
              </w:rPr>
            </w:r>
          </w:p>
        </w:tc>
        <w:tc>
          <w:tcPr>
            <w:tcW w:w="4659"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libri" w:hAnsi="Calibri" w:eastAsia="Times New Roman" w:cs="Calibri"/>
                <w:color w:val="000000"/>
                <w:lang w:eastAsia="el-GR"/>
              </w:rPr>
            </w:pPr>
            <w:r>
              <w:rPr>
                <w:rFonts w:eastAsia="Times New Roman" w:cs="Calibri"/>
                <w:color w:val="000000"/>
                <w:lang w:eastAsia="el-GR"/>
              </w:rPr>
            </w:r>
          </w:p>
        </w:tc>
      </w:tr>
    </w:tbl>
    <w:p>
      <w:pPr>
        <w:pStyle w:val="Normal"/>
        <w:jc w:val="both"/>
        <w:rPr>
          <w:rFonts w:cs="Calibri" w:cstheme="minorHAnsi"/>
          <w:color w:val="FF0000"/>
          <w:sz w:val="24"/>
          <w:szCs w:val="24"/>
        </w:rPr>
      </w:pPr>
      <w:r>
        <w:rPr>
          <w:rFonts w:cs="Calibri" w:cstheme="minorHAnsi"/>
          <w:sz w:val="24"/>
          <w:szCs w:val="24"/>
        </w:rPr>
        <w:t xml:space="preserve">Η μονομερής αλλαγή των λοιπών εξόδων προς τα πάνω δεν είναι επιτρεπτή. </w:t>
      </w:r>
    </w:p>
    <w:p>
      <w:pPr>
        <w:pStyle w:val="ListParagraph"/>
        <w:numPr>
          <w:ilvl w:val="0"/>
          <w:numId w:val="0"/>
        </w:numPr>
        <w:ind w:hanging="0"/>
        <w:jc w:val="both"/>
        <w:rPr/>
      </w:pPr>
      <w:r>
        <w:rPr/>
      </w:r>
    </w:p>
    <w:p>
      <w:pPr>
        <w:pStyle w:val="Normal"/>
        <w:jc w:val="both"/>
        <w:rPr>
          <w:rFonts w:cs="Calibri" w:cstheme="minorHAnsi"/>
          <w:b/>
          <w:b/>
          <w:sz w:val="24"/>
          <w:szCs w:val="24"/>
        </w:rPr>
      </w:pPr>
      <w:r>
        <w:rPr>
          <w:rFonts w:cs="Calibri" w:cstheme="minorHAnsi"/>
          <w:b/>
          <w:sz w:val="24"/>
          <w:szCs w:val="24"/>
        </w:rPr>
      </w:r>
    </w:p>
    <w:p>
      <w:pPr>
        <w:pStyle w:val="Normal"/>
        <w:jc w:val="both"/>
        <w:rPr>
          <w:rFonts w:cs="Calibri" w:cstheme="minorHAnsi"/>
          <w:sz w:val="24"/>
          <w:szCs w:val="24"/>
        </w:rPr>
      </w:pPr>
      <w:r>
        <w:rPr>
          <w:rFonts w:cs="Calibri" w:cstheme="minorHAnsi"/>
          <w:sz w:val="24"/>
          <w:szCs w:val="24"/>
        </w:rPr>
      </w:r>
    </w:p>
    <w:p>
      <w:pPr>
        <w:pStyle w:val="Normal"/>
        <w:spacing w:before="0" w:after="160"/>
        <w:jc w:val="both"/>
        <w:rPr>
          <w:rFonts w:cs="Calibri" w:cstheme="minorHAnsi"/>
          <w:b/>
          <w:b/>
          <w:sz w:val="24"/>
          <w:szCs w:val="24"/>
        </w:rPr>
      </w:pPr>
      <w:r>
        <w:rPr/>
      </w:r>
    </w:p>
    <w:sectPr>
      <w:headerReference w:type="default" r:id="rId3"/>
      <w:headerReference w:type="first" r:id="rId4"/>
      <w:footerReference w:type="default" r:id="rId5"/>
      <w:footerReference w:type="first" r:id="rId6"/>
      <w:type w:val="nextPage"/>
      <w:pgSz w:w="11906" w:h="16838"/>
      <w:pgMar w:left="1800" w:right="1800" w:gutter="0" w:header="708" w:top="1440" w:footer="708" w:bottom="144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Courier New">
    <w:charset w:val="a1"/>
    <w:family w:val="roman"/>
    <w:pitch w:val="variable"/>
  </w:font>
  <w:font w:name="Tahoma">
    <w:charset w:val="a1"/>
    <w:family w:val="roman"/>
    <w:pitch w:val="variable"/>
  </w:font>
  <w:font w:name="Liberation Sans">
    <w:altName w:val="Arial"/>
    <w:charset w:val="a1"/>
    <w:family w:val="swiss"/>
    <w:pitch w:val="variable"/>
  </w:font>
  <w:font w:name="Times New Roman">
    <w:charset w:val="a1"/>
    <w:family w:val="roman"/>
    <w:pitch w:val="variable"/>
  </w:font>
  <w:font w:name="Arial">
    <w:charset w:val="a1"/>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435925590"/>
    </w:sdtPr>
    <w:sdtContent>
      <w:p>
        <w:pPr>
          <w:pStyle w:val="Style22"/>
          <w:jc w:val="center"/>
          <w:rPr/>
        </w:pPr>
        <w:r>
          <w:rPr/>
          <w:fldChar w:fldCharType="begin"/>
        </w:r>
        <w:r>
          <w:rPr/>
          <w:instrText xml:space="preserve"> PAGE </w:instrText>
        </w:r>
        <w:r>
          <w:rPr/>
          <w:fldChar w:fldCharType="separate"/>
        </w:r>
        <w:r>
          <w:rPr/>
          <w:t>6</w:t>
        </w:r>
        <w:r>
          <w:rPr/>
          <w:fldChar w:fldCharType="end"/>
        </w:r>
      </w:p>
    </w:sdtContent>
  </w:sdt>
  <w:p>
    <w:pPr>
      <w:pStyle w:val="Style22"/>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71347351"/>
    </w:sdtPr>
    <w:sdtContent>
      <w:p>
        <w:pPr>
          <w:pStyle w:val="Style22"/>
          <w:jc w:val="right"/>
          <w:rPr/>
        </w:pPr>
        <w:r>
          <w:rPr/>
          <w:fldChar w:fldCharType="begin"/>
        </w:r>
        <w:r>
          <w:rPr/>
          <w:instrText xml:space="preserve"> PAGE </w:instrText>
        </w:r>
        <w:r>
          <w:rPr/>
          <w:fldChar w:fldCharType="separate"/>
        </w:r>
        <w:r>
          <w:rPr/>
          <w:t>1</w:t>
        </w:r>
        <w:r>
          <w:rPr/>
          <w:fldChar w:fldCharType="end"/>
        </w:r>
      </w:p>
    </w:sdtContent>
  </w:sdt>
  <w:p>
    <w:pPr>
      <w:pStyle w:val="Style22"/>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tabs>
        <w:tab w:val="clear" w:pos="8306"/>
        <w:tab w:val="center" w:pos="4153" w:leader="none"/>
      </w:tabs>
      <w:ind w:left="-1560" w:hanging="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tabs>
        <w:tab w:val="clear" w:pos="8306"/>
        <w:tab w:val="center" w:pos="4153" w:leader="none"/>
      </w:tabs>
      <w:ind w:left="-1800" w:right="-1759" w:firstLine="1658"/>
      <w:rPr/>
    </w:pPr>
    <w:r>
      <w:rPr/>
      <w:drawing>
        <wp:anchor behindDoc="1" distT="0" distB="0" distL="114300" distR="114300" simplePos="0" locked="0" layoutInCell="0" allowOverlap="1" relativeHeight="3">
          <wp:simplePos x="0" y="0"/>
          <wp:positionH relativeFrom="page">
            <wp:posOffset>6985</wp:posOffset>
          </wp:positionH>
          <wp:positionV relativeFrom="page">
            <wp:posOffset>7620</wp:posOffset>
          </wp:positionV>
          <wp:extent cx="7553960" cy="1569720"/>
          <wp:effectExtent l="0" t="0" r="0" b="0"/>
          <wp:wrapSquare wrapText="bothSides"/>
          <wp:docPr id="2" name="Εικόνα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
                  <pic:cNvPicPr>
                    <a:picLocks noChangeAspect="1" noChangeArrowheads="1"/>
                  </pic:cNvPicPr>
                </pic:nvPicPr>
                <pic:blipFill>
                  <a:blip r:embed="rId1"/>
                  <a:stretch>
                    <a:fillRect/>
                  </a:stretch>
                </pic:blipFill>
                <pic:spPr bwMode="auto">
                  <a:xfrm>
                    <a:off x="0" y="0"/>
                    <a:ext cx="7553960" cy="156972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Calibri" w:hAnsi="Calibri" w:cs="Calibri"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720" w:hanging="360"/>
      </w:pPr>
      <w:rPr>
        <w:rFonts w:ascii="Calibri" w:hAnsi="Calibri" w:cs="Calibri"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5680b"/>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Char" w:customStyle="1">
    <w:name w:val="Κεφαλίδα Char"/>
    <w:basedOn w:val="DefaultParagraphFont"/>
    <w:uiPriority w:val="99"/>
    <w:qFormat/>
    <w:rsid w:val="00903640"/>
    <w:rPr/>
  </w:style>
  <w:style w:type="character" w:styleId="Char1" w:customStyle="1">
    <w:name w:val="Υποσέλιδο Char"/>
    <w:basedOn w:val="DefaultParagraphFont"/>
    <w:uiPriority w:val="99"/>
    <w:qFormat/>
    <w:rsid w:val="00903640"/>
    <w:rPr/>
  </w:style>
  <w:style w:type="character" w:styleId="Strong">
    <w:name w:val="Strong"/>
    <w:basedOn w:val="DefaultParagraphFont"/>
    <w:uiPriority w:val="22"/>
    <w:qFormat/>
    <w:rsid w:val="00c33c67"/>
    <w:rPr>
      <w:b/>
      <w:bCs/>
    </w:rPr>
  </w:style>
  <w:style w:type="character" w:styleId="Style14">
    <w:name w:val="Hyperlink"/>
    <w:basedOn w:val="DefaultParagraphFont"/>
    <w:uiPriority w:val="99"/>
    <w:semiHidden/>
    <w:unhideWhenUsed/>
    <w:rsid w:val="00c33c67"/>
    <w:rPr>
      <w:color w:val="0000FF"/>
      <w:u w:val="single"/>
    </w:rPr>
  </w:style>
  <w:style w:type="character" w:styleId="HTMLChar" w:customStyle="1">
    <w:name w:val="Προ-διαμορφωμένο HTML Char"/>
    <w:basedOn w:val="DefaultParagraphFont"/>
    <w:link w:val="HTMLPreformatted"/>
    <w:uiPriority w:val="99"/>
    <w:qFormat/>
    <w:rsid w:val="00c33c67"/>
    <w:rPr>
      <w:rFonts w:ascii="Courier New" w:hAnsi="Courier New" w:eastAsia="Times New Roman" w:cs="Courier New"/>
      <w:sz w:val="20"/>
      <w:szCs w:val="20"/>
      <w:lang w:eastAsia="el-GR"/>
    </w:rPr>
  </w:style>
  <w:style w:type="character" w:styleId="Char2" w:customStyle="1">
    <w:name w:val="Κείμενο πλαισίου Char"/>
    <w:basedOn w:val="DefaultParagraphFont"/>
    <w:link w:val="BalloonText"/>
    <w:uiPriority w:val="99"/>
    <w:semiHidden/>
    <w:qFormat/>
    <w:rsid w:val="00ff111a"/>
    <w:rPr>
      <w:rFonts w:ascii="Tahoma" w:hAnsi="Tahoma" w:cs="Tahoma"/>
      <w:sz w:val="16"/>
      <w:szCs w:val="16"/>
    </w:rPr>
  </w:style>
  <w:style w:type="character" w:styleId="Markedcontent" w:customStyle="1">
    <w:name w:val="markedcontent"/>
    <w:basedOn w:val="DefaultParagraphFont"/>
    <w:qFormat/>
    <w:rsid w:val="00c90f74"/>
    <w:rPr/>
  </w:style>
  <w:style w:type="character" w:styleId="Char3" w:customStyle="1">
    <w:name w:val="Έντονο απόσπ. Char"/>
    <w:basedOn w:val="DefaultParagraphFont"/>
    <w:link w:val="IntenseQuote"/>
    <w:uiPriority w:val="30"/>
    <w:qFormat/>
    <w:rsid w:val="00c91b37"/>
    <w:rPr>
      <w:i/>
      <w:iCs/>
      <w:color w:val="4472C4" w:themeColor="accent1"/>
    </w:rPr>
  </w:style>
  <w:style w:type="character" w:styleId="Char4" w:customStyle="1">
    <w:name w:val="Παράγραφος λίστας Char"/>
    <w:basedOn w:val="DefaultParagraphFont"/>
    <w:link w:val="ListParagraph"/>
    <w:uiPriority w:val="34"/>
    <w:qFormat/>
    <w:rsid w:val="00ad0bea"/>
    <w:rPr/>
  </w:style>
  <w:style w:type="paragraph" w:styleId="Style15">
    <w:name w:val="Επικεφαλίδα"/>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Ευρετήριο"/>
    <w:basedOn w:val="Normal"/>
    <w:qFormat/>
    <w:pPr>
      <w:suppressLineNumbers/>
    </w:pPr>
    <w:rPr>
      <w:rFonts w:cs="Lucida Sans"/>
    </w:rPr>
  </w:style>
  <w:style w:type="paragraph" w:styleId="Style20">
    <w:name w:val="Κεφαλίδα και υποσέλιδο"/>
    <w:basedOn w:val="Normal"/>
    <w:qFormat/>
    <w:pPr/>
    <w:rPr/>
  </w:style>
  <w:style w:type="paragraph" w:styleId="Style21">
    <w:name w:val="Header"/>
    <w:basedOn w:val="Normal"/>
    <w:link w:val="Char"/>
    <w:uiPriority w:val="99"/>
    <w:unhideWhenUsed/>
    <w:rsid w:val="00903640"/>
    <w:pPr>
      <w:tabs>
        <w:tab w:val="clear" w:pos="720"/>
        <w:tab w:val="center" w:pos="4153" w:leader="none"/>
        <w:tab w:val="right" w:pos="8306" w:leader="none"/>
      </w:tabs>
      <w:spacing w:lineRule="auto" w:line="240" w:before="0" w:after="0"/>
    </w:pPr>
    <w:rPr/>
  </w:style>
  <w:style w:type="paragraph" w:styleId="Style22">
    <w:name w:val="Footer"/>
    <w:basedOn w:val="Normal"/>
    <w:link w:val="Char1"/>
    <w:uiPriority w:val="99"/>
    <w:unhideWhenUsed/>
    <w:rsid w:val="00903640"/>
    <w:pPr>
      <w:tabs>
        <w:tab w:val="clear" w:pos="720"/>
        <w:tab w:val="center" w:pos="4153" w:leader="none"/>
        <w:tab w:val="right" w:pos="8306" w:leader="none"/>
      </w:tabs>
      <w:spacing w:lineRule="auto" w:line="240" w:before="0" w:after="0"/>
    </w:pPr>
    <w:rPr/>
  </w:style>
  <w:style w:type="paragraph" w:styleId="ListParagraph">
    <w:name w:val="List Paragraph"/>
    <w:basedOn w:val="Normal"/>
    <w:link w:val="Char4"/>
    <w:uiPriority w:val="34"/>
    <w:qFormat/>
    <w:rsid w:val="002f6bcc"/>
    <w:pPr>
      <w:spacing w:before="0" w:after="160"/>
      <w:ind w:left="720" w:hanging="0"/>
      <w:contextualSpacing/>
    </w:pPr>
    <w:rPr/>
  </w:style>
  <w:style w:type="paragraph" w:styleId="NormalWeb">
    <w:name w:val="Normal (Web)"/>
    <w:basedOn w:val="Normal"/>
    <w:uiPriority w:val="99"/>
    <w:unhideWhenUsed/>
    <w:qFormat/>
    <w:rsid w:val="00c33c67"/>
    <w:pPr>
      <w:spacing w:lineRule="auto" w:line="240" w:beforeAutospacing="1" w:afterAutospacing="1"/>
    </w:pPr>
    <w:rPr>
      <w:rFonts w:ascii="Times New Roman" w:hAnsi="Times New Roman" w:eastAsia="Times New Roman" w:cs="Times New Roman"/>
      <w:sz w:val="24"/>
      <w:szCs w:val="24"/>
      <w:lang w:eastAsia="el-GR"/>
    </w:rPr>
  </w:style>
  <w:style w:type="paragraph" w:styleId="HTMLPreformatted">
    <w:name w:val="HTML Preformatted"/>
    <w:basedOn w:val="Normal"/>
    <w:link w:val="HTMLChar"/>
    <w:uiPriority w:val="99"/>
    <w:unhideWhenUsed/>
    <w:qFormat/>
    <w:rsid w:val="00c33c67"/>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el-GR"/>
    </w:rPr>
  </w:style>
  <w:style w:type="paragraph" w:styleId="Xmsonormal" w:customStyle="1">
    <w:name w:val="x_msonormal"/>
    <w:basedOn w:val="Normal"/>
    <w:qFormat/>
    <w:rsid w:val="00c33c67"/>
    <w:pPr>
      <w:spacing w:lineRule="auto" w:line="240" w:beforeAutospacing="1" w:afterAutospacing="1"/>
    </w:pPr>
    <w:rPr>
      <w:rFonts w:ascii="Times New Roman" w:hAnsi="Times New Roman" w:eastAsia="Times New Roman" w:cs="Times New Roman"/>
      <w:sz w:val="24"/>
      <w:szCs w:val="24"/>
      <w:lang w:eastAsia="el-GR"/>
    </w:rPr>
  </w:style>
  <w:style w:type="paragraph" w:styleId="1" w:customStyle="1">
    <w:name w:val="Βασικό1"/>
    <w:qFormat/>
    <w:rsid w:val="0082607f"/>
    <w:pPr>
      <w:widowControl/>
      <w:bidi w:val="0"/>
      <w:spacing w:lineRule="auto" w:line="276" w:before="0" w:after="0"/>
      <w:jc w:val="left"/>
    </w:pPr>
    <w:rPr>
      <w:rFonts w:ascii="Arial" w:hAnsi="Arial" w:eastAsia="Arial" w:cs="Arial"/>
      <w:color w:val="auto"/>
      <w:kern w:val="0"/>
      <w:sz w:val="22"/>
      <w:szCs w:val="22"/>
      <w:lang w:eastAsia="el-GR" w:val="el-GR" w:bidi="ar-SA"/>
    </w:rPr>
  </w:style>
  <w:style w:type="paragraph" w:styleId="2" w:customStyle="1">
    <w:name w:val="Βασικό2"/>
    <w:qFormat/>
    <w:rsid w:val="0082607f"/>
    <w:pPr>
      <w:widowControl/>
      <w:bidi w:val="0"/>
      <w:spacing w:lineRule="auto" w:line="276" w:before="0" w:after="0"/>
      <w:jc w:val="left"/>
    </w:pPr>
    <w:rPr>
      <w:rFonts w:ascii="Arial" w:hAnsi="Arial" w:eastAsia="Arial" w:cs="Arial"/>
      <w:color w:val="auto"/>
      <w:kern w:val="0"/>
      <w:sz w:val="22"/>
      <w:szCs w:val="22"/>
      <w:lang w:eastAsia="el-GR" w:val="el-GR" w:bidi="ar-SA"/>
    </w:rPr>
  </w:style>
  <w:style w:type="paragraph" w:styleId="BalloonText">
    <w:name w:val="Balloon Text"/>
    <w:basedOn w:val="Normal"/>
    <w:link w:val="Char2"/>
    <w:uiPriority w:val="99"/>
    <w:semiHidden/>
    <w:unhideWhenUsed/>
    <w:qFormat/>
    <w:rsid w:val="00ff111a"/>
    <w:pPr>
      <w:spacing w:lineRule="auto" w:line="240" w:before="0" w:after="0"/>
    </w:pPr>
    <w:rPr>
      <w:rFonts w:ascii="Tahoma" w:hAnsi="Tahoma" w:cs="Tahoma"/>
      <w:sz w:val="16"/>
      <w:szCs w:val="16"/>
    </w:rPr>
  </w:style>
  <w:style w:type="paragraph" w:styleId="Caption">
    <w:name w:val="caption"/>
    <w:basedOn w:val="Normal"/>
    <w:next w:val="Normal"/>
    <w:uiPriority w:val="35"/>
    <w:unhideWhenUsed/>
    <w:qFormat/>
    <w:rsid w:val="006350bf"/>
    <w:pPr>
      <w:spacing w:lineRule="auto" w:line="240" w:before="0" w:after="200"/>
    </w:pPr>
    <w:rPr>
      <w:i/>
      <w:iCs/>
      <w:color w:val="44546A" w:themeColor="text2"/>
      <w:sz w:val="18"/>
      <w:szCs w:val="18"/>
    </w:rPr>
  </w:style>
  <w:style w:type="paragraph" w:styleId="IntenseQuote">
    <w:name w:val="Intense Quote"/>
    <w:basedOn w:val="Normal"/>
    <w:next w:val="Normal"/>
    <w:link w:val="Char3"/>
    <w:uiPriority w:val="30"/>
    <w:qFormat/>
    <w:rsid w:val="00c91b37"/>
    <w:pPr>
      <w:pBdr>
        <w:top w:val="single" w:sz="4" w:space="10" w:color="4472C4"/>
        <w:bottom w:val="single" w:sz="4" w:space="10" w:color="4472C4"/>
      </w:pBdr>
      <w:spacing w:before="360" w:after="360"/>
      <w:ind w:left="864" w:right="864" w:hanging="0"/>
      <w:jc w:val="center"/>
    </w:pPr>
    <w:rPr>
      <w:i/>
      <w:iCs/>
      <w:color w:val="4472C4" w:themeColor="accent1"/>
    </w:rPr>
  </w:style>
  <w:style w:type="paragraph" w:styleId="Revision">
    <w:name w:val="Revision"/>
    <w:uiPriority w:val="99"/>
    <w:semiHidden/>
    <w:qFormat/>
    <w:rsid w:val="00dc2198"/>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8">
    <w:name w:val="Table Grid"/>
    <w:basedOn w:val="a1"/>
    <w:uiPriority w:val="39"/>
    <w:rsid w:val="006f599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1">
    <w:name w:val="Πίνακας 4 με πλέγμα - Έμφαση 11"/>
    <w:basedOn w:val="a1"/>
    <w:uiPriority w:val="49"/>
    <w:rsid w:val="007a0651"/>
    <w:pPr>
      <w:spacing w:after="0" w:line="240" w:lineRule="auto"/>
    </w:p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blPr/>
      <w:tcPr>
        <w:tcBorders>
          <w:top w:val="double" w:color="4472C4" w:themeColor="accent1" w:sz="4" w:space="0"/>
        </w:tcBorders>
      </w:tcPr>
    </w:tblStylePr>
    <w:tblStylePr w:type="firstCol">
      <w:rPr>
        <w:b/>
        <w:bCs/>
      </w:rPr>
      <w:tblPr/>
    </w:tblStylePr>
    <w:tblStylePr w:type="lastCol">
      <w:rPr>
        <w:b/>
        <w:bCs/>
      </w:rPr>
      <w:tbl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A75E4-1CBA-874E-8DEB-28327FD17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Application>LibreOffice/7.4.3.2$Windows_X86_64 LibreOffice_project/1048a8393ae2eeec98dff31b5c133c5f1d08b890</Application>
  <AppVersion>15.0000</AppVersion>
  <Pages>6</Pages>
  <Words>790</Words>
  <Characters>4656</Characters>
  <CharactersWithSpaces>5368</CharactersWithSpaces>
  <Paragraphs>123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2023-03-31T10:01:00Z</dcterms:created>
  <dc:creator>Βασίλης</dc:creator>
  <dc:description/>
  <dc:language>el-GR</dc:language>
  <cp:lastModifiedBy/>
  <cp:lastPrinted>2022-08-31T08:27:00Z</cp:lastPrinted>
  <dcterms:modified xsi:type="dcterms:W3CDTF">2023-04-01T09:51:14Z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