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85" w:rsidRPr="0015043C" w:rsidRDefault="000D0A85" w:rsidP="000D0A85">
      <w:pPr>
        <w:pStyle w:val="4"/>
        <w:rPr>
          <w:rFonts w:ascii="Arial Narrow" w:hAnsi="Arial Narrow"/>
        </w:rPr>
      </w:pPr>
      <w:r w:rsidRPr="0015043C">
        <w:rPr>
          <w:rFonts w:ascii="Arial Narrow" w:hAnsi="Arial Narrow"/>
        </w:rPr>
        <w:t xml:space="preserve">ΔΗΜΟΣΙΟ ΧΡΕΟΣ – ΕΓΓΥΗΣΕΙΣ </w:t>
      </w:r>
    </w:p>
    <w:p w:rsidR="000D0A85" w:rsidRPr="0018754F" w:rsidRDefault="000D0A85" w:rsidP="000D0A85">
      <w:pPr>
        <w:jc w:val="both"/>
        <w:rPr>
          <w:sz w:val="22"/>
          <w:szCs w:val="22"/>
        </w:rPr>
      </w:pPr>
    </w:p>
    <w:p w:rsidR="000D0A85" w:rsidRPr="0015043C" w:rsidRDefault="000D0A85" w:rsidP="000D0A85">
      <w:pPr>
        <w:jc w:val="both"/>
        <w:rPr>
          <w:sz w:val="22"/>
          <w:szCs w:val="22"/>
        </w:rPr>
      </w:pPr>
    </w:p>
    <w:p w:rsidR="000D0A85" w:rsidRPr="0015043C" w:rsidRDefault="000D0A85" w:rsidP="000D0A85">
      <w:pPr>
        <w:pStyle w:val="5"/>
        <w:shd w:val="clear" w:color="auto" w:fill="595959" w:themeFill="text1" w:themeFillTint="A6"/>
        <w:rPr>
          <w:rFonts w:ascii="Arial Narrow" w:hAnsi="Arial Narrow"/>
        </w:rPr>
      </w:pPr>
      <w:r w:rsidRPr="0015043C">
        <w:rPr>
          <w:rFonts w:ascii="Arial Narrow" w:hAnsi="Arial Narrow"/>
        </w:rPr>
        <w:t>ΔΗΜΟΣΙΟ ΧΡΕΟΣ</w:t>
      </w:r>
    </w:p>
    <w:p w:rsidR="000D0A85" w:rsidRPr="0015043C" w:rsidRDefault="000D0A85" w:rsidP="000D0A85">
      <w:pPr>
        <w:jc w:val="both"/>
        <w:rPr>
          <w:sz w:val="22"/>
          <w:szCs w:val="22"/>
        </w:rPr>
      </w:pPr>
    </w:p>
    <w:p w:rsidR="000D0A85" w:rsidRPr="0015043C" w:rsidRDefault="000D0A85" w:rsidP="00CA0CC6">
      <w:pPr>
        <w:jc w:val="both"/>
        <w:rPr>
          <w:sz w:val="22"/>
          <w:szCs w:val="22"/>
        </w:rPr>
      </w:pPr>
    </w:p>
    <w:p w:rsidR="006E60EA" w:rsidRPr="006E60EA" w:rsidRDefault="006E60EA" w:rsidP="006E60EA">
      <w:pPr>
        <w:jc w:val="both"/>
        <w:rPr>
          <w:sz w:val="22"/>
          <w:szCs w:val="22"/>
        </w:rPr>
      </w:pPr>
      <w:r w:rsidRPr="006E60EA">
        <w:rPr>
          <w:sz w:val="22"/>
          <w:szCs w:val="22"/>
        </w:rPr>
        <w:t>Από τις αρχές του τρέχοντος έτους έχει ήδη ξεκινήσει η εφαρμογή των βραχυχρόνιων μέτρων ελ</w:t>
      </w:r>
      <w:r w:rsidRPr="006E60EA">
        <w:rPr>
          <w:sz w:val="22"/>
          <w:szCs w:val="22"/>
        </w:rPr>
        <w:t>ά</w:t>
      </w:r>
      <w:r w:rsidRPr="006E60EA">
        <w:rPr>
          <w:sz w:val="22"/>
          <w:szCs w:val="22"/>
        </w:rPr>
        <w:t xml:space="preserve">φρυνσης του χρέους, όπως αποτυπώθηκαν στις αποφάσεις του </w:t>
      </w:r>
      <w:proofErr w:type="spellStart"/>
      <w:r w:rsidRPr="006E60EA">
        <w:rPr>
          <w:sz w:val="22"/>
          <w:szCs w:val="22"/>
        </w:rPr>
        <w:t>Eurogroup</w:t>
      </w:r>
      <w:proofErr w:type="spellEnd"/>
      <w:r w:rsidRPr="006E60EA">
        <w:rPr>
          <w:sz w:val="22"/>
          <w:szCs w:val="22"/>
        </w:rPr>
        <w:t xml:space="preserve"> της 25ης Μαΐου 2016, τα οποία περιλαμβάνουν την εξομάλυνση των λήξεων των δανείων του EFSF, τη μείωση του </w:t>
      </w:r>
      <w:proofErr w:type="spellStart"/>
      <w:r w:rsidRPr="006E60EA">
        <w:rPr>
          <w:sz w:val="22"/>
          <w:szCs w:val="22"/>
        </w:rPr>
        <w:t>επιτοκι</w:t>
      </w:r>
      <w:r w:rsidRPr="006E60EA">
        <w:rPr>
          <w:sz w:val="22"/>
          <w:szCs w:val="22"/>
        </w:rPr>
        <w:t>α</w:t>
      </w:r>
      <w:r w:rsidRPr="006E60EA">
        <w:rPr>
          <w:sz w:val="22"/>
          <w:szCs w:val="22"/>
        </w:rPr>
        <w:t>κού</w:t>
      </w:r>
      <w:proofErr w:type="spellEnd"/>
      <w:r w:rsidRPr="006E60EA">
        <w:rPr>
          <w:sz w:val="22"/>
          <w:szCs w:val="22"/>
        </w:rPr>
        <w:t xml:space="preserve"> τους κινδύνου, καθώς επίσης και την άρση για το έτος 2017 του περιθωρίου του δανείου για την επαναγορά χρέους του 2012.</w:t>
      </w:r>
    </w:p>
    <w:p w:rsidR="006E60EA" w:rsidRPr="006E60EA" w:rsidRDefault="006E60EA" w:rsidP="006E60EA">
      <w:pPr>
        <w:jc w:val="both"/>
        <w:rPr>
          <w:sz w:val="22"/>
          <w:szCs w:val="22"/>
        </w:rPr>
      </w:pPr>
    </w:p>
    <w:p w:rsidR="006E60EA" w:rsidRPr="006E60EA" w:rsidRDefault="006E60EA" w:rsidP="006E60EA">
      <w:pPr>
        <w:jc w:val="both"/>
        <w:rPr>
          <w:sz w:val="22"/>
          <w:szCs w:val="22"/>
        </w:rPr>
      </w:pPr>
      <w:r w:rsidRPr="006E60EA">
        <w:rPr>
          <w:sz w:val="22"/>
          <w:szCs w:val="22"/>
        </w:rPr>
        <w:t>Η εφαρμογή των παραπάνω μέτρων αναμένεται να συνεχιστεί έως τη λήξη του τρέχοντος προγράμμ</w:t>
      </w:r>
      <w:r w:rsidRPr="006E60EA">
        <w:rPr>
          <w:sz w:val="22"/>
          <w:szCs w:val="22"/>
        </w:rPr>
        <w:t>α</w:t>
      </w:r>
      <w:r w:rsidRPr="006E60EA">
        <w:rPr>
          <w:sz w:val="22"/>
          <w:szCs w:val="22"/>
        </w:rPr>
        <w:t>τος, τον Αύγουστο του 2018. Στη συνέχεια θα εξεταστεί η εφαρμογή του δεύτερου πακέτου μέτρων</w:t>
      </w:r>
      <w:r w:rsidR="00630D63">
        <w:rPr>
          <w:sz w:val="22"/>
          <w:szCs w:val="22"/>
        </w:rPr>
        <w:t>,</w:t>
      </w:r>
      <w:r w:rsidRPr="006E60EA">
        <w:rPr>
          <w:sz w:val="22"/>
          <w:szCs w:val="22"/>
        </w:rPr>
        <w:t xml:space="preserve"> προκειμένου να ενισχυθεί η βιωσιμότητα του χρέους, ώστε οι ετήσιες μικτές χρηματοδοτικές ανάγκες να παραμένουν </w:t>
      </w:r>
      <w:r w:rsidR="003F7B07">
        <w:rPr>
          <w:sz w:val="22"/>
          <w:szCs w:val="22"/>
        </w:rPr>
        <w:t>χαμηλότερες</w:t>
      </w:r>
      <w:r w:rsidR="003F7B07" w:rsidRPr="006E60EA">
        <w:rPr>
          <w:sz w:val="22"/>
          <w:szCs w:val="22"/>
        </w:rPr>
        <w:t xml:space="preserve"> </w:t>
      </w:r>
      <w:r w:rsidRPr="006E60EA">
        <w:rPr>
          <w:sz w:val="22"/>
          <w:szCs w:val="22"/>
        </w:rPr>
        <w:t xml:space="preserve">του 15% ως ποσοστό του ΑΕΠ σε μεσοπρόθεσμο χρονικό ορίζοντα και </w:t>
      </w:r>
      <w:r w:rsidR="003F7B07">
        <w:rPr>
          <w:sz w:val="22"/>
          <w:szCs w:val="22"/>
        </w:rPr>
        <w:t>χαμηλότερες</w:t>
      </w:r>
      <w:r w:rsidR="003F7B07" w:rsidRPr="006E60EA">
        <w:rPr>
          <w:sz w:val="22"/>
          <w:szCs w:val="22"/>
        </w:rPr>
        <w:t xml:space="preserve"> </w:t>
      </w:r>
      <w:r w:rsidRPr="006E60EA">
        <w:rPr>
          <w:sz w:val="22"/>
          <w:szCs w:val="22"/>
        </w:rPr>
        <w:t>του 20% μακροπρόθεσμα. Τα μεσοπρόθεσμα μέτρα ελάφρυνσης του χρέους περιλαμβ</w:t>
      </w:r>
      <w:r w:rsidRPr="006E60EA">
        <w:rPr>
          <w:sz w:val="22"/>
          <w:szCs w:val="22"/>
        </w:rPr>
        <w:t>ά</w:t>
      </w:r>
      <w:r w:rsidRPr="006E60EA">
        <w:rPr>
          <w:sz w:val="22"/>
          <w:szCs w:val="22"/>
        </w:rPr>
        <w:t>νουν τη μείωση του επιτοκίου του δανεί</w:t>
      </w:r>
      <w:r>
        <w:rPr>
          <w:sz w:val="22"/>
          <w:szCs w:val="22"/>
        </w:rPr>
        <w:t>ου που είχε συναφθεί το 2012 στο</w:t>
      </w:r>
      <w:r w:rsidRPr="006E60EA">
        <w:rPr>
          <w:sz w:val="22"/>
          <w:szCs w:val="22"/>
        </w:rPr>
        <w:t xml:space="preserve"> πλαίσι</w:t>
      </w:r>
      <w:r w:rsidR="003F7B07">
        <w:rPr>
          <w:sz w:val="22"/>
          <w:szCs w:val="22"/>
        </w:rPr>
        <w:t>ο</w:t>
      </w:r>
      <w:r w:rsidRPr="006E60EA">
        <w:rPr>
          <w:sz w:val="22"/>
          <w:szCs w:val="22"/>
        </w:rPr>
        <w:t xml:space="preserve"> της επαναγοράς του χρέους, μέσω της πλήρους κατάργησης από το 2018 του περιθωρίου που εφαρμόζεται επί του τρέχοντος επιτοκίου, τη χρησιμοποίηση από το 2017 των </w:t>
      </w:r>
      <w:r>
        <w:rPr>
          <w:sz w:val="22"/>
          <w:szCs w:val="22"/>
        </w:rPr>
        <w:t>κερδών από τα ελληνικά ομόλογα «</w:t>
      </w:r>
      <w:r w:rsidRPr="006E60EA">
        <w:rPr>
          <w:sz w:val="22"/>
          <w:szCs w:val="22"/>
        </w:rPr>
        <w:t>ANFA</w:t>
      </w:r>
      <w:r>
        <w:rPr>
          <w:sz w:val="22"/>
          <w:szCs w:val="22"/>
        </w:rPr>
        <w:t>» και «</w:t>
      </w:r>
      <w:r w:rsidRPr="006E60EA">
        <w:rPr>
          <w:sz w:val="22"/>
          <w:szCs w:val="22"/>
        </w:rPr>
        <w:t>SMP</w:t>
      </w:r>
      <w:r>
        <w:rPr>
          <w:sz w:val="22"/>
          <w:szCs w:val="22"/>
        </w:rPr>
        <w:t>»</w:t>
      </w:r>
      <w:r w:rsidRPr="006E60EA">
        <w:rPr>
          <w:sz w:val="22"/>
          <w:szCs w:val="22"/>
        </w:rPr>
        <w:t xml:space="preserve"> για τη μείωση των μικτών χρηματοδοτικών αναγκών, περιλαμβανομένων και των κερδών του έτους 2014, τη μερική αποπληρωμή δανείων του «επίσημου τομέα» μέσω αχρησιμοποίητων π</w:t>
      </w:r>
      <w:r w:rsidRPr="006E60EA">
        <w:rPr>
          <w:sz w:val="22"/>
          <w:szCs w:val="22"/>
        </w:rPr>
        <w:t>ό</w:t>
      </w:r>
      <w:r w:rsidRPr="006E60EA">
        <w:rPr>
          <w:sz w:val="22"/>
          <w:szCs w:val="22"/>
        </w:rPr>
        <w:t xml:space="preserve">ρων του ESM και την περαιτέρω εξομάλυνση των λήξεων των δανείων του EFSF με επιμήκυνση της μέσης σταθμικής τους διάρκειας, σταθεροποίηση των επιτοκίων τους και αναβολή πληρωμής τόκων. </w:t>
      </w:r>
    </w:p>
    <w:p w:rsidR="006E60EA" w:rsidRPr="006E60EA" w:rsidRDefault="006E60EA" w:rsidP="006E60EA">
      <w:pPr>
        <w:jc w:val="both"/>
        <w:rPr>
          <w:sz w:val="22"/>
          <w:szCs w:val="22"/>
        </w:rPr>
      </w:pPr>
    </w:p>
    <w:p w:rsidR="006E60EA" w:rsidRPr="006E60EA" w:rsidRDefault="006E60EA" w:rsidP="006E60EA">
      <w:pPr>
        <w:jc w:val="both"/>
        <w:rPr>
          <w:sz w:val="22"/>
          <w:szCs w:val="22"/>
        </w:rPr>
      </w:pPr>
      <w:r w:rsidRPr="006E60EA">
        <w:rPr>
          <w:sz w:val="22"/>
          <w:szCs w:val="22"/>
        </w:rPr>
        <w:t xml:space="preserve">Οι χρηματοδοτικές ανάγκες του Ελληνικού Δημοσίου κατά το πρώτο εξάμηνο του 2017 καλύφθηκαν ως επί το πλείστον με βραχυπρόθεσμο εσωτερικό δανεισμό: μηνιαίες εκδόσεις εντόκων γραμματίων τρίμηνης και εξάμηνης διάρκειας και πράξεις διαχείρισης ταμειακής ρευστότητας υπό τη μορφή </w:t>
      </w:r>
      <w:proofErr w:type="spellStart"/>
      <w:r w:rsidRPr="006E60EA">
        <w:rPr>
          <w:sz w:val="22"/>
          <w:szCs w:val="22"/>
        </w:rPr>
        <w:t>repo</w:t>
      </w:r>
      <w:proofErr w:type="spellEnd"/>
      <w:r w:rsidRPr="006E60EA">
        <w:rPr>
          <w:sz w:val="22"/>
          <w:szCs w:val="22"/>
        </w:rPr>
        <w:t xml:space="preserve"> </w:t>
      </w:r>
      <w:proofErr w:type="spellStart"/>
      <w:r w:rsidRPr="006E60EA">
        <w:rPr>
          <w:sz w:val="22"/>
          <w:szCs w:val="22"/>
        </w:rPr>
        <w:t>agreements</w:t>
      </w:r>
      <w:proofErr w:type="spellEnd"/>
      <w:r w:rsidRPr="006E60EA">
        <w:rPr>
          <w:sz w:val="22"/>
          <w:szCs w:val="22"/>
        </w:rPr>
        <w:t>, τις οποίες συνάπτει ο Οργανισμός Διαχείρισης Δημοσίου Χρέους (ΟΔΔΗΧ) για την αξ</w:t>
      </w:r>
      <w:r w:rsidRPr="006E60EA">
        <w:rPr>
          <w:sz w:val="22"/>
          <w:szCs w:val="22"/>
        </w:rPr>
        <w:t>ι</w:t>
      </w:r>
      <w:r w:rsidRPr="006E60EA">
        <w:rPr>
          <w:sz w:val="22"/>
          <w:szCs w:val="22"/>
        </w:rPr>
        <w:t>οποίηση των διαθεσίμων, κυρίως, των φορέων της Γενικής Κυβέρνησης. Επιπλέον, στο πλαίσιο της σύμβασης χρηματοδότησης με τον ESM, εκταμιεύτηκαν 8.500 εκατ. ευρώ και αναμένεται η εκταμ</w:t>
      </w:r>
      <w:r w:rsidRPr="006E60EA">
        <w:rPr>
          <w:sz w:val="22"/>
          <w:szCs w:val="22"/>
        </w:rPr>
        <w:t>ί</w:t>
      </w:r>
      <w:r w:rsidRPr="006E60EA">
        <w:rPr>
          <w:sz w:val="22"/>
          <w:szCs w:val="22"/>
        </w:rPr>
        <w:t>ευση επιπλέον ποσού της τάξης των 5.500 εκατ. ευρώ μετά την ολοκλήρωση της τρίτης αξιολόγησης. Η υπόθεση εκταμίευσης του παραπάνω ποσού σε συνδυασμό με τη διατήρησή του ως ταμειακά δι</w:t>
      </w:r>
      <w:r w:rsidRPr="006E60EA">
        <w:rPr>
          <w:sz w:val="22"/>
          <w:szCs w:val="22"/>
        </w:rPr>
        <w:t>α</w:t>
      </w:r>
      <w:r w:rsidRPr="006E60EA">
        <w:rPr>
          <w:sz w:val="22"/>
          <w:szCs w:val="22"/>
        </w:rPr>
        <w:t>θέσιμα ασφαλείας (</w:t>
      </w:r>
      <w:proofErr w:type="spellStart"/>
      <w:r w:rsidRPr="006E60EA">
        <w:rPr>
          <w:sz w:val="22"/>
          <w:szCs w:val="22"/>
        </w:rPr>
        <w:t>cash</w:t>
      </w:r>
      <w:proofErr w:type="spellEnd"/>
      <w:r w:rsidRPr="006E60EA">
        <w:rPr>
          <w:sz w:val="22"/>
          <w:szCs w:val="22"/>
        </w:rPr>
        <w:t xml:space="preserve"> </w:t>
      </w:r>
      <w:proofErr w:type="spellStart"/>
      <w:r w:rsidRPr="006E60EA">
        <w:rPr>
          <w:sz w:val="22"/>
          <w:szCs w:val="22"/>
        </w:rPr>
        <w:t>buffer</w:t>
      </w:r>
      <w:proofErr w:type="spellEnd"/>
      <w:r w:rsidRPr="006E60EA">
        <w:rPr>
          <w:sz w:val="22"/>
          <w:szCs w:val="22"/>
        </w:rPr>
        <w:t>) εξηγεί την αύξηση του δημοσίου χρέους το 2017. Σε περίπτωση μη υλοποίησης της παραπάνω εκταμίευσης, έστω μερικώς, θα υπάρξει ανάλογη προσαρμογή στο ύψος του δημοσίου χρέους στο τέλος του 2017.</w:t>
      </w:r>
    </w:p>
    <w:p w:rsidR="006E60EA" w:rsidRPr="006E60EA" w:rsidRDefault="006E60EA" w:rsidP="006E60EA">
      <w:pPr>
        <w:jc w:val="both"/>
        <w:rPr>
          <w:sz w:val="22"/>
          <w:szCs w:val="22"/>
        </w:rPr>
      </w:pPr>
    </w:p>
    <w:p w:rsidR="006E60EA" w:rsidRPr="006E60EA" w:rsidRDefault="006E60EA" w:rsidP="006E60EA">
      <w:pPr>
        <w:jc w:val="both"/>
        <w:rPr>
          <w:sz w:val="22"/>
          <w:szCs w:val="22"/>
        </w:rPr>
      </w:pPr>
      <w:r w:rsidRPr="006E60EA">
        <w:rPr>
          <w:sz w:val="22"/>
          <w:szCs w:val="22"/>
        </w:rPr>
        <w:t>Αξιοσημείωτη συμβολή στην αναδημιουργία της καμπύλης αποδόσεων των τίτλων του Ελληνικού Δημοσίου είχε η κοινοπρακτική έκδοση ομολόγου σταθερού επιτοκίου, πενταετούς διάρκειας, ύψους 3.000 εκατ. ευρώ, με την οποία η ελληνική οικονομία επέστρεψε στη χρηματοδότηση μέσω των δι</w:t>
      </w:r>
      <w:r w:rsidRPr="006E60EA">
        <w:rPr>
          <w:sz w:val="22"/>
          <w:szCs w:val="22"/>
        </w:rPr>
        <w:t>ε</w:t>
      </w:r>
      <w:r w:rsidRPr="006E60EA">
        <w:rPr>
          <w:sz w:val="22"/>
          <w:szCs w:val="22"/>
        </w:rPr>
        <w:t>θνών αγορών ύστερα από τρία περίπου έτη. Η καμπύλη αποδόσεων αναμένεται να εμπλουτιστεί π</w:t>
      </w:r>
      <w:r w:rsidRPr="006E60EA">
        <w:rPr>
          <w:sz w:val="22"/>
          <w:szCs w:val="22"/>
        </w:rPr>
        <w:t>ε</w:t>
      </w:r>
      <w:r w:rsidRPr="006E60EA">
        <w:rPr>
          <w:sz w:val="22"/>
          <w:szCs w:val="22"/>
        </w:rPr>
        <w:t>ραιτέρω με την επικείμενη ανταλλαγή της σειράς των είκοσι ομολόγων προερχόμενων απ</w:t>
      </w:r>
      <w:r>
        <w:rPr>
          <w:sz w:val="22"/>
          <w:szCs w:val="22"/>
        </w:rPr>
        <w:t>ό το PSI με πέντε νέα ομόλογα –«</w:t>
      </w:r>
      <w:r w:rsidRPr="006E60EA">
        <w:rPr>
          <w:sz w:val="22"/>
          <w:szCs w:val="22"/>
          <w:lang w:val="en-US"/>
        </w:rPr>
        <w:t>benchmarks</w:t>
      </w:r>
      <w:r>
        <w:rPr>
          <w:sz w:val="22"/>
          <w:szCs w:val="22"/>
        </w:rPr>
        <w:t>»</w:t>
      </w:r>
      <w:r w:rsidRPr="006E60EA">
        <w:rPr>
          <w:sz w:val="22"/>
          <w:szCs w:val="22"/>
        </w:rPr>
        <w:t>, στο πλαίσιο του προγράμματος LME (</w:t>
      </w:r>
      <w:proofErr w:type="spellStart"/>
      <w:r w:rsidRPr="006E60EA">
        <w:rPr>
          <w:sz w:val="22"/>
          <w:szCs w:val="22"/>
        </w:rPr>
        <w:t>Liability</w:t>
      </w:r>
      <w:proofErr w:type="spellEnd"/>
      <w:r w:rsidRPr="006E60EA">
        <w:rPr>
          <w:sz w:val="22"/>
          <w:szCs w:val="22"/>
        </w:rPr>
        <w:t xml:space="preserve"> </w:t>
      </w:r>
      <w:proofErr w:type="spellStart"/>
      <w:r w:rsidRPr="006E60EA">
        <w:rPr>
          <w:sz w:val="22"/>
          <w:szCs w:val="22"/>
        </w:rPr>
        <w:t>Management</w:t>
      </w:r>
      <w:proofErr w:type="spellEnd"/>
      <w:r w:rsidRPr="006E60EA">
        <w:rPr>
          <w:sz w:val="22"/>
          <w:szCs w:val="22"/>
        </w:rPr>
        <w:t xml:space="preserve"> </w:t>
      </w:r>
      <w:proofErr w:type="spellStart"/>
      <w:r w:rsidRPr="006E60EA">
        <w:rPr>
          <w:sz w:val="22"/>
          <w:szCs w:val="22"/>
        </w:rPr>
        <w:t>Exercise</w:t>
      </w:r>
      <w:proofErr w:type="spellEnd"/>
      <w:r w:rsidRPr="006E60EA">
        <w:rPr>
          <w:sz w:val="22"/>
          <w:szCs w:val="22"/>
        </w:rPr>
        <w:t>), καθώς επίσης και με την πραγματοποίηση νέων εκδόσεων ομολόγων σταθερού επιτοκίου.</w:t>
      </w:r>
    </w:p>
    <w:p w:rsidR="006E60EA" w:rsidRPr="006E60EA" w:rsidRDefault="006E60EA" w:rsidP="006E60EA">
      <w:pPr>
        <w:jc w:val="both"/>
        <w:rPr>
          <w:sz w:val="22"/>
          <w:szCs w:val="22"/>
        </w:rPr>
      </w:pPr>
    </w:p>
    <w:p w:rsidR="006E60EA" w:rsidRPr="006E60EA" w:rsidRDefault="006E60EA" w:rsidP="006E60EA">
      <w:pPr>
        <w:jc w:val="both"/>
        <w:rPr>
          <w:sz w:val="22"/>
          <w:szCs w:val="22"/>
        </w:rPr>
      </w:pPr>
      <w:r w:rsidRPr="006E60EA">
        <w:rPr>
          <w:sz w:val="22"/>
          <w:szCs w:val="22"/>
        </w:rPr>
        <w:t xml:space="preserve">Οι αποφάσεις του </w:t>
      </w:r>
      <w:proofErr w:type="spellStart"/>
      <w:r w:rsidRPr="006E60EA">
        <w:rPr>
          <w:sz w:val="22"/>
          <w:szCs w:val="22"/>
        </w:rPr>
        <w:t>Eurogroup</w:t>
      </w:r>
      <w:proofErr w:type="spellEnd"/>
      <w:r w:rsidRPr="006E60EA">
        <w:rPr>
          <w:sz w:val="22"/>
          <w:szCs w:val="22"/>
        </w:rPr>
        <w:t xml:space="preserve"> της 15ης Ιουνίου 2017, υποστηρίζουν την επιστροφή της Ελλάδας στις αγορές με τη δημιουργία ταμειακών διαθεσίμων ασφαλείας (</w:t>
      </w:r>
      <w:proofErr w:type="spellStart"/>
      <w:r w:rsidRPr="006E60EA">
        <w:rPr>
          <w:sz w:val="22"/>
          <w:szCs w:val="22"/>
        </w:rPr>
        <w:t>cash</w:t>
      </w:r>
      <w:proofErr w:type="spellEnd"/>
      <w:r w:rsidRPr="006E60EA">
        <w:rPr>
          <w:sz w:val="22"/>
          <w:szCs w:val="22"/>
        </w:rPr>
        <w:t xml:space="preserve"> </w:t>
      </w:r>
      <w:proofErr w:type="spellStart"/>
      <w:r w:rsidRPr="006E60EA">
        <w:rPr>
          <w:sz w:val="22"/>
          <w:szCs w:val="22"/>
        </w:rPr>
        <w:t>buffer</w:t>
      </w:r>
      <w:proofErr w:type="spellEnd"/>
      <w:r w:rsidRPr="006E60EA">
        <w:rPr>
          <w:sz w:val="22"/>
          <w:szCs w:val="22"/>
        </w:rPr>
        <w:t>), όπως έγινε και με τις υπ</w:t>
      </w:r>
      <w:r w:rsidRPr="006E60EA">
        <w:rPr>
          <w:sz w:val="22"/>
          <w:szCs w:val="22"/>
        </w:rPr>
        <w:t>ό</w:t>
      </w:r>
      <w:r w:rsidRPr="006E60EA">
        <w:rPr>
          <w:sz w:val="22"/>
          <w:szCs w:val="22"/>
        </w:rPr>
        <w:t>λοιπες χώρες που ολοκλήρωσαν τα προγράμματα προσαρμογής. Η δημιουργία ταμειακών διαθεσίμων ασφαλείας θα γίνει μέσω του ESM και πιθαν</w:t>
      </w:r>
      <w:r w:rsidR="00630D63">
        <w:rPr>
          <w:sz w:val="22"/>
          <w:szCs w:val="22"/>
        </w:rPr>
        <w:t>ά</w:t>
      </w:r>
      <w:r w:rsidRPr="006E60EA">
        <w:rPr>
          <w:sz w:val="22"/>
          <w:szCs w:val="22"/>
        </w:rPr>
        <w:t xml:space="preserve"> μέσω νέων εκδόσεων ομολόγων</w:t>
      </w:r>
      <w:r w:rsidR="00630D63">
        <w:rPr>
          <w:sz w:val="22"/>
          <w:szCs w:val="22"/>
        </w:rPr>
        <w:t>. Ως</w:t>
      </w:r>
      <w:r w:rsidRPr="006E60EA">
        <w:rPr>
          <w:sz w:val="22"/>
          <w:szCs w:val="22"/>
        </w:rPr>
        <w:t xml:space="preserve"> εκ τούτου αναμ</w:t>
      </w:r>
      <w:r w:rsidRPr="006E60EA">
        <w:rPr>
          <w:sz w:val="22"/>
          <w:szCs w:val="22"/>
        </w:rPr>
        <w:t>έ</w:t>
      </w:r>
      <w:r w:rsidRPr="006E60EA">
        <w:rPr>
          <w:sz w:val="22"/>
          <w:szCs w:val="22"/>
        </w:rPr>
        <w:t>νεται μία προσωρινή αύξηση του δημοσίου χρέους για το 2018, το τελικό ύψος της οποίας θα διαμο</w:t>
      </w:r>
      <w:r w:rsidRPr="006E60EA">
        <w:rPr>
          <w:sz w:val="22"/>
          <w:szCs w:val="22"/>
        </w:rPr>
        <w:t>ρ</w:t>
      </w:r>
      <w:r w:rsidRPr="006E60EA">
        <w:rPr>
          <w:sz w:val="22"/>
          <w:szCs w:val="22"/>
        </w:rPr>
        <w:t>φωθεί από τα ποσά που θα αντληθούν για το</w:t>
      </w:r>
      <w:r w:rsidR="00630D63">
        <w:rPr>
          <w:sz w:val="22"/>
          <w:szCs w:val="22"/>
        </w:rPr>
        <w:t>ν</w:t>
      </w:r>
      <w:r w:rsidRPr="006E60EA">
        <w:rPr>
          <w:sz w:val="22"/>
          <w:szCs w:val="22"/>
        </w:rPr>
        <w:t xml:space="preserve"> σκοπό αυτό.</w:t>
      </w:r>
    </w:p>
    <w:p w:rsidR="006E60EA" w:rsidRPr="006E60EA" w:rsidRDefault="006E60EA" w:rsidP="006E60EA">
      <w:pPr>
        <w:jc w:val="both"/>
        <w:rPr>
          <w:sz w:val="22"/>
          <w:szCs w:val="22"/>
        </w:rPr>
      </w:pPr>
    </w:p>
    <w:p w:rsidR="006E60EA" w:rsidRPr="006E60EA" w:rsidRDefault="006E60EA" w:rsidP="006E60EA">
      <w:pPr>
        <w:jc w:val="both"/>
        <w:rPr>
          <w:sz w:val="22"/>
          <w:szCs w:val="22"/>
        </w:rPr>
      </w:pPr>
      <w:r w:rsidRPr="006E60EA">
        <w:rPr>
          <w:sz w:val="22"/>
          <w:szCs w:val="22"/>
        </w:rPr>
        <w:lastRenderedPageBreak/>
        <w:t>Στις 30/09/2017, το σύνολο των ευρωπαϊκών δανείων του πρώτου, του δεύτερου και του τρίτου πρ</w:t>
      </w:r>
      <w:r w:rsidRPr="006E60EA">
        <w:rPr>
          <w:sz w:val="22"/>
          <w:szCs w:val="22"/>
        </w:rPr>
        <w:t>ο</w:t>
      </w:r>
      <w:r w:rsidRPr="006E60EA">
        <w:rPr>
          <w:sz w:val="22"/>
          <w:szCs w:val="22"/>
        </w:rPr>
        <w:t xml:space="preserve">γράμματος στήριξης (GLF, EFSF, ESM) ανήλθε σε 221.182,4 εκατ. ευρώ, ενώ τα </w:t>
      </w:r>
      <w:r w:rsidR="00E203C9">
        <w:rPr>
          <w:sz w:val="22"/>
          <w:szCs w:val="22"/>
        </w:rPr>
        <w:t>αντίστοιχα</w:t>
      </w:r>
      <w:r w:rsidRPr="006E60EA">
        <w:rPr>
          <w:sz w:val="22"/>
          <w:szCs w:val="22"/>
        </w:rPr>
        <w:t xml:space="preserve"> δάνεια προς το Διεθνές Νομισματικό Ταμείο διαμορφώθηκαν σε 11.541,9 εκατ. ευρώ.</w:t>
      </w:r>
    </w:p>
    <w:p w:rsidR="000D0A85" w:rsidRPr="00FD2D6C" w:rsidRDefault="000D0A85" w:rsidP="000D0A85">
      <w:pPr>
        <w:jc w:val="both"/>
      </w:pPr>
    </w:p>
    <w:p w:rsidR="000D0A85" w:rsidRPr="0015043C" w:rsidRDefault="000D0A85" w:rsidP="000D0A85">
      <w:pPr>
        <w:jc w:val="both"/>
        <w:rPr>
          <w:sz w:val="22"/>
          <w:szCs w:val="22"/>
        </w:rPr>
      </w:pPr>
    </w:p>
    <w:p w:rsidR="000D0A85" w:rsidRPr="0015043C" w:rsidRDefault="000D0A85" w:rsidP="000D0A85">
      <w:pPr>
        <w:shd w:val="clear" w:color="auto" w:fill="595959" w:themeFill="text1" w:themeFillTint="A6"/>
        <w:jc w:val="both"/>
        <w:rPr>
          <w:rFonts w:ascii="Arial Narrow" w:hAnsi="Arial Narrow"/>
          <w:b/>
          <w:bCs/>
          <w:color w:val="FFFFFF"/>
          <w:sz w:val="26"/>
          <w:szCs w:val="22"/>
        </w:rPr>
      </w:pPr>
      <w:r w:rsidRPr="0015043C">
        <w:rPr>
          <w:rFonts w:ascii="Arial Narrow" w:hAnsi="Arial Narrow"/>
          <w:b/>
          <w:bCs/>
          <w:color w:val="FFFFFF"/>
          <w:sz w:val="26"/>
          <w:szCs w:val="22"/>
        </w:rPr>
        <w:t>1.</w:t>
      </w:r>
      <w:r w:rsidRPr="0015043C">
        <w:rPr>
          <w:rFonts w:ascii="Arial Narrow" w:hAnsi="Arial Narrow"/>
          <w:b/>
          <w:bCs/>
          <w:color w:val="FFFFFF"/>
          <w:sz w:val="26"/>
          <w:szCs w:val="22"/>
        </w:rPr>
        <w:tab/>
        <w:t xml:space="preserve">Χρέος Κεντρικής </w:t>
      </w:r>
      <w:r>
        <w:rPr>
          <w:rFonts w:ascii="Arial Narrow" w:hAnsi="Arial Narrow"/>
          <w:b/>
          <w:bCs/>
          <w:color w:val="FFFFFF"/>
          <w:sz w:val="26"/>
          <w:szCs w:val="22"/>
        </w:rPr>
        <w:t xml:space="preserve">Διοίκησης </w:t>
      </w:r>
      <w:r w:rsidRPr="0015043C">
        <w:rPr>
          <w:rFonts w:ascii="Arial Narrow" w:hAnsi="Arial Narrow"/>
          <w:b/>
          <w:bCs/>
          <w:color w:val="FFFFFF"/>
          <w:sz w:val="26"/>
          <w:szCs w:val="22"/>
        </w:rPr>
        <w:t>και Γενικής Κυβέρνησης</w:t>
      </w:r>
    </w:p>
    <w:p w:rsidR="000D0A85" w:rsidRPr="00133A8F" w:rsidRDefault="000D0A85" w:rsidP="000D0A85">
      <w:pPr>
        <w:jc w:val="both"/>
        <w:rPr>
          <w:sz w:val="22"/>
          <w:szCs w:val="22"/>
        </w:rPr>
      </w:pPr>
    </w:p>
    <w:p w:rsidR="006E60EA" w:rsidRPr="006E60EA" w:rsidRDefault="006E60EA" w:rsidP="006E60EA">
      <w:pPr>
        <w:jc w:val="both"/>
        <w:rPr>
          <w:sz w:val="22"/>
          <w:szCs w:val="22"/>
        </w:rPr>
      </w:pPr>
      <w:r w:rsidRPr="006E60EA">
        <w:rPr>
          <w:sz w:val="22"/>
          <w:szCs w:val="22"/>
        </w:rPr>
        <w:t xml:space="preserve">Το χρέος της Κεντρικής Διοίκησης εκτιμάται ότι θα διαμορφωθεί στα 332.800 εκατ. ευρώ ή 186,4% ως ποσοστό του ΑΕΠ στο τέλος του 2017, έναντι 326.358 εκατ. ευρώ ή 187,3% ως ποσοστό του ΑΕΠ το 2016. </w:t>
      </w:r>
    </w:p>
    <w:p w:rsidR="006E60EA" w:rsidRPr="006E60EA" w:rsidRDefault="006E60EA" w:rsidP="006E60EA">
      <w:pPr>
        <w:jc w:val="both"/>
        <w:rPr>
          <w:sz w:val="22"/>
          <w:szCs w:val="22"/>
        </w:rPr>
      </w:pPr>
    </w:p>
    <w:p w:rsidR="006E60EA" w:rsidRPr="006E60EA" w:rsidRDefault="006E60EA" w:rsidP="006E60EA">
      <w:pPr>
        <w:jc w:val="both"/>
        <w:rPr>
          <w:sz w:val="22"/>
          <w:szCs w:val="22"/>
        </w:rPr>
      </w:pPr>
      <w:r w:rsidRPr="006E60EA">
        <w:rPr>
          <w:sz w:val="22"/>
          <w:szCs w:val="22"/>
        </w:rPr>
        <w:t>Το 2018 το ύψος του χρέους της Κεντρικής Διοίκησης προβλέπεται ότι θα ανέλθει στα 343.000 εκατ. ευρώ ή 185,7% ως ποσοστό του ΑΕΠ, παρουσιάζοντας μείωση 0,7 ποσοστιαίες μονάδες έναντι του 2017 (πίνακας 4.1).</w:t>
      </w:r>
    </w:p>
    <w:p w:rsidR="006E60EA" w:rsidRPr="006E60EA" w:rsidRDefault="006E60EA" w:rsidP="006E60EA">
      <w:pPr>
        <w:jc w:val="both"/>
        <w:rPr>
          <w:sz w:val="22"/>
          <w:szCs w:val="22"/>
        </w:rPr>
      </w:pPr>
    </w:p>
    <w:p w:rsidR="006E60EA" w:rsidRPr="006E60EA" w:rsidRDefault="006E60EA" w:rsidP="006E60EA">
      <w:pPr>
        <w:jc w:val="both"/>
        <w:rPr>
          <w:sz w:val="22"/>
          <w:szCs w:val="22"/>
        </w:rPr>
      </w:pPr>
      <w:r w:rsidRPr="006E60EA">
        <w:rPr>
          <w:sz w:val="22"/>
          <w:szCs w:val="22"/>
        </w:rPr>
        <w:t>Το χρέος της Γενικής Κυβέρνησης εκτιμάται ότι θα ανέλθει στα 318.300 εκατ. ευρώ ή 178,2% ως π</w:t>
      </w:r>
      <w:r w:rsidRPr="006E60EA">
        <w:rPr>
          <w:sz w:val="22"/>
          <w:szCs w:val="22"/>
        </w:rPr>
        <w:t>ο</w:t>
      </w:r>
      <w:r w:rsidRPr="006E60EA">
        <w:rPr>
          <w:sz w:val="22"/>
          <w:szCs w:val="22"/>
        </w:rPr>
        <w:t>σοστό του ΑΕΠ στο τέλος του 2017, έναντι 315.036 εκατ. ευρώ ή 180,8% ως ποσοστό του ΑΕΠ το 2016. Το 2018, το χρέος της Γενικής Κυβέρνησης προβλέπεται ότι θα διαμορφωθεί στα 332.000 εκατ. ευρώ ή 179,8% ως ποσοστό του ΑΕΠ, παρουσιάζοντας αύξηση 1,6 ποσοστιαία μονάδα έναντι του 2017 (πίνακας 4.2).</w:t>
      </w:r>
    </w:p>
    <w:p w:rsidR="002622E0" w:rsidRDefault="002622E0" w:rsidP="002622E0">
      <w:pPr>
        <w:jc w:val="both"/>
        <w:rPr>
          <w:sz w:val="22"/>
          <w:szCs w:val="22"/>
        </w:rPr>
      </w:pPr>
    </w:p>
    <w:p w:rsidR="000D0A85" w:rsidRPr="00787AED" w:rsidRDefault="000D0A85" w:rsidP="000D0A85">
      <w:pPr>
        <w:jc w:val="both"/>
        <w:rPr>
          <w:sz w:val="22"/>
          <w:szCs w:val="22"/>
        </w:rPr>
      </w:pPr>
    </w:p>
    <w:p w:rsidR="000D0A85" w:rsidRPr="0015043C" w:rsidRDefault="000D0A85" w:rsidP="000D0A85">
      <w:pPr>
        <w:jc w:val="both"/>
        <w:rPr>
          <w:sz w:val="22"/>
          <w:szCs w:val="22"/>
        </w:rPr>
      </w:pPr>
    </w:p>
    <w:tbl>
      <w:tblPr>
        <w:tblW w:w="9018" w:type="dxa"/>
        <w:jc w:val="center"/>
        <w:tblLayout w:type="fixed"/>
        <w:tblLook w:val="0000"/>
      </w:tblPr>
      <w:tblGrid>
        <w:gridCol w:w="348"/>
        <w:gridCol w:w="3890"/>
        <w:gridCol w:w="1180"/>
        <w:gridCol w:w="1260"/>
        <w:gridCol w:w="1260"/>
        <w:gridCol w:w="1080"/>
      </w:tblGrid>
      <w:tr w:rsidR="000D0A85" w:rsidRPr="0015043C" w:rsidTr="00451ECA">
        <w:trPr>
          <w:trHeight w:val="560"/>
          <w:jc w:val="center"/>
        </w:trPr>
        <w:tc>
          <w:tcPr>
            <w:tcW w:w="9018" w:type="dxa"/>
            <w:gridSpan w:val="6"/>
            <w:tcBorders>
              <w:top w:val="single" w:sz="4" w:space="0" w:color="auto"/>
              <w:left w:val="single" w:sz="4" w:space="0" w:color="auto"/>
              <w:right w:val="single" w:sz="4" w:space="0" w:color="auto"/>
            </w:tcBorders>
            <w:shd w:val="clear" w:color="auto" w:fill="404040" w:themeFill="text1" w:themeFillTint="BF"/>
            <w:noWrap/>
            <w:tcMar>
              <w:left w:w="28" w:type="dxa"/>
              <w:right w:w="28" w:type="dxa"/>
            </w:tcMar>
            <w:vAlign w:val="bottom"/>
          </w:tcPr>
          <w:p w:rsidR="000D0A85" w:rsidRPr="006547D6" w:rsidRDefault="000D0A85" w:rsidP="00451ECA">
            <w:pPr>
              <w:spacing w:before="120"/>
              <w:jc w:val="center"/>
              <w:rPr>
                <w:rFonts w:ascii="Arial Narrow" w:hAnsi="Arial Narrow"/>
                <w:b/>
                <w:bCs/>
                <w:color w:val="FFFFFF"/>
                <w:szCs w:val="16"/>
              </w:rPr>
            </w:pPr>
            <w:r w:rsidRPr="006547D6">
              <w:rPr>
                <w:rFonts w:ascii="Arial Narrow" w:hAnsi="Arial Narrow"/>
                <w:b/>
                <w:bCs/>
                <w:color w:val="FFFFFF"/>
                <w:szCs w:val="16"/>
              </w:rPr>
              <w:t xml:space="preserve">Πίνακας 4.1 Σύνθεση χρέους Κεντρικής </w:t>
            </w:r>
            <w:r>
              <w:rPr>
                <w:rFonts w:ascii="Arial Narrow" w:hAnsi="Arial Narrow"/>
                <w:b/>
                <w:bCs/>
                <w:color w:val="FFFFFF"/>
                <w:szCs w:val="16"/>
              </w:rPr>
              <w:t>Διοίκησης</w:t>
            </w:r>
          </w:p>
          <w:p w:rsidR="000D0A85" w:rsidRPr="0015043C" w:rsidRDefault="000D0A85" w:rsidP="00451ECA">
            <w:pPr>
              <w:spacing w:after="120"/>
              <w:jc w:val="center"/>
              <w:rPr>
                <w:rFonts w:ascii="Arial Narrow" w:hAnsi="Arial Narrow"/>
                <w:b/>
                <w:bCs/>
                <w:color w:val="FFFFFF"/>
                <w:szCs w:val="16"/>
              </w:rPr>
            </w:pPr>
            <w:r w:rsidRPr="0015043C">
              <w:rPr>
                <w:rFonts w:ascii="Arial Narrow" w:hAnsi="Arial Narrow"/>
                <w:b/>
                <w:color w:val="FFFFFF"/>
                <w:szCs w:val="16"/>
              </w:rPr>
              <w:t>(σε εκατ. ευρώ)</w:t>
            </w:r>
          </w:p>
        </w:tc>
      </w:tr>
      <w:tr w:rsidR="000D0A85" w:rsidRPr="0015043C" w:rsidTr="00451ECA">
        <w:trPr>
          <w:jc w:val="center"/>
        </w:trPr>
        <w:tc>
          <w:tcPr>
            <w:tcW w:w="9018" w:type="dxa"/>
            <w:gridSpan w:val="6"/>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color w:val="FFFFFF"/>
                <w:sz w:val="14"/>
                <w:szCs w:val="16"/>
              </w:rPr>
            </w:pPr>
          </w:p>
        </w:tc>
      </w:tr>
      <w:tr w:rsidR="000D0A85" w:rsidRPr="0015043C" w:rsidTr="00451ECA">
        <w:trPr>
          <w:jc w:val="center"/>
        </w:trPr>
        <w:tc>
          <w:tcPr>
            <w:tcW w:w="348"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bottom"/>
          </w:tcPr>
          <w:p w:rsidR="000D0A85" w:rsidRPr="0015043C" w:rsidRDefault="000D0A85" w:rsidP="00451ECA">
            <w:pPr>
              <w:spacing w:before="60" w:after="60"/>
              <w:rPr>
                <w:rFonts w:ascii="Arial Narrow" w:hAnsi="Arial Narrow"/>
                <w:b/>
                <w:bCs/>
                <w:sz w:val="16"/>
                <w:szCs w:val="16"/>
              </w:rPr>
            </w:pPr>
          </w:p>
        </w:tc>
        <w:tc>
          <w:tcPr>
            <w:tcW w:w="3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pStyle w:val="a6"/>
              <w:spacing w:before="60" w:after="60"/>
              <w:rPr>
                <w:rFonts w:ascii="Arial Narrow" w:hAnsi="Arial Narrow" w:cs="Times New Roma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0D0A85" w:rsidRPr="00BA322A" w:rsidRDefault="000D0A85" w:rsidP="00451ECA">
            <w:pPr>
              <w:spacing w:before="60" w:after="60"/>
              <w:jc w:val="center"/>
              <w:rPr>
                <w:rFonts w:ascii="Arial Narrow" w:hAnsi="Arial Narrow"/>
                <w:b/>
                <w:bCs/>
                <w:sz w:val="16"/>
                <w:szCs w:val="16"/>
              </w:rPr>
            </w:pPr>
            <w:r w:rsidRPr="0015043C">
              <w:rPr>
                <w:rFonts w:ascii="Arial Narrow" w:hAnsi="Arial Narrow"/>
                <w:b/>
                <w:bCs/>
                <w:sz w:val="16"/>
                <w:szCs w:val="16"/>
              </w:rPr>
              <w:t>20</w:t>
            </w:r>
            <w:r>
              <w:rPr>
                <w:rFonts w:ascii="Arial Narrow" w:hAnsi="Arial Narrow"/>
                <w:b/>
                <w:bCs/>
                <w:sz w:val="16"/>
                <w:szCs w:val="16"/>
              </w:rPr>
              <w:t>1</w:t>
            </w:r>
            <w:r w:rsidR="006E60EA">
              <w:rPr>
                <w:rFonts w:ascii="Arial Narrow" w:hAnsi="Arial Narrow"/>
                <w:b/>
                <w:bCs/>
                <w:sz w:val="16"/>
                <w:szCs w:val="16"/>
              </w:rPr>
              <w:t>5</w:t>
            </w:r>
          </w:p>
        </w:tc>
        <w:tc>
          <w:tcPr>
            <w:tcW w:w="12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0D0A85" w:rsidRPr="00BA322A" w:rsidRDefault="000D0A85" w:rsidP="00451ECA">
            <w:pPr>
              <w:spacing w:before="60" w:after="60"/>
              <w:jc w:val="center"/>
              <w:rPr>
                <w:rFonts w:ascii="Arial Narrow" w:hAnsi="Arial Narrow"/>
                <w:b/>
                <w:bCs/>
                <w:sz w:val="16"/>
                <w:szCs w:val="16"/>
              </w:rPr>
            </w:pPr>
            <w:r w:rsidRPr="0015043C">
              <w:rPr>
                <w:rFonts w:ascii="Arial Narrow" w:hAnsi="Arial Narrow"/>
                <w:b/>
                <w:bCs/>
                <w:sz w:val="16"/>
                <w:szCs w:val="16"/>
              </w:rPr>
              <w:t>20</w:t>
            </w:r>
            <w:r>
              <w:rPr>
                <w:rFonts w:ascii="Arial Narrow" w:hAnsi="Arial Narrow"/>
                <w:b/>
                <w:bCs/>
                <w:sz w:val="16"/>
                <w:szCs w:val="16"/>
                <w:lang w:val="en-GB"/>
              </w:rPr>
              <w:t>1</w:t>
            </w:r>
            <w:r w:rsidR="006E60EA">
              <w:rPr>
                <w:rFonts w:ascii="Arial Narrow" w:hAnsi="Arial Narrow"/>
                <w:b/>
                <w:bCs/>
                <w:sz w:val="16"/>
                <w:szCs w:val="16"/>
              </w:rPr>
              <w:t>6</w:t>
            </w:r>
          </w:p>
        </w:tc>
        <w:tc>
          <w:tcPr>
            <w:tcW w:w="12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spacing w:before="60" w:after="60"/>
              <w:jc w:val="center"/>
              <w:rPr>
                <w:rFonts w:ascii="Arial Narrow" w:hAnsi="Arial Narrow"/>
                <w:b/>
                <w:bCs/>
                <w:sz w:val="16"/>
                <w:szCs w:val="16"/>
              </w:rPr>
            </w:pPr>
            <w:r>
              <w:rPr>
                <w:rFonts w:ascii="Arial Narrow" w:hAnsi="Arial Narrow"/>
                <w:b/>
                <w:bCs/>
                <w:sz w:val="16"/>
                <w:szCs w:val="16"/>
                <w:lang w:val="en-US"/>
              </w:rPr>
              <w:t>201</w:t>
            </w:r>
            <w:r w:rsidR="006E60EA">
              <w:rPr>
                <w:rFonts w:ascii="Arial Narrow" w:hAnsi="Arial Narrow"/>
                <w:b/>
                <w:bCs/>
                <w:sz w:val="16"/>
                <w:szCs w:val="16"/>
              </w:rPr>
              <w:t>7</w:t>
            </w:r>
            <w:r w:rsidRPr="0015043C">
              <w:rPr>
                <w:rFonts w:ascii="Arial Narrow" w:hAnsi="Arial Narrow"/>
                <w:b/>
                <w:bCs/>
                <w:sz w:val="16"/>
                <w:szCs w:val="16"/>
                <w:lang w:val="en-US"/>
              </w:rPr>
              <w:t>*</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6E60EA" w:rsidP="00451ECA">
            <w:pPr>
              <w:spacing w:before="60" w:after="60"/>
              <w:jc w:val="center"/>
              <w:rPr>
                <w:rFonts w:ascii="Arial Narrow" w:hAnsi="Arial Narrow"/>
                <w:b/>
                <w:bCs/>
                <w:sz w:val="16"/>
                <w:szCs w:val="16"/>
              </w:rPr>
            </w:pPr>
            <w:r>
              <w:rPr>
                <w:rFonts w:ascii="Arial Narrow" w:hAnsi="Arial Narrow"/>
                <w:b/>
                <w:bCs/>
                <w:sz w:val="16"/>
                <w:szCs w:val="16"/>
              </w:rPr>
              <w:t>2018</w:t>
            </w:r>
            <w:r w:rsidR="000D0A85" w:rsidRPr="0015043C">
              <w:rPr>
                <w:rFonts w:ascii="Arial Narrow" w:hAnsi="Arial Narrow"/>
                <w:b/>
                <w:bCs/>
                <w:sz w:val="16"/>
                <w:szCs w:val="16"/>
              </w:rPr>
              <w:t>**</w:t>
            </w:r>
          </w:p>
        </w:tc>
      </w:tr>
      <w:tr w:rsidR="006E60EA" w:rsidRPr="0015043C" w:rsidTr="006E60EA">
        <w:trPr>
          <w:jc w:val="center"/>
        </w:trPr>
        <w:tc>
          <w:tcPr>
            <w:tcW w:w="348" w:type="dxa"/>
            <w:tcBorders>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r>
              <w:rPr>
                <w:rFonts w:ascii="Arial Narrow" w:hAnsi="Arial Narrow"/>
                <w:b/>
                <w:bCs/>
                <w:sz w:val="16"/>
                <w:szCs w:val="16"/>
              </w:rPr>
              <w:t>Α.</w:t>
            </w:r>
          </w:p>
        </w:tc>
        <w:tc>
          <w:tcPr>
            <w:tcW w:w="3890" w:type="dxa"/>
            <w:tcBorders>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b/>
                <w:bCs/>
                <w:sz w:val="16"/>
                <w:szCs w:val="16"/>
              </w:rPr>
            </w:pPr>
            <w:r w:rsidRPr="006547D6">
              <w:rPr>
                <w:rFonts w:ascii="Arial Narrow" w:hAnsi="Arial Narrow" w:cs="Arial"/>
                <w:b/>
                <w:bCs/>
                <w:sz w:val="16"/>
                <w:szCs w:val="16"/>
              </w:rPr>
              <w:t>Ομόλογα</w:t>
            </w:r>
          </w:p>
        </w:tc>
        <w:tc>
          <w:tcPr>
            <w:tcW w:w="1180" w:type="dxa"/>
            <w:tcBorders>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59.819</w:t>
            </w:r>
          </w:p>
        </w:tc>
        <w:tc>
          <w:tcPr>
            <w:tcW w:w="1260" w:type="dxa"/>
            <w:tcBorders>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56.717</w:t>
            </w:r>
          </w:p>
        </w:tc>
        <w:tc>
          <w:tcPr>
            <w:tcW w:w="1260" w:type="dxa"/>
            <w:tcBorders>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50.174</w:t>
            </w:r>
          </w:p>
        </w:tc>
        <w:tc>
          <w:tcPr>
            <w:tcW w:w="1080" w:type="dxa"/>
            <w:tcBorders>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55.275</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Pr>
                <w:rFonts w:ascii="Arial Narrow" w:hAnsi="Arial Narrow" w:cs="Arial"/>
                <w:sz w:val="16"/>
                <w:szCs w:val="16"/>
              </w:rPr>
              <w:t>Ομόλογα στην α</w:t>
            </w:r>
            <w:r w:rsidRPr="006547D6">
              <w:rPr>
                <w:rFonts w:ascii="Arial Narrow" w:hAnsi="Arial Narrow" w:cs="Arial"/>
                <w:sz w:val="16"/>
                <w:szCs w:val="16"/>
              </w:rPr>
              <w:t xml:space="preserve">γορά </w:t>
            </w:r>
            <w:r>
              <w:rPr>
                <w:rFonts w:ascii="Arial Narrow" w:hAnsi="Arial Narrow" w:cs="Arial"/>
                <w:sz w:val="16"/>
                <w:szCs w:val="16"/>
              </w:rPr>
              <w:t>ε</w:t>
            </w:r>
            <w:r w:rsidRPr="006547D6">
              <w:rPr>
                <w:rFonts w:ascii="Arial Narrow" w:hAnsi="Arial Narrow" w:cs="Arial"/>
                <w:sz w:val="16"/>
                <w:szCs w:val="16"/>
              </w:rPr>
              <w:t>σωτερικού</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57.112</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54.354</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48.407</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53.537</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 xml:space="preserve">Ομόλογα στις </w:t>
            </w:r>
            <w:r>
              <w:rPr>
                <w:rFonts w:ascii="Arial Narrow" w:hAnsi="Arial Narrow" w:cs="Arial"/>
                <w:sz w:val="16"/>
                <w:szCs w:val="16"/>
              </w:rPr>
              <w:t>α</w:t>
            </w:r>
            <w:r w:rsidRPr="006547D6">
              <w:rPr>
                <w:rFonts w:ascii="Arial Narrow" w:hAnsi="Arial Narrow" w:cs="Arial"/>
                <w:sz w:val="16"/>
                <w:szCs w:val="16"/>
              </w:rPr>
              <w:t xml:space="preserve">γορές </w:t>
            </w:r>
            <w:r>
              <w:rPr>
                <w:rFonts w:ascii="Arial Narrow" w:hAnsi="Arial Narrow" w:cs="Arial"/>
                <w:sz w:val="16"/>
                <w:szCs w:val="16"/>
              </w:rPr>
              <w:t>ε</w:t>
            </w:r>
            <w:r w:rsidRPr="006547D6">
              <w:rPr>
                <w:rFonts w:ascii="Arial Narrow" w:hAnsi="Arial Narrow" w:cs="Arial"/>
                <w:sz w:val="16"/>
                <w:szCs w:val="16"/>
              </w:rPr>
              <w:t>ξωτερικού</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2.594</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2.277</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1.708</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1.708</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proofErr w:type="spellStart"/>
            <w:r>
              <w:rPr>
                <w:rFonts w:ascii="Arial Narrow" w:hAnsi="Arial Narrow" w:cs="Arial"/>
                <w:sz w:val="16"/>
                <w:szCs w:val="16"/>
              </w:rPr>
              <w:t>Τιτλοποιήσεις</w:t>
            </w:r>
            <w:proofErr w:type="spellEnd"/>
            <w:r>
              <w:rPr>
                <w:rFonts w:ascii="Arial Narrow" w:hAnsi="Arial Narrow" w:cs="Arial"/>
                <w:sz w:val="16"/>
                <w:szCs w:val="16"/>
              </w:rPr>
              <w:t xml:space="preserve"> στο ε</w:t>
            </w:r>
            <w:r w:rsidRPr="006547D6">
              <w:rPr>
                <w:rFonts w:ascii="Arial Narrow" w:hAnsi="Arial Narrow" w:cs="Arial"/>
                <w:sz w:val="16"/>
                <w:szCs w:val="16"/>
              </w:rPr>
              <w:t>ξωτερικό</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113</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86</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59</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30</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 </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r>
              <w:rPr>
                <w:rFonts w:ascii="Arial Narrow" w:hAnsi="Arial Narrow"/>
                <w:b/>
                <w:bCs/>
                <w:sz w:val="16"/>
                <w:szCs w:val="16"/>
              </w:rPr>
              <w:t>Β.</w:t>
            </w: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b/>
                <w:bCs/>
                <w:sz w:val="16"/>
                <w:szCs w:val="16"/>
              </w:rPr>
            </w:pPr>
            <w:r w:rsidRPr="006547D6">
              <w:rPr>
                <w:rFonts w:ascii="Arial Narrow" w:hAnsi="Arial Narrow" w:cs="Arial"/>
                <w:b/>
                <w:bCs/>
                <w:sz w:val="16"/>
                <w:szCs w:val="16"/>
              </w:rPr>
              <w:t>Βραχυπρόθεσμοι Τίτλοι</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14.880</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14.890</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14.900</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13.700</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Έντοκα Γραμμάτια</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14.832</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14.890</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14.900</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13.700</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Pr>
                <w:rFonts w:ascii="Arial Narrow" w:hAnsi="Arial Narrow" w:cs="Arial"/>
                <w:sz w:val="16"/>
                <w:szCs w:val="16"/>
              </w:rPr>
              <w:t>Έντοκα Γραμμάτια σε φ</w:t>
            </w:r>
            <w:r w:rsidRPr="006547D6">
              <w:rPr>
                <w:rFonts w:ascii="Arial Narrow" w:hAnsi="Arial Narrow" w:cs="Arial"/>
                <w:sz w:val="16"/>
                <w:szCs w:val="16"/>
              </w:rPr>
              <w:t>υσικούς</w:t>
            </w:r>
            <w:r>
              <w:rPr>
                <w:rFonts w:ascii="Arial Narrow" w:hAnsi="Arial Narrow" w:cs="Arial"/>
                <w:sz w:val="16"/>
                <w:szCs w:val="16"/>
              </w:rPr>
              <w:t xml:space="preserve"> τ</w:t>
            </w:r>
            <w:r w:rsidRPr="006547D6">
              <w:rPr>
                <w:rFonts w:ascii="Arial Narrow" w:hAnsi="Arial Narrow" w:cs="Arial"/>
                <w:sz w:val="16"/>
                <w:szCs w:val="16"/>
              </w:rPr>
              <w:t>ίτλους</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48</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0</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0</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0</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 </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r>
              <w:rPr>
                <w:rFonts w:ascii="Arial Narrow" w:hAnsi="Arial Narrow"/>
                <w:b/>
                <w:bCs/>
                <w:sz w:val="16"/>
                <w:szCs w:val="16"/>
              </w:rPr>
              <w:t>Γ.</w:t>
            </w:r>
          </w:p>
        </w:tc>
        <w:tc>
          <w:tcPr>
            <w:tcW w:w="3890" w:type="dxa"/>
            <w:tcBorders>
              <w:top w:val="nil"/>
              <w:bottom w:val="nil"/>
            </w:tcBorders>
            <w:shd w:val="clear" w:color="auto" w:fill="auto"/>
            <w:tcMar>
              <w:left w:w="28" w:type="dxa"/>
              <w:right w:w="28" w:type="dxa"/>
            </w:tcMar>
            <w:vAlign w:val="bottom"/>
          </w:tcPr>
          <w:p w:rsidR="006E60EA" w:rsidRPr="006547D6" w:rsidRDefault="006E60EA" w:rsidP="00451ECA">
            <w:pPr>
              <w:spacing w:before="40" w:after="40"/>
              <w:rPr>
                <w:rFonts w:ascii="Arial Narrow" w:hAnsi="Arial Narrow" w:cs="Arial"/>
                <w:b/>
                <w:bCs/>
                <w:sz w:val="16"/>
                <w:szCs w:val="16"/>
              </w:rPr>
            </w:pPr>
            <w:r w:rsidRPr="006547D6">
              <w:rPr>
                <w:rFonts w:ascii="Arial Narrow" w:hAnsi="Arial Narrow" w:cs="Arial"/>
                <w:b/>
                <w:bCs/>
                <w:sz w:val="16"/>
                <w:szCs w:val="16"/>
              </w:rPr>
              <w:t>Δάνεια</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236.633</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243.388</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252.726</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265.025</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Δάνεια Τραπέζης Ελλάδος</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3.792</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3.321</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2.849</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2.377</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Λοι</w:t>
            </w:r>
            <w:r>
              <w:rPr>
                <w:rFonts w:ascii="Arial Narrow" w:hAnsi="Arial Narrow" w:cs="Arial"/>
                <w:sz w:val="16"/>
                <w:szCs w:val="16"/>
              </w:rPr>
              <w:t>πά Δάνεια Ε</w:t>
            </w:r>
            <w:r w:rsidRPr="006547D6">
              <w:rPr>
                <w:rFonts w:ascii="Arial Narrow" w:hAnsi="Arial Narrow" w:cs="Arial"/>
                <w:sz w:val="16"/>
                <w:szCs w:val="16"/>
              </w:rPr>
              <w:t>σωτερικού</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109</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188</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246</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228</w:t>
            </w:r>
          </w:p>
        </w:tc>
      </w:tr>
      <w:tr w:rsidR="006E60EA" w:rsidRPr="0015043C" w:rsidTr="006E60EA">
        <w:trPr>
          <w:jc w:val="center"/>
        </w:trPr>
        <w:tc>
          <w:tcPr>
            <w:tcW w:w="348" w:type="dxa"/>
            <w:tcBorders>
              <w:top w:val="nil"/>
              <w:left w:val="single" w:sz="4" w:space="0" w:color="auto"/>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0"/>
                <w:szCs w:val="16"/>
              </w:rPr>
            </w:pPr>
          </w:p>
        </w:tc>
        <w:tc>
          <w:tcPr>
            <w:tcW w:w="3890" w:type="dxa"/>
            <w:tcBorders>
              <w:top w:val="nil"/>
            </w:tcBorders>
            <w:shd w:val="clear" w:color="auto" w:fill="auto"/>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Ειδικά και Διακρατικά Δάνεια</w:t>
            </w:r>
          </w:p>
        </w:tc>
        <w:tc>
          <w:tcPr>
            <w:tcW w:w="1180" w:type="dxa"/>
            <w:tcBorders>
              <w:top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7.423</w:t>
            </w:r>
          </w:p>
        </w:tc>
        <w:tc>
          <w:tcPr>
            <w:tcW w:w="1260" w:type="dxa"/>
            <w:tcBorders>
              <w:top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7.480</w:t>
            </w:r>
          </w:p>
        </w:tc>
        <w:tc>
          <w:tcPr>
            <w:tcW w:w="1260" w:type="dxa"/>
            <w:tcBorders>
              <w:top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7.594</w:t>
            </w:r>
          </w:p>
        </w:tc>
        <w:tc>
          <w:tcPr>
            <w:tcW w:w="1080" w:type="dxa"/>
            <w:tcBorders>
              <w:top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7.284</w:t>
            </w:r>
          </w:p>
        </w:tc>
      </w:tr>
      <w:tr w:rsidR="006E60EA" w:rsidRPr="0015043C" w:rsidTr="006E60EA">
        <w:trPr>
          <w:jc w:val="center"/>
        </w:trPr>
        <w:tc>
          <w:tcPr>
            <w:tcW w:w="348" w:type="dxa"/>
            <w:tcBorders>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bottom w:val="nil"/>
            </w:tcBorders>
            <w:shd w:val="clear" w:color="auto" w:fill="auto"/>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Δάνεια Μηχανισμού Στήριξης</w:t>
            </w:r>
          </w:p>
        </w:tc>
        <w:tc>
          <w:tcPr>
            <w:tcW w:w="1180" w:type="dxa"/>
            <w:tcBorders>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220.431</w:t>
            </w:r>
          </w:p>
        </w:tc>
        <w:tc>
          <w:tcPr>
            <w:tcW w:w="1260" w:type="dxa"/>
            <w:tcBorders>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227.660</w:t>
            </w:r>
          </w:p>
        </w:tc>
        <w:tc>
          <w:tcPr>
            <w:tcW w:w="1260" w:type="dxa"/>
            <w:tcBorders>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237.711</w:t>
            </w:r>
          </w:p>
        </w:tc>
        <w:tc>
          <w:tcPr>
            <w:tcW w:w="1080" w:type="dxa"/>
            <w:tcBorders>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250.969</w:t>
            </w:r>
          </w:p>
        </w:tc>
      </w:tr>
      <w:tr w:rsidR="006E60EA" w:rsidRPr="0015043C" w:rsidTr="006E60EA">
        <w:trPr>
          <w:jc w:val="center"/>
        </w:trPr>
        <w:tc>
          <w:tcPr>
            <w:tcW w:w="348" w:type="dxa"/>
            <w:tcBorders>
              <w:top w:val="nil"/>
              <w:left w:val="single" w:sz="4" w:space="0" w:color="auto"/>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Λοιπά Δάνεια Εξωτερικού</w:t>
            </w:r>
          </w:p>
        </w:tc>
        <w:tc>
          <w:tcPr>
            <w:tcW w:w="1180" w:type="dxa"/>
            <w:tcBorders>
              <w:top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4.878</w:t>
            </w:r>
          </w:p>
        </w:tc>
        <w:tc>
          <w:tcPr>
            <w:tcW w:w="1260" w:type="dxa"/>
            <w:tcBorders>
              <w:top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4.739</w:t>
            </w:r>
          </w:p>
        </w:tc>
        <w:tc>
          <w:tcPr>
            <w:tcW w:w="1260" w:type="dxa"/>
            <w:tcBorders>
              <w:top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4.326</w:t>
            </w:r>
          </w:p>
        </w:tc>
        <w:tc>
          <w:tcPr>
            <w:tcW w:w="1080" w:type="dxa"/>
            <w:tcBorders>
              <w:top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4.167</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 </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r>
              <w:rPr>
                <w:rFonts w:ascii="Arial Narrow" w:hAnsi="Arial Narrow"/>
                <w:b/>
                <w:bCs/>
                <w:sz w:val="16"/>
                <w:szCs w:val="16"/>
              </w:rPr>
              <w:t>Δ.</w:t>
            </w:r>
          </w:p>
        </w:tc>
        <w:tc>
          <w:tcPr>
            <w:tcW w:w="3890" w:type="dxa"/>
            <w:tcBorders>
              <w:top w:val="nil"/>
              <w:bottom w:val="nil"/>
            </w:tcBorders>
            <w:shd w:val="clear" w:color="auto" w:fill="auto"/>
            <w:tcMar>
              <w:left w:w="28" w:type="dxa"/>
              <w:right w:w="28" w:type="dxa"/>
            </w:tcMar>
            <w:vAlign w:val="bottom"/>
          </w:tcPr>
          <w:p w:rsidR="006E60EA" w:rsidRPr="006547D6" w:rsidRDefault="006E60EA" w:rsidP="000D0A85">
            <w:pPr>
              <w:spacing w:before="40" w:after="40"/>
              <w:rPr>
                <w:rFonts w:ascii="Arial Narrow" w:hAnsi="Arial Narrow" w:cs="Arial"/>
                <w:b/>
                <w:bCs/>
                <w:sz w:val="16"/>
                <w:szCs w:val="16"/>
              </w:rPr>
            </w:pPr>
            <w:r>
              <w:rPr>
                <w:rFonts w:ascii="Arial Narrow" w:hAnsi="Arial Narrow" w:cs="Arial"/>
                <w:b/>
                <w:bCs/>
                <w:sz w:val="16"/>
                <w:szCs w:val="16"/>
              </w:rPr>
              <w:t>Βραχυπρόθεσμα δ</w:t>
            </w:r>
            <w:r w:rsidRPr="006547D6">
              <w:rPr>
                <w:rFonts w:ascii="Arial Narrow" w:hAnsi="Arial Narrow" w:cs="Arial"/>
                <w:b/>
                <w:bCs/>
                <w:sz w:val="16"/>
                <w:szCs w:val="16"/>
              </w:rPr>
              <w:t>άνεια</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10.000</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11.363</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15.000</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9.000</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F65459" w:rsidRDefault="006E60EA" w:rsidP="00451ECA">
            <w:pPr>
              <w:spacing w:before="40" w:after="40"/>
              <w:rPr>
                <w:rFonts w:ascii="Arial Narrow" w:hAnsi="Arial Narrow" w:cs="Arial"/>
                <w:sz w:val="16"/>
                <w:szCs w:val="16"/>
              </w:rPr>
            </w:pPr>
            <w:r>
              <w:rPr>
                <w:rFonts w:ascii="Arial Narrow" w:hAnsi="Arial Narrow" w:cs="Arial"/>
                <w:sz w:val="16"/>
                <w:szCs w:val="16"/>
              </w:rPr>
              <w:t>Πώληση τίτλων με σύμφωνο επαναγοράς (</w:t>
            </w:r>
            <w:r>
              <w:rPr>
                <w:rFonts w:ascii="Arial Narrow" w:hAnsi="Arial Narrow" w:cs="Arial"/>
                <w:sz w:val="16"/>
                <w:szCs w:val="16"/>
                <w:lang w:val="en-GB"/>
              </w:rPr>
              <w:t>repos</w:t>
            </w:r>
            <w:r w:rsidRPr="00F65459">
              <w:rPr>
                <w:rFonts w:ascii="Arial Narrow" w:hAnsi="Arial Narrow" w:cs="Arial"/>
                <w:sz w:val="16"/>
                <w:szCs w:val="16"/>
              </w:rPr>
              <w:t>)</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10.000</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11.363</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15.000</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9.000</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 </w:t>
            </w:r>
          </w:p>
        </w:tc>
      </w:tr>
      <w:tr w:rsidR="006E60EA" w:rsidRPr="0015043C" w:rsidTr="006E60EA">
        <w:trPr>
          <w:jc w:val="center"/>
        </w:trPr>
        <w:tc>
          <w:tcPr>
            <w:tcW w:w="348" w:type="dxa"/>
            <w:tcBorders>
              <w:top w:val="nil"/>
              <w:left w:val="single" w:sz="4" w:space="0" w:color="auto"/>
              <w:bottom w:val="nil"/>
            </w:tcBorders>
            <w:shd w:val="clear" w:color="auto" w:fill="A6A6A6" w:themeFill="background1" w:themeFillShade="A6"/>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r>
              <w:rPr>
                <w:rFonts w:ascii="Arial Narrow" w:hAnsi="Arial Narrow"/>
                <w:b/>
                <w:bCs/>
                <w:sz w:val="16"/>
                <w:szCs w:val="16"/>
              </w:rPr>
              <w:t>Ε.</w:t>
            </w:r>
          </w:p>
        </w:tc>
        <w:tc>
          <w:tcPr>
            <w:tcW w:w="3890" w:type="dxa"/>
            <w:tcBorders>
              <w:top w:val="nil"/>
              <w:bottom w:val="nil"/>
            </w:tcBorders>
            <w:shd w:val="clear" w:color="auto" w:fill="A6A6A6" w:themeFill="background1" w:themeFillShade="A6"/>
            <w:noWrap/>
            <w:tcMar>
              <w:left w:w="28" w:type="dxa"/>
              <w:right w:w="28" w:type="dxa"/>
            </w:tcMar>
            <w:vAlign w:val="bottom"/>
          </w:tcPr>
          <w:p w:rsidR="006E60EA" w:rsidRPr="006547D6" w:rsidRDefault="006E60EA" w:rsidP="00451ECA">
            <w:pPr>
              <w:spacing w:before="40" w:after="40"/>
              <w:rPr>
                <w:rFonts w:ascii="Arial Narrow" w:hAnsi="Arial Narrow" w:cs="Arial"/>
                <w:b/>
                <w:bCs/>
                <w:sz w:val="16"/>
                <w:szCs w:val="16"/>
              </w:rPr>
            </w:pPr>
            <w:r w:rsidRPr="006547D6">
              <w:rPr>
                <w:rFonts w:ascii="Arial Narrow" w:hAnsi="Arial Narrow" w:cs="Arial"/>
                <w:b/>
                <w:bCs/>
                <w:sz w:val="16"/>
                <w:szCs w:val="16"/>
              </w:rPr>
              <w:t>Σύνολο χρέους Κεντρικής Διοίκησης (Α+Β+Γ</w:t>
            </w:r>
            <w:r>
              <w:rPr>
                <w:rFonts w:ascii="Arial Narrow" w:hAnsi="Arial Narrow" w:cs="Arial"/>
                <w:b/>
                <w:bCs/>
                <w:sz w:val="16"/>
                <w:szCs w:val="16"/>
              </w:rPr>
              <w:t>+Δ</w:t>
            </w:r>
            <w:r w:rsidRPr="006547D6">
              <w:rPr>
                <w:rFonts w:ascii="Arial Narrow" w:hAnsi="Arial Narrow" w:cs="Arial"/>
                <w:b/>
                <w:bCs/>
                <w:sz w:val="16"/>
                <w:szCs w:val="16"/>
              </w:rPr>
              <w:t>)</w:t>
            </w:r>
          </w:p>
        </w:tc>
        <w:tc>
          <w:tcPr>
            <w:tcW w:w="1180" w:type="dxa"/>
            <w:tcBorders>
              <w:top w:val="nil"/>
              <w:bottom w:val="nil"/>
            </w:tcBorders>
            <w:shd w:val="clear" w:color="auto" w:fill="A6A6A6" w:themeFill="background1" w:themeFillShade="A6"/>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321.332</w:t>
            </w:r>
          </w:p>
        </w:tc>
        <w:tc>
          <w:tcPr>
            <w:tcW w:w="1260" w:type="dxa"/>
            <w:tcBorders>
              <w:top w:val="nil"/>
              <w:bottom w:val="nil"/>
            </w:tcBorders>
            <w:shd w:val="clear" w:color="auto" w:fill="A6A6A6" w:themeFill="background1" w:themeFillShade="A6"/>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326.358</w:t>
            </w:r>
          </w:p>
        </w:tc>
        <w:tc>
          <w:tcPr>
            <w:tcW w:w="1260" w:type="dxa"/>
            <w:tcBorders>
              <w:top w:val="nil"/>
              <w:bottom w:val="nil"/>
            </w:tcBorders>
            <w:shd w:val="clear" w:color="auto" w:fill="A6A6A6" w:themeFill="background1" w:themeFillShade="A6"/>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332.800</w:t>
            </w:r>
          </w:p>
        </w:tc>
        <w:tc>
          <w:tcPr>
            <w:tcW w:w="1080" w:type="dxa"/>
            <w:tcBorders>
              <w:top w:val="nil"/>
              <w:bottom w:val="nil"/>
              <w:right w:val="single" w:sz="4" w:space="0" w:color="auto"/>
            </w:tcBorders>
            <w:shd w:val="clear" w:color="auto" w:fill="A6A6A6" w:themeFill="background1" w:themeFillShade="A6"/>
            <w:noWrap/>
            <w:tcMar>
              <w:left w:w="28" w:type="dxa"/>
              <w:right w:w="28" w:type="dxa"/>
            </w:tcMar>
            <w:vAlign w:val="center"/>
          </w:tcPr>
          <w:p w:rsidR="006E60EA" w:rsidRDefault="006E60EA" w:rsidP="006E60EA">
            <w:pPr>
              <w:ind w:right="304"/>
              <w:jc w:val="right"/>
              <w:rPr>
                <w:rFonts w:ascii="Arial Narrow" w:hAnsi="Arial Narrow" w:cs="Arial"/>
                <w:b/>
                <w:bCs/>
                <w:sz w:val="16"/>
                <w:szCs w:val="16"/>
              </w:rPr>
            </w:pPr>
            <w:r>
              <w:rPr>
                <w:rFonts w:ascii="Arial Narrow" w:hAnsi="Arial Narrow" w:cs="Arial"/>
                <w:b/>
                <w:bCs/>
                <w:sz w:val="16"/>
                <w:szCs w:val="16"/>
              </w:rPr>
              <w:t>343.000</w:t>
            </w:r>
          </w:p>
        </w:tc>
      </w:tr>
      <w:tr w:rsidR="006E60EA" w:rsidRPr="0015043C" w:rsidTr="006E60EA">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(ως % του ΑΕΠ)</w:t>
            </w:r>
          </w:p>
        </w:tc>
        <w:tc>
          <w:tcPr>
            <w:tcW w:w="118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182,3%</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187,3%</w:t>
            </w:r>
          </w:p>
        </w:tc>
        <w:tc>
          <w:tcPr>
            <w:tcW w:w="1260" w:type="dxa"/>
            <w:tcBorders>
              <w:top w:val="nil"/>
              <w:bottom w:val="nil"/>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186,4%</w:t>
            </w:r>
          </w:p>
        </w:tc>
        <w:tc>
          <w:tcPr>
            <w:tcW w:w="1080" w:type="dxa"/>
            <w:tcBorders>
              <w:top w:val="nil"/>
              <w:bottom w:val="nil"/>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185,7%</w:t>
            </w:r>
          </w:p>
        </w:tc>
      </w:tr>
      <w:tr w:rsidR="006E60EA" w:rsidRPr="0015043C" w:rsidTr="006E60EA">
        <w:trPr>
          <w:jc w:val="center"/>
        </w:trPr>
        <w:tc>
          <w:tcPr>
            <w:tcW w:w="348" w:type="dxa"/>
            <w:tcBorders>
              <w:top w:val="nil"/>
              <w:left w:val="single" w:sz="4" w:space="0" w:color="auto"/>
              <w:bottom w:val="single" w:sz="4" w:space="0" w:color="auto"/>
            </w:tcBorders>
            <w:shd w:val="clear" w:color="auto" w:fill="auto"/>
            <w:noWrap/>
            <w:tcMar>
              <w:left w:w="28" w:type="dxa"/>
              <w:right w:w="28" w:type="dxa"/>
            </w:tcMar>
            <w:vAlign w:val="center"/>
          </w:tcPr>
          <w:p w:rsidR="006E60EA" w:rsidRPr="0015043C" w:rsidRDefault="006E60EA" w:rsidP="00451ECA">
            <w:pPr>
              <w:spacing w:before="40" w:after="40"/>
              <w:rPr>
                <w:rFonts w:ascii="Arial Narrow" w:hAnsi="Arial Narrow"/>
                <w:b/>
                <w:bCs/>
                <w:sz w:val="16"/>
                <w:szCs w:val="16"/>
              </w:rPr>
            </w:pPr>
          </w:p>
        </w:tc>
        <w:tc>
          <w:tcPr>
            <w:tcW w:w="3890" w:type="dxa"/>
            <w:tcBorders>
              <w:top w:val="nil"/>
              <w:bottom w:val="single" w:sz="4" w:space="0" w:color="auto"/>
            </w:tcBorders>
            <w:shd w:val="clear" w:color="auto" w:fill="auto"/>
            <w:noWrap/>
            <w:tcMar>
              <w:left w:w="28" w:type="dxa"/>
              <w:right w:w="28" w:type="dxa"/>
            </w:tcMar>
            <w:vAlign w:val="bottom"/>
          </w:tcPr>
          <w:p w:rsidR="006E60EA" w:rsidRPr="006547D6" w:rsidRDefault="006E60EA" w:rsidP="00451ECA">
            <w:pPr>
              <w:spacing w:before="40" w:after="40"/>
              <w:rPr>
                <w:rFonts w:ascii="Arial Narrow" w:hAnsi="Arial Narrow" w:cs="Arial"/>
                <w:sz w:val="16"/>
                <w:szCs w:val="16"/>
              </w:rPr>
            </w:pPr>
            <w:r w:rsidRPr="006547D6">
              <w:rPr>
                <w:rFonts w:ascii="Arial Narrow" w:hAnsi="Arial Narrow" w:cs="Arial"/>
                <w:sz w:val="16"/>
                <w:szCs w:val="16"/>
              </w:rPr>
              <w:t>ΑΕΠ</w:t>
            </w:r>
          </w:p>
        </w:tc>
        <w:tc>
          <w:tcPr>
            <w:tcW w:w="1180" w:type="dxa"/>
            <w:tcBorders>
              <w:top w:val="nil"/>
              <w:bottom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176.312</w:t>
            </w:r>
          </w:p>
        </w:tc>
        <w:tc>
          <w:tcPr>
            <w:tcW w:w="1260" w:type="dxa"/>
            <w:tcBorders>
              <w:top w:val="nil"/>
              <w:bottom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174.199</w:t>
            </w:r>
          </w:p>
        </w:tc>
        <w:tc>
          <w:tcPr>
            <w:tcW w:w="1260" w:type="dxa"/>
            <w:tcBorders>
              <w:top w:val="nil"/>
              <w:bottom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178.579</w:t>
            </w:r>
          </w:p>
        </w:tc>
        <w:tc>
          <w:tcPr>
            <w:tcW w:w="1080" w:type="dxa"/>
            <w:tcBorders>
              <w:top w:val="nil"/>
              <w:bottom w:val="single" w:sz="4" w:space="0" w:color="auto"/>
              <w:right w:val="single" w:sz="4" w:space="0" w:color="auto"/>
            </w:tcBorders>
            <w:shd w:val="clear" w:color="auto" w:fill="auto"/>
            <w:noWrap/>
            <w:tcMar>
              <w:left w:w="28" w:type="dxa"/>
              <w:right w:w="28" w:type="dxa"/>
            </w:tcMar>
            <w:vAlign w:val="center"/>
          </w:tcPr>
          <w:p w:rsidR="006E60EA" w:rsidRDefault="006E60EA" w:rsidP="006E60EA">
            <w:pPr>
              <w:ind w:right="304"/>
              <w:jc w:val="right"/>
              <w:rPr>
                <w:rFonts w:ascii="Arial Narrow" w:hAnsi="Arial Narrow" w:cs="Arial"/>
                <w:sz w:val="16"/>
                <w:szCs w:val="16"/>
              </w:rPr>
            </w:pPr>
            <w:r>
              <w:rPr>
                <w:rFonts w:ascii="Arial Narrow" w:hAnsi="Arial Narrow" w:cs="Arial"/>
                <w:sz w:val="16"/>
                <w:szCs w:val="16"/>
              </w:rPr>
              <w:t>184.691</w:t>
            </w:r>
          </w:p>
        </w:tc>
      </w:tr>
    </w:tbl>
    <w:p w:rsidR="000D0A85" w:rsidRPr="006547D6" w:rsidRDefault="000D0A85" w:rsidP="002622E0">
      <w:pPr>
        <w:tabs>
          <w:tab w:val="left" w:pos="180"/>
          <w:tab w:val="left" w:pos="8320"/>
        </w:tabs>
        <w:jc w:val="both"/>
        <w:rPr>
          <w:rFonts w:ascii="Arial Narrow" w:hAnsi="Arial Narrow"/>
          <w:sz w:val="16"/>
          <w:szCs w:val="16"/>
        </w:rPr>
      </w:pPr>
      <w:r w:rsidRPr="0015043C">
        <w:rPr>
          <w:rFonts w:ascii="Arial Narrow" w:hAnsi="Arial Narrow"/>
          <w:sz w:val="16"/>
          <w:szCs w:val="16"/>
        </w:rPr>
        <w:t>*</w:t>
      </w:r>
      <w:r w:rsidRPr="0015043C">
        <w:rPr>
          <w:rFonts w:ascii="Arial Narrow" w:hAnsi="Arial Narrow"/>
          <w:sz w:val="16"/>
          <w:szCs w:val="16"/>
        </w:rPr>
        <w:tab/>
        <w:t>Εκτιμήσεις      **Προβλέψεις</w:t>
      </w:r>
      <w:r w:rsidR="002622E0">
        <w:rPr>
          <w:rFonts w:ascii="Arial Narrow" w:hAnsi="Arial Narrow"/>
          <w:sz w:val="16"/>
          <w:szCs w:val="16"/>
        </w:rPr>
        <w:tab/>
      </w:r>
    </w:p>
    <w:p w:rsidR="000D0A85" w:rsidRPr="006547D6" w:rsidRDefault="000D0A85" w:rsidP="000D0A85">
      <w:pPr>
        <w:tabs>
          <w:tab w:val="left" w:pos="180"/>
        </w:tabs>
        <w:jc w:val="both"/>
        <w:rPr>
          <w:rFonts w:ascii="Arial Narrow" w:hAnsi="Arial Narrow"/>
          <w:sz w:val="16"/>
          <w:szCs w:val="16"/>
        </w:rPr>
      </w:pPr>
      <w:r w:rsidRPr="0015043C">
        <w:rPr>
          <w:rFonts w:ascii="Arial Narrow" w:hAnsi="Arial Narrow"/>
          <w:sz w:val="16"/>
          <w:szCs w:val="16"/>
        </w:rPr>
        <w:t xml:space="preserve">Πηγή:  </w:t>
      </w:r>
      <w:r w:rsidR="00B013CD">
        <w:rPr>
          <w:rFonts w:ascii="Arial Narrow" w:hAnsi="Arial Narrow"/>
          <w:sz w:val="16"/>
          <w:szCs w:val="16"/>
        </w:rPr>
        <w:t>ΟΔΔΗΧ</w:t>
      </w:r>
    </w:p>
    <w:p w:rsidR="000D0A85" w:rsidRDefault="000D0A85" w:rsidP="000D0A85">
      <w:pPr>
        <w:jc w:val="both"/>
      </w:pPr>
    </w:p>
    <w:p w:rsidR="00CD1DAB" w:rsidRDefault="00CD1DAB" w:rsidP="000D0A85">
      <w:pPr>
        <w:jc w:val="both"/>
      </w:pPr>
    </w:p>
    <w:tbl>
      <w:tblPr>
        <w:tblW w:w="9440" w:type="dxa"/>
        <w:tblLayout w:type="fixed"/>
        <w:tblLook w:val="0000"/>
      </w:tblPr>
      <w:tblGrid>
        <w:gridCol w:w="4788"/>
        <w:gridCol w:w="1163"/>
        <w:gridCol w:w="1163"/>
        <w:gridCol w:w="1163"/>
        <w:gridCol w:w="1163"/>
      </w:tblGrid>
      <w:tr w:rsidR="000D0A85" w:rsidRPr="0015043C" w:rsidTr="00451ECA">
        <w:tc>
          <w:tcPr>
            <w:tcW w:w="9440" w:type="dxa"/>
            <w:gridSpan w:val="5"/>
            <w:tcBorders>
              <w:top w:val="single" w:sz="4" w:space="0" w:color="auto"/>
              <w:left w:val="single" w:sz="4" w:space="0" w:color="auto"/>
              <w:right w:val="single" w:sz="4" w:space="0" w:color="auto"/>
            </w:tcBorders>
            <w:shd w:val="clear" w:color="auto" w:fill="404040" w:themeFill="text1" w:themeFillTint="BF"/>
            <w:noWrap/>
          </w:tcPr>
          <w:p w:rsidR="000D0A85" w:rsidRPr="006A2A00" w:rsidRDefault="000D0A85" w:rsidP="00451ECA">
            <w:pPr>
              <w:spacing w:before="120"/>
              <w:jc w:val="center"/>
              <w:rPr>
                <w:rFonts w:ascii="Arial Narrow" w:hAnsi="Arial Narrow"/>
                <w:b/>
                <w:bCs/>
                <w:color w:val="FFFFFF"/>
              </w:rPr>
            </w:pPr>
            <w:r w:rsidRPr="006A2A00">
              <w:rPr>
                <w:rFonts w:ascii="Arial Narrow" w:hAnsi="Arial Narrow"/>
                <w:b/>
                <w:bCs/>
                <w:color w:val="FFFFFF"/>
              </w:rPr>
              <w:lastRenderedPageBreak/>
              <w:t xml:space="preserve">Πίνακας </w:t>
            </w:r>
            <w:r w:rsidRPr="0018754F">
              <w:rPr>
                <w:rFonts w:ascii="Arial Narrow" w:hAnsi="Arial Narrow"/>
                <w:b/>
                <w:bCs/>
                <w:color w:val="FFFFFF"/>
              </w:rPr>
              <w:t>4</w:t>
            </w:r>
            <w:r w:rsidRPr="006A2A00">
              <w:rPr>
                <w:rFonts w:ascii="Arial Narrow" w:hAnsi="Arial Narrow"/>
                <w:b/>
                <w:bCs/>
                <w:color w:val="FFFFFF"/>
              </w:rPr>
              <w:t>.2  Χρέος Γενικής Κυβέρνησης</w:t>
            </w:r>
          </w:p>
          <w:p w:rsidR="000D0A85" w:rsidRPr="0015043C" w:rsidRDefault="000D0A85" w:rsidP="00451ECA">
            <w:pPr>
              <w:spacing w:after="120"/>
              <w:jc w:val="center"/>
              <w:rPr>
                <w:rFonts w:ascii="Arial Narrow" w:hAnsi="Arial Narrow"/>
                <w:bCs/>
              </w:rPr>
            </w:pPr>
            <w:r w:rsidRPr="0015043C">
              <w:rPr>
                <w:rFonts w:ascii="Arial Narrow" w:hAnsi="Arial Narrow"/>
                <w:b/>
                <w:bCs/>
                <w:color w:val="FFFFFF"/>
              </w:rPr>
              <w:t>(σε εκατ. ευρώ)</w:t>
            </w:r>
          </w:p>
        </w:tc>
      </w:tr>
      <w:tr w:rsidR="000D0A85" w:rsidRPr="0015043C" w:rsidTr="00451ECA">
        <w:tc>
          <w:tcPr>
            <w:tcW w:w="9440" w:type="dxa"/>
            <w:gridSpan w:val="5"/>
            <w:tcBorders>
              <w:left w:val="single" w:sz="4" w:space="0" w:color="auto"/>
              <w:bottom w:val="single" w:sz="4" w:space="0" w:color="auto"/>
              <w:right w:val="single" w:sz="4" w:space="0" w:color="auto"/>
            </w:tcBorders>
            <w:shd w:val="clear" w:color="auto" w:fill="auto"/>
            <w:noWrap/>
          </w:tcPr>
          <w:p w:rsidR="000D0A85" w:rsidRPr="0015043C" w:rsidRDefault="000D0A85" w:rsidP="00451ECA">
            <w:pPr>
              <w:jc w:val="center"/>
              <w:rPr>
                <w:rFonts w:ascii="Arial Narrow" w:hAnsi="Arial Narrow"/>
                <w:b/>
                <w:bCs/>
                <w:color w:val="FFFFFF"/>
                <w:sz w:val="16"/>
              </w:rPr>
            </w:pPr>
          </w:p>
        </w:tc>
      </w:tr>
      <w:tr w:rsidR="000D0A85" w:rsidRPr="0015043C" w:rsidTr="00451ECA">
        <w:tc>
          <w:tcPr>
            <w:tcW w:w="4788" w:type="dxa"/>
            <w:tcBorders>
              <w:top w:val="single" w:sz="4" w:space="0" w:color="auto"/>
              <w:left w:val="single" w:sz="4" w:space="0" w:color="auto"/>
              <w:bottom w:val="single" w:sz="4" w:space="0" w:color="auto"/>
              <w:right w:val="single" w:sz="4" w:space="0" w:color="auto"/>
            </w:tcBorders>
            <w:shd w:val="clear" w:color="auto" w:fill="auto"/>
            <w:noWrap/>
          </w:tcPr>
          <w:p w:rsidR="000D0A85" w:rsidRPr="0015043C" w:rsidRDefault="000D0A85" w:rsidP="00451ECA">
            <w:pPr>
              <w:spacing w:before="60" w:after="60"/>
              <w:jc w:val="center"/>
              <w:rPr>
                <w:rFonts w:ascii="Arial Narrow" w:hAnsi="Arial Narrow"/>
                <w:sz w:val="16"/>
                <w:szCs w:val="16"/>
              </w:rPr>
            </w:pPr>
          </w:p>
        </w:tc>
        <w:tc>
          <w:tcPr>
            <w:tcW w:w="1163" w:type="dxa"/>
            <w:tcBorders>
              <w:top w:val="single" w:sz="4" w:space="0" w:color="auto"/>
              <w:left w:val="nil"/>
              <w:bottom w:val="single" w:sz="4" w:space="0" w:color="auto"/>
              <w:right w:val="single" w:sz="4" w:space="0" w:color="auto"/>
            </w:tcBorders>
            <w:shd w:val="clear" w:color="auto" w:fill="auto"/>
            <w:noWrap/>
          </w:tcPr>
          <w:p w:rsidR="000D0A85" w:rsidRPr="00997622" w:rsidRDefault="000D0A85" w:rsidP="00451ECA">
            <w:pPr>
              <w:spacing w:before="60" w:after="60"/>
              <w:jc w:val="center"/>
              <w:rPr>
                <w:rFonts w:ascii="Arial Narrow" w:hAnsi="Arial Narrow"/>
                <w:b/>
                <w:bCs/>
                <w:sz w:val="16"/>
                <w:szCs w:val="16"/>
              </w:rPr>
            </w:pPr>
            <w:r w:rsidRPr="0015043C">
              <w:rPr>
                <w:rFonts w:ascii="Arial Narrow" w:hAnsi="Arial Narrow"/>
                <w:b/>
                <w:bCs/>
                <w:sz w:val="16"/>
                <w:szCs w:val="16"/>
              </w:rPr>
              <w:t>20</w:t>
            </w:r>
            <w:r>
              <w:rPr>
                <w:rFonts w:ascii="Arial Narrow" w:hAnsi="Arial Narrow"/>
                <w:b/>
                <w:bCs/>
                <w:sz w:val="16"/>
                <w:szCs w:val="16"/>
              </w:rPr>
              <w:t>1</w:t>
            </w:r>
            <w:r w:rsidR="00A17E97">
              <w:rPr>
                <w:rFonts w:ascii="Arial Narrow" w:hAnsi="Arial Narrow"/>
                <w:b/>
                <w:bCs/>
                <w:sz w:val="16"/>
                <w:szCs w:val="16"/>
              </w:rPr>
              <w:t>5</w:t>
            </w:r>
          </w:p>
        </w:tc>
        <w:tc>
          <w:tcPr>
            <w:tcW w:w="1163" w:type="dxa"/>
            <w:tcBorders>
              <w:top w:val="single" w:sz="4" w:space="0" w:color="auto"/>
              <w:left w:val="nil"/>
              <w:bottom w:val="single" w:sz="4" w:space="0" w:color="auto"/>
              <w:right w:val="single" w:sz="4" w:space="0" w:color="auto"/>
            </w:tcBorders>
            <w:shd w:val="clear" w:color="auto" w:fill="auto"/>
            <w:noWrap/>
          </w:tcPr>
          <w:p w:rsidR="000D0A85" w:rsidRPr="00997622" w:rsidRDefault="000D0A85" w:rsidP="00451ECA">
            <w:pPr>
              <w:spacing w:before="60" w:after="60"/>
              <w:jc w:val="center"/>
              <w:rPr>
                <w:rFonts w:ascii="Arial Narrow" w:hAnsi="Arial Narrow"/>
                <w:b/>
                <w:bCs/>
                <w:sz w:val="16"/>
                <w:szCs w:val="16"/>
              </w:rPr>
            </w:pPr>
            <w:r w:rsidRPr="0015043C">
              <w:rPr>
                <w:rFonts w:ascii="Arial Narrow" w:hAnsi="Arial Narrow"/>
                <w:b/>
                <w:bCs/>
                <w:sz w:val="16"/>
                <w:szCs w:val="16"/>
              </w:rPr>
              <w:t>20</w:t>
            </w:r>
            <w:r>
              <w:rPr>
                <w:rFonts w:ascii="Arial Narrow" w:hAnsi="Arial Narrow"/>
                <w:b/>
                <w:bCs/>
                <w:sz w:val="16"/>
                <w:szCs w:val="16"/>
              </w:rPr>
              <w:t>1</w:t>
            </w:r>
            <w:r w:rsidR="00A17E97">
              <w:rPr>
                <w:rFonts w:ascii="Arial Narrow" w:hAnsi="Arial Narrow"/>
                <w:b/>
                <w:bCs/>
                <w:sz w:val="16"/>
                <w:szCs w:val="16"/>
              </w:rPr>
              <w:t>6</w:t>
            </w:r>
          </w:p>
        </w:tc>
        <w:tc>
          <w:tcPr>
            <w:tcW w:w="1163" w:type="dxa"/>
            <w:tcBorders>
              <w:top w:val="single" w:sz="4" w:space="0" w:color="auto"/>
              <w:left w:val="nil"/>
              <w:bottom w:val="single" w:sz="4" w:space="0" w:color="auto"/>
              <w:right w:val="single" w:sz="4" w:space="0" w:color="auto"/>
            </w:tcBorders>
            <w:shd w:val="clear" w:color="auto" w:fill="auto"/>
            <w:noWrap/>
          </w:tcPr>
          <w:p w:rsidR="000D0A85" w:rsidRPr="0015043C" w:rsidRDefault="000D0A85" w:rsidP="00451ECA">
            <w:pPr>
              <w:spacing w:before="60" w:after="60"/>
              <w:jc w:val="center"/>
              <w:rPr>
                <w:rFonts w:ascii="Arial Narrow" w:hAnsi="Arial Narrow"/>
                <w:b/>
                <w:bCs/>
                <w:sz w:val="16"/>
                <w:szCs w:val="16"/>
              </w:rPr>
            </w:pPr>
            <w:r w:rsidRPr="0015043C">
              <w:rPr>
                <w:rFonts w:ascii="Arial Narrow" w:hAnsi="Arial Narrow"/>
                <w:b/>
                <w:bCs/>
                <w:sz w:val="16"/>
                <w:szCs w:val="16"/>
                <w:lang w:val="en-US"/>
              </w:rPr>
              <w:t>20</w:t>
            </w:r>
            <w:r w:rsidR="00DA3AD7">
              <w:rPr>
                <w:rFonts w:ascii="Arial Narrow" w:hAnsi="Arial Narrow"/>
                <w:b/>
                <w:bCs/>
                <w:sz w:val="16"/>
                <w:szCs w:val="16"/>
              </w:rPr>
              <w:t>1</w:t>
            </w:r>
            <w:r w:rsidR="00A17E97">
              <w:rPr>
                <w:rFonts w:ascii="Arial Narrow" w:hAnsi="Arial Narrow"/>
                <w:b/>
                <w:bCs/>
                <w:sz w:val="16"/>
                <w:szCs w:val="16"/>
              </w:rPr>
              <w:t>7</w:t>
            </w:r>
            <w:r w:rsidRPr="0015043C">
              <w:rPr>
                <w:rFonts w:ascii="Arial Narrow" w:hAnsi="Arial Narrow"/>
                <w:b/>
                <w:bCs/>
                <w:sz w:val="16"/>
                <w:szCs w:val="16"/>
                <w:lang w:val="en-US"/>
              </w:rPr>
              <w:t>*</w:t>
            </w:r>
          </w:p>
        </w:tc>
        <w:tc>
          <w:tcPr>
            <w:tcW w:w="1163" w:type="dxa"/>
            <w:tcBorders>
              <w:top w:val="single" w:sz="4" w:space="0" w:color="auto"/>
              <w:left w:val="nil"/>
              <w:bottom w:val="single" w:sz="4" w:space="0" w:color="auto"/>
              <w:right w:val="single" w:sz="4" w:space="0" w:color="auto"/>
            </w:tcBorders>
            <w:shd w:val="clear" w:color="auto" w:fill="auto"/>
            <w:noWrap/>
          </w:tcPr>
          <w:p w:rsidR="000D0A85" w:rsidRPr="0015043C" w:rsidRDefault="000D0A85" w:rsidP="00451ECA">
            <w:pPr>
              <w:spacing w:before="60" w:after="60"/>
              <w:jc w:val="center"/>
              <w:rPr>
                <w:rFonts w:ascii="Arial Narrow" w:hAnsi="Arial Narrow"/>
                <w:b/>
                <w:bCs/>
                <w:sz w:val="16"/>
                <w:szCs w:val="16"/>
              </w:rPr>
            </w:pPr>
            <w:r w:rsidRPr="0015043C">
              <w:rPr>
                <w:rFonts w:ascii="Arial Narrow" w:hAnsi="Arial Narrow"/>
                <w:b/>
                <w:bCs/>
                <w:sz w:val="16"/>
                <w:szCs w:val="16"/>
              </w:rPr>
              <w:t>201</w:t>
            </w:r>
            <w:r w:rsidR="00A17E97">
              <w:rPr>
                <w:rFonts w:ascii="Arial Narrow" w:hAnsi="Arial Narrow"/>
                <w:b/>
                <w:bCs/>
                <w:sz w:val="16"/>
                <w:szCs w:val="16"/>
              </w:rPr>
              <w:t>8</w:t>
            </w:r>
            <w:r w:rsidRPr="0015043C">
              <w:rPr>
                <w:rFonts w:ascii="Arial Narrow" w:hAnsi="Arial Narrow"/>
                <w:b/>
                <w:bCs/>
                <w:sz w:val="16"/>
                <w:szCs w:val="16"/>
              </w:rPr>
              <w:t>**</w:t>
            </w:r>
          </w:p>
        </w:tc>
      </w:tr>
      <w:tr w:rsidR="000D0A85" w:rsidRPr="0015043C" w:rsidTr="00451ECA">
        <w:tc>
          <w:tcPr>
            <w:tcW w:w="4788" w:type="dxa"/>
            <w:tcBorders>
              <w:top w:val="single" w:sz="4" w:space="0" w:color="auto"/>
              <w:left w:val="single" w:sz="4" w:space="0" w:color="auto"/>
            </w:tcBorders>
            <w:shd w:val="clear" w:color="auto" w:fill="auto"/>
            <w:noWrap/>
            <w:vAlign w:val="bottom"/>
          </w:tcPr>
          <w:p w:rsidR="000D0A85" w:rsidRPr="0015043C" w:rsidRDefault="000D0A85" w:rsidP="00451ECA">
            <w:pPr>
              <w:rPr>
                <w:rFonts w:ascii="Arial" w:hAnsi="Arial"/>
                <w:b/>
                <w:bCs/>
                <w:sz w:val="16"/>
                <w:szCs w:val="20"/>
              </w:rPr>
            </w:pPr>
          </w:p>
        </w:tc>
        <w:tc>
          <w:tcPr>
            <w:tcW w:w="1163" w:type="dxa"/>
            <w:tcBorders>
              <w:top w:val="single" w:sz="4" w:space="0" w:color="auto"/>
            </w:tcBorders>
            <w:shd w:val="clear" w:color="auto" w:fill="auto"/>
            <w:noWrap/>
            <w:vAlign w:val="bottom"/>
          </w:tcPr>
          <w:p w:rsidR="000D0A85" w:rsidRPr="0015043C" w:rsidRDefault="000D0A85" w:rsidP="00451ECA">
            <w:pPr>
              <w:jc w:val="right"/>
              <w:rPr>
                <w:rFonts w:ascii="Arial Narrow" w:hAnsi="Arial Narrow"/>
                <w:b/>
                <w:bCs/>
                <w:sz w:val="16"/>
                <w:szCs w:val="16"/>
              </w:rPr>
            </w:pPr>
          </w:p>
        </w:tc>
        <w:tc>
          <w:tcPr>
            <w:tcW w:w="1163" w:type="dxa"/>
            <w:tcBorders>
              <w:top w:val="single" w:sz="4" w:space="0" w:color="auto"/>
            </w:tcBorders>
            <w:shd w:val="clear" w:color="auto" w:fill="auto"/>
            <w:noWrap/>
            <w:vAlign w:val="bottom"/>
          </w:tcPr>
          <w:p w:rsidR="000D0A85" w:rsidRPr="0015043C" w:rsidRDefault="000D0A85" w:rsidP="00451ECA">
            <w:pPr>
              <w:jc w:val="right"/>
              <w:rPr>
                <w:rFonts w:ascii="Arial Narrow" w:hAnsi="Arial Narrow"/>
                <w:b/>
                <w:bCs/>
                <w:sz w:val="16"/>
                <w:szCs w:val="16"/>
              </w:rPr>
            </w:pPr>
          </w:p>
        </w:tc>
        <w:tc>
          <w:tcPr>
            <w:tcW w:w="1163" w:type="dxa"/>
            <w:tcBorders>
              <w:top w:val="single" w:sz="4" w:space="0" w:color="auto"/>
            </w:tcBorders>
            <w:shd w:val="clear" w:color="auto" w:fill="auto"/>
            <w:noWrap/>
            <w:vAlign w:val="bottom"/>
          </w:tcPr>
          <w:p w:rsidR="000D0A85" w:rsidRPr="0015043C" w:rsidRDefault="000D0A85" w:rsidP="00451ECA">
            <w:pPr>
              <w:jc w:val="right"/>
              <w:rPr>
                <w:rFonts w:ascii="Arial Narrow" w:hAnsi="Arial Narrow"/>
                <w:b/>
                <w:bCs/>
                <w:sz w:val="16"/>
                <w:szCs w:val="16"/>
              </w:rPr>
            </w:pPr>
          </w:p>
        </w:tc>
        <w:tc>
          <w:tcPr>
            <w:tcW w:w="1163" w:type="dxa"/>
            <w:tcBorders>
              <w:top w:val="single" w:sz="4" w:space="0" w:color="auto"/>
              <w:right w:val="single" w:sz="4" w:space="0" w:color="auto"/>
            </w:tcBorders>
            <w:shd w:val="clear" w:color="auto" w:fill="auto"/>
            <w:noWrap/>
            <w:vAlign w:val="bottom"/>
          </w:tcPr>
          <w:p w:rsidR="000D0A85" w:rsidRPr="0015043C" w:rsidRDefault="000D0A85" w:rsidP="00451ECA">
            <w:pPr>
              <w:jc w:val="right"/>
              <w:rPr>
                <w:rFonts w:ascii="Arial Narrow" w:hAnsi="Arial Narrow"/>
                <w:b/>
                <w:bCs/>
                <w:sz w:val="16"/>
                <w:szCs w:val="16"/>
              </w:rPr>
            </w:pPr>
          </w:p>
        </w:tc>
      </w:tr>
      <w:tr w:rsidR="00FD238A" w:rsidRPr="0015043C" w:rsidTr="00FD238A">
        <w:tc>
          <w:tcPr>
            <w:tcW w:w="4788" w:type="dxa"/>
            <w:tcBorders>
              <w:left w:val="single" w:sz="4" w:space="0" w:color="auto"/>
            </w:tcBorders>
            <w:shd w:val="clear" w:color="auto" w:fill="A6A6A6" w:themeFill="background1" w:themeFillShade="A6"/>
            <w:noWrap/>
            <w:vAlign w:val="bottom"/>
          </w:tcPr>
          <w:p w:rsidR="00FD238A" w:rsidRPr="0015043C" w:rsidRDefault="00FD238A" w:rsidP="00451ECA">
            <w:pPr>
              <w:tabs>
                <w:tab w:val="left" w:pos="360"/>
              </w:tabs>
              <w:spacing w:before="40" w:after="40"/>
              <w:rPr>
                <w:rFonts w:ascii="Arial Narrow" w:hAnsi="Arial Narrow"/>
                <w:b/>
                <w:bCs/>
                <w:sz w:val="16"/>
                <w:szCs w:val="16"/>
              </w:rPr>
            </w:pPr>
            <w:r w:rsidRPr="0015043C">
              <w:rPr>
                <w:rFonts w:ascii="Arial" w:hAnsi="Arial"/>
                <w:b/>
                <w:bCs/>
                <w:sz w:val="16"/>
                <w:szCs w:val="20"/>
              </w:rPr>
              <w:t>Α.</w:t>
            </w:r>
            <w:r w:rsidRPr="0015043C">
              <w:rPr>
                <w:rFonts w:ascii="Arial" w:hAnsi="Arial"/>
                <w:b/>
                <w:bCs/>
                <w:sz w:val="16"/>
                <w:szCs w:val="20"/>
              </w:rPr>
              <w:tab/>
            </w:r>
            <w:r w:rsidRPr="0015043C">
              <w:rPr>
                <w:rFonts w:ascii="Arial Narrow" w:hAnsi="Arial Narrow"/>
                <w:b/>
                <w:bCs/>
                <w:sz w:val="16"/>
                <w:szCs w:val="16"/>
              </w:rPr>
              <w:t xml:space="preserve">Χρέος Κεντρικής </w:t>
            </w:r>
            <w:r>
              <w:rPr>
                <w:rFonts w:ascii="Arial Narrow" w:hAnsi="Arial Narrow"/>
                <w:b/>
                <w:bCs/>
                <w:sz w:val="16"/>
                <w:szCs w:val="16"/>
              </w:rPr>
              <w:t>Διοίκησης</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321.332</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326.358</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332.800</w:t>
            </w:r>
          </w:p>
        </w:tc>
        <w:tc>
          <w:tcPr>
            <w:tcW w:w="1163" w:type="dxa"/>
            <w:tcBorders>
              <w:right w:val="single" w:sz="4" w:space="0" w:color="auto"/>
            </w:tcBorders>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343.000</w:t>
            </w:r>
          </w:p>
        </w:tc>
      </w:tr>
      <w:tr w:rsidR="00FD238A" w:rsidRPr="0015043C" w:rsidTr="00FD238A">
        <w:tc>
          <w:tcPr>
            <w:tcW w:w="4788" w:type="dxa"/>
            <w:tcBorders>
              <w:left w:val="single" w:sz="4" w:space="0" w:color="auto"/>
            </w:tcBorders>
            <w:shd w:val="clear" w:color="auto" w:fill="auto"/>
            <w:noWrap/>
            <w:vAlign w:val="bottom"/>
          </w:tcPr>
          <w:p w:rsidR="00FD238A" w:rsidRPr="006A2A00" w:rsidRDefault="00FD238A" w:rsidP="00451ECA">
            <w:pPr>
              <w:tabs>
                <w:tab w:val="left" w:pos="360"/>
              </w:tabs>
              <w:spacing w:before="40" w:after="40"/>
              <w:rPr>
                <w:rFonts w:ascii="Arial Narrow" w:hAnsi="Arial Narrow"/>
                <w:sz w:val="16"/>
                <w:szCs w:val="16"/>
              </w:rPr>
            </w:pPr>
            <w:r>
              <w:rPr>
                <w:rFonts w:ascii="Arial" w:hAnsi="Arial"/>
                <w:sz w:val="16"/>
                <w:szCs w:val="20"/>
              </w:rPr>
              <w:t>Β</w:t>
            </w:r>
            <w:r w:rsidRPr="0015043C">
              <w:rPr>
                <w:rFonts w:ascii="Arial" w:hAnsi="Arial"/>
                <w:sz w:val="16"/>
                <w:szCs w:val="20"/>
              </w:rPr>
              <w:tab/>
            </w:r>
            <w:r w:rsidRPr="0015043C">
              <w:rPr>
                <w:rFonts w:ascii="Arial Narrow" w:hAnsi="Arial Narrow"/>
                <w:sz w:val="16"/>
                <w:szCs w:val="16"/>
              </w:rPr>
              <w:t xml:space="preserve">Χρέος ΝΠΔΔ, </w:t>
            </w:r>
            <w:r>
              <w:rPr>
                <w:rFonts w:ascii="Arial Narrow" w:hAnsi="Arial Narrow"/>
                <w:sz w:val="16"/>
                <w:szCs w:val="16"/>
              </w:rPr>
              <w:t>κέρματα κ.λπ. μείον επενδύσεις σε τίτλους ΕΔ</w:t>
            </w:r>
          </w:p>
        </w:tc>
        <w:tc>
          <w:tcPr>
            <w:tcW w:w="1163" w:type="dxa"/>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2.071</w:t>
            </w:r>
          </w:p>
        </w:tc>
        <w:tc>
          <w:tcPr>
            <w:tcW w:w="1163" w:type="dxa"/>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607</w:t>
            </w:r>
          </w:p>
        </w:tc>
        <w:tc>
          <w:tcPr>
            <w:tcW w:w="1163" w:type="dxa"/>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-500</w:t>
            </w:r>
          </w:p>
        </w:tc>
        <w:tc>
          <w:tcPr>
            <w:tcW w:w="1163" w:type="dxa"/>
            <w:tcBorders>
              <w:right w:val="single" w:sz="4" w:space="0" w:color="auto"/>
            </w:tcBorders>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1.000</w:t>
            </w:r>
          </w:p>
        </w:tc>
      </w:tr>
      <w:tr w:rsidR="00FD238A" w:rsidRPr="0015043C" w:rsidTr="00FD238A">
        <w:tc>
          <w:tcPr>
            <w:tcW w:w="4788" w:type="dxa"/>
            <w:tcBorders>
              <w:left w:val="single" w:sz="4" w:space="0" w:color="auto"/>
            </w:tcBorders>
            <w:shd w:val="clear" w:color="auto" w:fill="A6A6A6" w:themeFill="background1" w:themeFillShade="A6"/>
            <w:noWrap/>
            <w:vAlign w:val="bottom"/>
          </w:tcPr>
          <w:p w:rsidR="00FD238A" w:rsidRPr="0015043C" w:rsidRDefault="00FD238A" w:rsidP="00451ECA">
            <w:pPr>
              <w:tabs>
                <w:tab w:val="left" w:pos="360"/>
              </w:tabs>
              <w:spacing w:before="40" w:after="40"/>
              <w:rPr>
                <w:rFonts w:ascii="Arial Narrow" w:hAnsi="Arial Narrow"/>
                <w:b/>
                <w:bCs/>
                <w:sz w:val="16"/>
                <w:szCs w:val="16"/>
              </w:rPr>
            </w:pPr>
            <w:r w:rsidRPr="0015043C">
              <w:rPr>
                <w:rFonts w:ascii="Arial" w:hAnsi="Arial"/>
                <w:b/>
                <w:bCs/>
                <w:sz w:val="16"/>
                <w:szCs w:val="20"/>
              </w:rPr>
              <w:t>Γ.</w:t>
            </w:r>
            <w:r w:rsidRPr="0015043C">
              <w:rPr>
                <w:rFonts w:ascii="Arial" w:hAnsi="Arial"/>
                <w:b/>
                <w:bCs/>
                <w:sz w:val="16"/>
                <w:szCs w:val="20"/>
              </w:rPr>
              <w:tab/>
            </w:r>
            <w:r w:rsidRPr="0015043C">
              <w:rPr>
                <w:rFonts w:ascii="Arial Narrow" w:hAnsi="Arial Narrow"/>
                <w:b/>
                <w:bCs/>
                <w:sz w:val="16"/>
                <w:szCs w:val="16"/>
              </w:rPr>
              <w:t>Χρέος Κεντρικής Κυβέρνησης κατά ESA (A+B)</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323.403</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326.965</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332.300</w:t>
            </w:r>
          </w:p>
        </w:tc>
        <w:tc>
          <w:tcPr>
            <w:tcW w:w="1163" w:type="dxa"/>
            <w:tcBorders>
              <w:right w:val="single" w:sz="4" w:space="0" w:color="auto"/>
            </w:tcBorders>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344.000</w:t>
            </w:r>
          </w:p>
        </w:tc>
      </w:tr>
      <w:tr w:rsidR="00FD238A" w:rsidRPr="0015043C" w:rsidTr="00FD238A">
        <w:tc>
          <w:tcPr>
            <w:tcW w:w="4788" w:type="dxa"/>
            <w:tcBorders>
              <w:left w:val="single" w:sz="4" w:space="0" w:color="auto"/>
            </w:tcBorders>
            <w:shd w:val="clear" w:color="auto" w:fill="auto"/>
            <w:noWrap/>
            <w:vAlign w:val="bottom"/>
          </w:tcPr>
          <w:p w:rsidR="00FD238A" w:rsidRPr="0015043C" w:rsidRDefault="00FD238A" w:rsidP="00451ECA">
            <w:pPr>
              <w:tabs>
                <w:tab w:val="left" w:pos="360"/>
              </w:tabs>
              <w:spacing w:before="40" w:after="40"/>
              <w:rPr>
                <w:rFonts w:ascii="Arial Narrow" w:hAnsi="Arial Narrow"/>
                <w:sz w:val="16"/>
                <w:szCs w:val="16"/>
              </w:rPr>
            </w:pPr>
            <w:r>
              <w:rPr>
                <w:rFonts w:ascii="Arial" w:hAnsi="Arial"/>
                <w:sz w:val="16"/>
                <w:szCs w:val="20"/>
              </w:rPr>
              <w:t>Δ</w:t>
            </w:r>
            <w:r w:rsidRPr="0015043C">
              <w:rPr>
                <w:rFonts w:ascii="Arial" w:hAnsi="Arial"/>
                <w:sz w:val="16"/>
                <w:szCs w:val="20"/>
              </w:rPr>
              <w:tab/>
            </w:r>
            <w:r w:rsidRPr="0015043C">
              <w:rPr>
                <w:rFonts w:ascii="Arial Narrow" w:hAnsi="Arial Narrow"/>
                <w:sz w:val="16"/>
                <w:szCs w:val="16"/>
              </w:rPr>
              <w:t>Χρέος ΟΤΑ, OKA</w:t>
            </w:r>
            <w:r>
              <w:rPr>
                <w:rFonts w:ascii="Arial Narrow" w:hAnsi="Arial Narrow"/>
                <w:sz w:val="16"/>
                <w:szCs w:val="16"/>
              </w:rPr>
              <w:t xml:space="preserve"> μείον ενδοκυβερνητικό χρέος</w:t>
            </w:r>
          </w:p>
        </w:tc>
        <w:tc>
          <w:tcPr>
            <w:tcW w:w="1163" w:type="dxa"/>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-11.640</w:t>
            </w:r>
          </w:p>
        </w:tc>
        <w:tc>
          <w:tcPr>
            <w:tcW w:w="1163" w:type="dxa"/>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-11.929</w:t>
            </w:r>
          </w:p>
        </w:tc>
        <w:tc>
          <w:tcPr>
            <w:tcW w:w="1163" w:type="dxa"/>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-14.000</w:t>
            </w:r>
          </w:p>
        </w:tc>
        <w:tc>
          <w:tcPr>
            <w:tcW w:w="1163" w:type="dxa"/>
            <w:tcBorders>
              <w:right w:val="single" w:sz="4" w:space="0" w:color="auto"/>
            </w:tcBorders>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-12.000</w:t>
            </w:r>
          </w:p>
        </w:tc>
      </w:tr>
      <w:tr w:rsidR="00FD238A" w:rsidRPr="0015043C" w:rsidTr="00FD238A">
        <w:tc>
          <w:tcPr>
            <w:tcW w:w="4788" w:type="dxa"/>
            <w:tcBorders>
              <w:left w:val="single" w:sz="4" w:space="0" w:color="auto"/>
            </w:tcBorders>
            <w:shd w:val="clear" w:color="auto" w:fill="A6A6A6" w:themeFill="background1" w:themeFillShade="A6"/>
            <w:noWrap/>
            <w:vAlign w:val="bottom"/>
          </w:tcPr>
          <w:p w:rsidR="00FD238A" w:rsidRPr="0015043C" w:rsidRDefault="00FD238A" w:rsidP="00451ECA">
            <w:pPr>
              <w:tabs>
                <w:tab w:val="left" w:pos="360"/>
              </w:tabs>
              <w:spacing w:before="40" w:after="40"/>
              <w:rPr>
                <w:rFonts w:ascii="Arial Narrow" w:hAnsi="Arial Narrow"/>
                <w:b/>
                <w:bCs/>
                <w:sz w:val="16"/>
                <w:szCs w:val="16"/>
              </w:rPr>
            </w:pPr>
            <w:r w:rsidRPr="0015043C">
              <w:rPr>
                <w:rFonts w:ascii="Arial" w:hAnsi="Arial"/>
                <w:b/>
                <w:bCs/>
                <w:sz w:val="16"/>
                <w:szCs w:val="20"/>
              </w:rPr>
              <w:t>Ε.</w:t>
            </w:r>
            <w:r w:rsidRPr="0015043C">
              <w:rPr>
                <w:rFonts w:ascii="Arial" w:hAnsi="Arial"/>
                <w:b/>
                <w:bCs/>
                <w:sz w:val="16"/>
                <w:szCs w:val="20"/>
              </w:rPr>
              <w:tab/>
            </w:r>
            <w:r w:rsidRPr="0015043C">
              <w:rPr>
                <w:rFonts w:ascii="Arial Narrow" w:hAnsi="Arial Narrow"/>
                <w:b/>
                <w:bCs/>
                <w:sz w:val="16"/>
                <w:szCs w:val="16"/>
              </w:rPr>
              <w:t>Χρέος Γενικής Κυβέρνησης (Γ+Δ)</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311.763</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315.036</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318.300</w:t>
            </w:r>
          </w:p>
        </w:tc>
        <w:tc>
          <w:tcPr>
            <w:tcW w:w="1163" w:type="dxa"/>
            <w:tcBorders>
              <w:right w:val="single" w:sz="4" w:space="0" w:color="auto"/>
            </w:tcBorders>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332.000</w:t>
            </w:r>
          </w:p>
        </w:tc>
      </w:tr>
      <w:tr w:rsidR="00FD238A" w:rsidRPr="0015043C" w:rsidTr="00FD238A">
        <w:tc>
          <w:tcPr>
            <w:tcW w:w="4788" w:type="dxa"/>
            <w:tcBorders>
              <w:left w:val="single" w:sz="4" w:space="0" w:color="auto"/>
            </w:tcBorders>
            <w:shd w:val="clear" w:color="auto" w:fill="A6A6A6" w:themeFill="background1" w:themeFillShade="A6"/>
            <w:noWrap/>
            <w:vAlign w:val="bottom"/>
          </w:tcPr>
          <w:p w:rsidR="00FD238A" w:rsidRPr="0015043C" w:rsidRDefault="00FD238A" w:rsidP="00451ECA">
            <w:pPr>
              <w:tabs>
                <w:tab w:val="left" w:pos="360"/>
              </w:tabs>
              <w:spacing w:before="40" w:after="40"/>
              <w:rPr>
                <w:rFonts w:ascii="Arial Narrow" w:hAnsi="Arial Narrow"/>
                <w:sz w:val="16"/>
                <w:szCs w:val="16"/>
              </w:rPr>
            </w:pPr>
            <w:r w:rsidRPr="0015043C">
              <w:rPr>
                <w:rFonts w:ascii="Arial Narrow" w:hAnsi="Arial Narrow"/>
                <w:sz w:val="16"/>
                <w:szCs w:val="16"/>
              </w:rPr>
              <w:t> </w:t>
            </w:r>
            <w:r w:rsidRPr="0015043C">
              <w:rPr>
                <w:rFonts w:ascii="Arial Narrow" w:hAnsi="Arial Narrow"/>
                <w:sz w:val="16"/>
                <w:szCs w:val="16"/>
              </w:rPr>
              <w:tab/>
            </w:r>
            <w:r w:rsidRPr="0015043C">
              <w:rPr>
                <w:rFonts w:ascii="Arial Narrow" w:hAnsi="Arial Narrow"/>
                <w:b/>
                <w:bCs/>
                <w:sz w:val="16"/>
                <w:szCs w:val="16"/>
              </w:rPr>
              <w:t>(ως % του ΑΕΠ)</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176,8%</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180,8%</w:t>
            </w:r>
          </w:p>
        </w:tc>
        <w:tc>
          <w:tcPr>
            <w:tcW w:w="1163" w:type="dxa"/>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178,2%</w:t>
            </w:r>
          </w:p>
        </w:tc>
        <w:tc>
          <w:tcPr>
            <w:tcW w:w="1163" w:type="dxa"/>
            <w:tcBorders>
              <w:right w:val="single" w:sz="4" w:space="0" w:color="auto"/>
            </w:tcBorders>
            <w:shd w:val="clear" w:color="auto" w:fill="A6A6A6" w:themeFill="background1" w:themeFillShade="A6"/>
            <w:noWrap/>
            <w:vAlign w:val="center"/>
          </w:tcPr>
          <w:p w:rsidR="00FD238A" w:rsidRDefault="00FD238A" w:rsidP="00FD238A">
            <w:pPr>
              <w:ind w:right="227"/>
              <w:jc w:val="right"/>
              <w:rPr>
                <w:rFonts w:ascii="Arial Narrow" w:hAnsi="Arial Narrow" w:cs="Arial"/>
                <w:b/>
                <w:bCs/>
                <w:sz w:val="16"/>
                <w:szCs w:val="16"/>
              </w:rPr>
            </w:pPr>
            <w:r>
              <w:rPr>
                <w:rFonts w:ascii="Arial Narrow" w:hAnsi="Arial Narrow" w:cs="Arial"/>
                <w:b/>
                <w:bCs/>
                <w:sz w:val="16"/>
                <w:szCs w:val="16"/>
              </w:rPr>
              <w:t>179,8%</w:t>
            </w:r>
          </w:p>
        </w:tc>
      </w:tr>
      <w:tr w:rsidR="00FD238A" w:rsidRPr="0015043C" w:rsidTr="00FD238A">
        <w:tc>
          <w:tcPr>
            <w:tcW w:w="4788" w:type="dxa"/>
            <w:tcBorders>
              <w:left w:val="single" w:sz="4" w:space="0" w:color="auto"/>
              <w:bottom w:val="single" w:sz="4" w:space="0" w:color="auto"/>
            </w:tcBorders>
            <w:shd w:val="clear" w:color="auto" w:fill="auto"/>
            <w:noWrap/>
            <w:vAlign w:val="bottom"/>
          </w:tcPr>
          <w:p w:rsidR="00FD238A" w:rsidRPr="0015043C" w:rsidRDefault="00FD238A" w:rsidP="00451ECA">
            <w:pPr>
              <w:spacing w:before="40" w:after="40"/>
              <w:rPr>
                <w:rFonts w:ascii="Arial Narrow" w:hAnsi="Arial Narrow"/>
                <w:sz w:val="16"/>
                <w:szCs w:val="16"/>
              </w:rPr>
            </w:pPr>
            <w:r w:rsidRPr="0015043C">
              <w:rPr>
                <w:rFonts w:ascii="Arial Narrow" w:hAnsi="Arial Narrow"/>
                <w:sz w:val="16"/>
                <w:szCs w:val="16"/>
              </w:rPr>
              <w:t>ΑΕΠ</w:t>
            </w:r>
          </w:p>
        </w:tc>
        <w:tc>
          <w:tcPr>
            <w:tcW w:w="1163" w:type="dxa"/>
            <w:tcBorders>
              <w:bottom w:val="single" w:sz="4" w:space="0" w:color="auto"/>
            </w:tcBorders>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176.312</w:t>
            </w:r>
          </w:p>
        </w:tc>
        <w:tc>
          <w:tcPr>
            <w:tcW w:w="1163" w:type="dxa"/>
            <w:tcBorders>
              <w:bottom w:val="single" w:sz="4" w:space="0" w:color="auto"/>
            </w:tcBorders>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174.199</w:t>
            </w:r>
          </w:p>
        </w:tc>
        <w:tc>
          <w:tcPr>
            <w:tcW w:w="1163" w:type="dxa"/>
            <w:tcBorders>
              <w:bottom w:val="single" w:sz="4" w:space="0" w:color="auto"/>
            </w:tcBorders>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178.579</w:t>
            </w:r>
          </w:p>
        </w:tc>
        <w:tc>
          <w:tcPr>
            <w:tcW w:w="1163" w:type="dxa"/>
            <w:tcBorders>
              <w:bottom w:val="single" w:sz="4" w:space="0" w:color="auto"/>
              <w:right w:val="single" w:sz="4" w:space="0" w:color="auto"/>
            </w:tcBorders>
            <w:shd w:val="clear" w:color="auto" w:fill="auto"/>
            <w:noWrap/>
            <w:vAlign w:val="center"/>
          </w:tcPr>
          <w:p w:rsidR="00FD238A" w:rsidRDefault="00FD238A" w:rsidP="00FD238A">
            <w:pPr>
              <w:ind w:right="227"/>
              <w:jc w:val="right"/>
              <w:rPr>
                <w:rFonts w:ascii="Arial Narrow" w:hAnsi="Arial Narrow" w:cs="Arial"/>
                <w:sz w:val="16"/>
                <w:szCs w:val="16"/>
              </w:rPr>
            </w:pPr>
            <w:r>
              <w:rPr>
                <w:rFonts w:ascii="Arial Narrow" w:hAnsi="Arial Narrow" w:cs="Arial"/>
                <w:sz w:val="16"/>
                <w:szCs w:val="16"/>
              </w:rPr>
              <w:t>184.691</w:t>
            </w:r>
          </w:p>
        </w:tc>
      </w:tr>
    </w:tbl>
    <w:p w:rsidR="000D0A85" w:rsidRPr="005E6798" w:rsidRDefault="000D0A85" w:rsidP="000D0A85">
      <w:pPr>
        <w:tabs>
          <w:tab w:val="left" w:pos="426"/>
        </w:tabs>
        <w:spacing w:line="228" w:lineRule="auto"/>
        <w:ind w:left="426" w:right="-285" w:hanging="426"/>
        <w:jc w:val="both"/>
        <w:rPr>
          <w:rFonts w:ascii="Arial Narrow" w:hAnsi="Arial Narrow"/>
          <w:sz w:val="18"/>
          <w:szCs w:val="16"/>
        </w:rPr>
      </w:pPr>
      <w:r w:rsidRPr="005E6798">
        <w:rPr>
          <w:rFonts w:ascii="Arial Narrow" w:hAnsi="Arial Narrow"/>
          <w:sz w:val="18"/>
          <w:szCs w:val="16"/>
        </w:rPr>
        <w:t>*</w:t>
      </w:r>
      <w:r w:rsidRPr="005E6798">
        <w:rPr>
          <w:rFonts w:ascii="Arial Narrow" w:hAnsi="Arial Narrow"/>
          <w:sz w:val="18"/>
          <w:szCs w:val="16"/>
        </w:rPr>
        <w:tab/>
        <w:t>Εκτιμήσεις</w:t>
      </w:r>
      <w:r w:rsidR="00DA3AD7">
        <w:rPr>
          <w:rFonts w:ascii="Arial Narrow" w:hAnsi="Arial Narrow"/>
          <w:sz w:val="18"/>
          <w:szCs w:val="16"/>
          <w:lang w:val="en-GB"/>
        </w:rPr>
        <w:t xml:space="preserve"> </w:t>
      </w:r>
      <w:r w:rsidRPr="005E6798">
        <w:rPr>
          <w:rFonts w:ascii="Arial Narrow" w:hAnsi="Arial Narrow"/>
          <w:sz w:val="18"/>
          <w:szCs w:val="16"/>
        </w:rPr>
        <w:t xml:space="preserve"> **</w:t>
      </w:r>
      <w:r w:rsidRPr="005E6798">
        <w:rPr>
          <w:rFonts w:ascii="Arial Narrow" w:hAnsi="Arial Narrow"/>
          <w:sz w:val="18"/>
          <w:szCs w:val="16"/>
        </w:rPr>
        <w:tab/>
        <w:t>Προβλέψεις</w:t>
      </w:r>
    </w:p>
    <w:p w:rsidR="000D0A85" w:rsidRPr="00666622" w:rsidRDefault="000D0A85" w:rsidP="000D0A85">
      <w:pPr>
        <w:tabs>
          <w:tab w:val="left" w:pos="180"/>
        </w:tabs>
        <w:jc w:val="both"/>
        <w:rPr>
          <w:rFonts w:ascii="Arial Narrow" w:hAnsi="Arial Narrow"/>
          <w:sz w:val="18"/>
          <w:szCs w:val="16"/>
        </w:rPr>
      </w:pPr>
      <w:r w:rsidRPr="00666622">
        <w:rPr>
          <w:rFonts w:ascii="Arial Narrow" w:hAnsi="Arial Narrow"/>
          <w:sz w:val="18"/>
          <w:szCs w:val="16"/>
        </w:rPr>
        <w:t xml:space="preserve">Πηγή:  </w:t>
      </w:r>
      <w:r w:rsidR="00B013CD">
        <w:rPr>
          <w:rFonts w:ascii="Arial Narrow" w:hAnsi="Arial Narrow"/>
          <w:sz w:val="16"/>
          <w:szCs w:val="16"/>
        </w:rPr>
        <w:t>ΟΔΔΗΧ</w:t>
      </w:r>
    </w:p>
    <w:p w:rsidR="000D0A85" w:rsidRPr="0015043C" w:rsidRDefault="000D0A85" w:rsidP="000D0A85">
      <w:pPr>
        <w:tabs>
          <w:tab w:val="left" w:pos="180"/>
        </w:tabs>
        <w:jc w:val="both"/>
        <w:rPr>
          <w:rFonts w:ascii="Arial Narrow" w:hAnsi="Arial Narrow"/>
          <w:sz w:val="16"/>
          <w:szCs w:val="16"/>
        </w:rPr>
      </w:pPr>
    </w:p>
    <w:p w:rsidR="00CD1DAB" w:rsidRDefault="00CD1DAB" w:rsidP="000D0A85">
      <w:pPr>
        <w:tabs>
          <w:tab w:val="left" w:pos="180"/>
        </w:tabs>
        <w:jc w:val="both"/>
        <w:rPr>
          <w:b/>
          <w:bCs/>
          <w:sz w:val="22"/>
          <w:szCs w:val="22"/>
        </w:rPr>
      </w:pPr>
    </w:p>
    <w:p w:rsidR="00CD1DAB" w:rsidRPr="006A2A00" w:rsidRDefault="00CD1DAB" w:rsidP="000D0A85">
      <w:pPr>
        <w:tabs>
          <w:tab w:val="left" w:pos="180"/>
        </w:tabs>
        <w:jc w:val="both"/>
        <w:rPr>
          <w:b/>
          <w:bCs/>
          <w:sz w:val="22"/>
          <w:szCs w:val="22"/>
        </w:rPr>
      </w:pPr>
    </w:p>
    <w:p w:rsidR="000D0A85" w:rsidRPr="006A2A00" w:rsidRDefault="000D0A85" w:rsidP="000D0A85">
      <w:pPr>
        <w:shd w:val="clear" w:color="auto" w:fill="595959" w:themeFill="text1" w:themeFillTint="A6"/>
        <w:jc w:val="both"/>
        <w:rPr>
          <w:rFonts w:ascii="Arial Narrow" w:hAnsi="Arial Narrow"/>
          <w:b/>
          <w:bCs/>
          <w:color w:val="FFFFFF"/>
          <w:sz w:val="26"/>
          <w:szCs w:val="22"/>
        </w:rPr>
      </w:pPr>
      <w:r w:rsidRPr="006A2A00">
        <w:rPr>
          <w:rFonts w:ascii="Arial Narrow" w:hAnsi="Arial Narrow"/>
          <w:b/>
          <w:bCs/>
          <w:color w:val="FFFFFF"/>
          <w:sz w:val="26"/>
          <w:szCs w:val="22"/>
        </w:rPr>
        <w:t>2.</w:t>
      </w:r>
      <w:r w:rsidRPr="006A2A00">
        <w:rPr>
          <w:rFonts w:ascii="Arial Narrow" w:hAnsi="Arial Narrow"/>
          <w:b/>
          <w:bCs/>
          <w:color w:val="FFFFFF"/>
          <w:sz w:val="26"/>
          <w:szCs w:val="22"/>
        </w:rPr>
        <w:tab/>
        <w:t>Εξέλιξη δημ</w:t>
      </w:r>
      <w:r>
        <w:rPr>
          <w:rFonts w:ascii="Arial Narrow" w:hAnsi="Arial Narrow"/>
          <w:b/>
          <w:bCs/>
          <w:color w:val="FFFFFF"/>
          <w:sz w:val="26"/>
          <w:szCs w:val="22"/>
        </w:rPr>
        <w:t>όσιου</w:t>
      </w:r>
      <w:r w:rsidRPr="006A2A00">
        <w:rPr>
          <w:rFonts w:ascii="Arial Narrow" w:hAnsi="Arial Narrow"/>
          <w:b/>
          <w:bCs/>
          <w:color w:val="FFFFFF"/>
          <w:sz w:val="26"/>
          <w:szCs w:val="22"/>
        </w:rPr>
        <w:t xml:space="preserve"> χρέους</w:t>
      </w:r>
      <w:r>
        <w:rPr>
          <w:rFonts w:ascii="Arial Narrow" w:hAnsi="Arial Narrow"/>
          <w:b/>
          <w:bCs/>
          <w:color w:val="FFFFFF"/>
          <w:sz w:val="26"/>
          <w:szCs w:val="22"/>
        </w:rPr>
        <w:t xml:space="preserve"> Γενικής Κυβέρνησης</w:t>
      </w:r>
    </w:p>
    <w:p w:rsidR="000D0A85" w:rsidRPr="006A2A00" w:rsidRDefault="000D0A85" w:rsidP="000D0A85">
      <w:pPr>
        <w:jc w:val="both"/>
        <w:rPr>
          <w:sz w:val="22"/>
          <w:szCs w:val="22"/>
        </w:rPr>
      </w:pPr>
    </w:p>
    <w:p w:rsidR="000D0A85" w:rsidRDefault="000D0A85" w:rsidP="000D0A85">
      <w:pPr>
        <w:autoSpaceDE w:val="0"/>
        <w:autoSpaceDN w:val="0"/>
        <w:adjustRightInd w:val="0"/>
        <w:jc w:val="both"/>
        <w:rPr>
          <w:sz w:val="22"/>
          <w:szCs w:val="22"/>
        </w:rPr>
      </w:pPr>
    </w:p>
    <w:p w:rsidR="002A762E" w:rsidRPr="002A762E" w:rsidRDefault="002A762E" w:rsidP="002A762E">
      <w:pPr>
        <w:autoSpaceDE w:val="0"/>
        <w:autoSpaceDN w:val="0"/>
        <w:adjustRightInd w:val="0"/>
        <w:jc w:val="both"/>
        <w:rPr>
          <w:sz w:val="22"/>
          <w:szCs w:val="22"/>
        </w:rPr>
      </w:pPr>
      <w:r w:rsidRPr="002A762E">
        <w:rPr>
          <w:sz w:val="22"/>
          <w:szCs w:val="22"/>
        </w:rPr>
        <w:t xml:space="preserve">Το χρέος της </w:t>
      </w:r>
      <w:r w:rsidR="00630D63">
        <w:rPr>
          <w:sz w:val="22"/>
          <w:szCs w:val="22"/>
        </w:rPr>
        <w:t>Γ</w:t>
      </w:r>
      <w:r w:rsidRPr="002A762E">
        <w:rPr>
          <w:sz w:val="22"/>
          <w:szCs w:val="22"/>
        </w:rPr>
        <w:t xml:space="preserve">ενικής </w:t>
      </w:r>
      <w:r w:rsidR="00630D63">
        <w:rPr>
          <w:sz w:val="22"/>
          <w:szCs w:val="22"/>
        </w:rPr>
        <w:t>Κ</w:t>
      </w:r>
      <w:r w:rsidRPr="002A762E">
        <w:rPr>
          <w:sz w:val="22"/>
          <w:szCs w:val="22"/>
        </w:rPr>
        <w:t>υβέρνησης από 31/12/2016 μέχρι 31/12/2017 εκτιμάται ότι θα αυξηθεί κατά 3.264 εκατ. ευρώ, ενώ για το διάστημα από 31/12/2017 μέχρι 31/12/2018 προβλέπεται ότι θα αυξηθεί κατά 13.700 εκατ. ευρώ. Οι αυξήσεις αυτές οφείλονται κυρίως στη δημιουργία ταμειακών διαθεσίμων ασφαλείας (</w:t>
      </w:r>
      <w:proofErr w:type="spellStart"/>
      <w:r w:rsidRPr="002A762E">
        <w:rPr>
          <w:sz w:val="22"/>
          <w:szCs w:val="22"/>
        </w:rPr>
        <w:t>cash</w:t>
      </w:r>
      <w:proofErr w:type="spellEnd"/>
      <w:r w:rsidRPr="002A762E">
        <w:rPr>
          <w:sz w:val="22"/>
          <w:szCs w:val="22"/>
        </w:rPr>
        <w:t xml:space="preserve"> </w:t>
      </w:r>
      <w:proofErr w:type="spellStart"/>
      <w:r w:rsidRPr="002A762E">
        <w:rPr>
          <w:sz w:val="22"/>
          <w:szCs w:val="22"/>
        </w:rPr>
        <w:t>buffer</w:t>
      </w:r>
      <w:proofErr w:type="spellEnd"/>
      <w:r w:rsidRPr="002A762E">
        <w:rPr>
          <w:sz w:val="22"/>
          <w:szCs w:val="22"/>
        </w:rPr>
        <w:t xml:space="preserve">) μέσω του </w:t>
      </w:r>
      <w:r w:rsidRPr="002A762E">
        <w:rPr>
          <w:sz w:val="22"/>
          <w:szCs w:val="22"/>
          <w:lang w:val="en-US"/>
        </w:rPr>
        <w:t>ESM</w:t>
      </w:r>
      <w:r w:rsidRPr="002A762E">
        <w:rPr>
          <w:sz w:val="22"/>
          <w:szCs w:val="22"/>
        </w:rPr>
        <w:t xml:space="preserve"> και τη χρηματοδότηση ληξιπρόθεσμων υποχρεώσεων (πίν</w:t>
      </w:r>
      <w:r w:rsidRPr="002A762E">
        <w:rPr>
          <w:sz w:val="22"/>
          <w:szCs w:val="22"/>
        </w:rPr>
        <w:t>α</w:t>
      </w:r>
      <w:r w:rsidRPr="002A762E">
        <w:rPr>
          <w:sz w:val="22"/>
          <w:szCs w:val="22"/>
        </w:rPr>
        <w:t xml:space="preserve">κας 4.3). </w:t>
      </w:r>
    </w:p>
    <w:p w:rsidR="000D0A85" w:rsidRDefault="000D0A85" w:rsidP="000D0A85">
      <w:pPr>
        <w:autoSpaceDE w:val="0"/>
        <w:autoSpaceDN w:val="0"/>
        <w:adjustRightInd w:val="0"/>
        <w:jc w:val="both"/>
        <w:rPr>
          <w:sz w:val="22"/>
          <w:szCs w:val="22"/>
        </w:rPr>
      </w:pPr>
    </w:p>
    <w:p w:rsidR="00155EE5" w:rsidRPr="0015043C" w:rsidRDefault="00155EE5" w:rsidP="000D0A85">
      <w:pPr>
        <w:autoSpaceDE w:val="0"/>
        <w:autoSpaceDN w:val="0"/>
        <w:adjustRightInd w:val="0"/>
        <w:jc w:val="both"/>
        <w:rPr>
          <w:sz w:val="22"/>
          <w:szCs w:val="22"/>
        </w:rPr>
      </w:pPr>
    </w:p>
    <w:tbl>
      <w:tblPr>
        <w:tblW w:w="8432" w:type="dxa"/>
        <w:jc w:val="center"/>
        <w:tblLayout w:type="fixed"/>
        <w:tblLook w:val="0000"/>
      </w:tblPr>
      <w:tblGrid>
        <w:gridCol w:w="4608"/>
        <w:gridCol w:w="1559"/>
        <w:gridCol w:w="1389"/>
        <w:gridCol w:w="876"/>
      </w:tblGrid>
      <w:tr w:rsidR="000D0A85" w:rsidRPr="0015043C" w:rsidTr="00F82344">
        <w:trPr>
          <w:trHeight w:val="520"/>
          <w:jc w:val="center"/>
        </w:trPr>
        <w:tc>
          <w:tcPr>
            <w:tcW w:w="8432" w:type="dxa"/>
            <w:gridSpan w:val="4"/>
            <w:tcBorders>
              <w:top w:val="single" w:sz="4" w:space="0" w:color="auto"/>
              <w:left w:val="single" w:sz="4" w:space="0" w:color="auto"/>
              <w:right w:val="single" w:sz="4" w:space="0" w:color="auto"/>
            </w:tcBorders>
            <w:shd w:val="clear" w:color="auto" w:fill="404040" w:themeFill="text1" w:themeFillTint="BF"/>
            <w:noWrap/>
            <w:tcMar>
              <w:left w:w="28" w:type="dxa"/>
              <w:right w:w="28" w:type="dxa"/>
            </w:tcMar>
            <w:vAlign w:val="center"/>
          </w:tcPr>
          <w:p w:rsidR="000D0A85" w:rsidRPr="006A2A00" w:rsidRDefault="000D0A85" w:rsidP="00451ECA">
            <w:pPr>
              <w:spacing w:before="120"/>
              <w:jc w:val="center"/>
              <w:rPr>
                <w:rFonts w:ascii="Arial Narrow" w:hAnsi="Arial Narrow"/>
                <w:b/>
                <w:bCs/>
                <w:color w:val="FFFFFF"/>
                <w:szCs w:val="16"/>
              </w:rPr>
            </w:pPr>
            <w:r>
              <w:rPr>
                <w:rFonts w:ascii="Arial Narrow" w:hAnsi="Arial Narrow"/>
                <w:b/>
                <w:bCs/>
                <w:color w:val="FFFFFF"/>
                <w:szCs w:val="16"/>
              </w:rPr>
              <w:t>Πίνακας 4</w:t>
            </w:r>
            <w:r w:rsidRPr="006A2A00">
              <w:rPr>
                <w:rFonts w:ascii="Arial Narrow" w:hAnsi="Arial Narrow"/>
                <w:b/>
                <w:bCs/>
                <w:color w:val="FFFFFF"/>
                <w:szCs w:val="16"/>
              </w:rPr>
              <w:t>.3  Εξέλιξη δημ</w:t>
            </w:r>
            <w:r>
              <w:rPr>
                <w:rFonts w:ascii="Arial Narrow" w:hAnsi="Arial Narrow"/>
                <w:b/>
                <w:bCs/>
                <w:color w:val="FFFFFF"/>
                <w:szCs w:val="16"/>
              </w:rPr>
              <w:t>όσιου</w:t>
            </w:r>
            <w:r w:rsidRPr="006A2A00">
              <w:rPr>
                <w:rFonts w:ascii="Arial Narrow" w:hAnsi="Arial Narrow"/>
                <w:b/>
                <w:bCs/>
                <w:color w:val="FFFFFF"/>
                <w:szCs w:val="16"/>
              </w:rPr>
              <w:t xml:space="preserve"> χρέους</w:t>
            </w:r>
            <w:r>
              <w:rPr>
                <w:rFonts w:ascii="Arial Narrow" w:hAnsi="Arial Narrow"/>
                <w:b/>
                <w:bCs/>
                <w:color w:val="FFFFFF"/>
                <w:szCs w:val="16"/>
              </w:rPr>
              <w:t xml:space="preserve"> Γενικής Κυβέρνησης</w:t>
            </w:r>
          </w:p>
          <w:p w:rsidR="000D0A85" w:rsidRPr="0015043C" w:rsidRDefault="000D0A85" w:rsidP="00451ECA">
            <w:pPr>
              <w:spacing w:after="120"/>
              <w:jc w:val="center"/>
              <w:rPr>
                <w:rFonts w:ascii="Arial Narrow" w:hAnsi="Arial Narrow"/>
                <w:b/>
                <w:bCs/>
                <w:color w:val="FFFFFF"/>
                <w:szCs w:val="16"/>
              </w:rPr>
            </w:pPr>
            <w:r w:rsidRPr="0015043C">
              <w:rPr>
                <w:rFonts w:ascii="Arial Narrow" w:hAnsi="Arial Narrow"/>
                <w:b/>
                <w:bCs/>
                <w:color w:val="FFFFFF"/>
                <w:szCs w:val="16"/>
              </w:rPr>
              <w:t>(σε εκατ. ευρώ)</w:t>
            </w:r>
          </w:p>
        </w:tc>
      </w:tr>
      <w:tr w:rsidR="000D0A85" w:rsidRPr="00E304E4" w:rsidTr="00E304E4">
        <w:trPr>
          <w:trHeight w:val="170"/>
          <w:jc w:val="center"/>
        </w:trPr>
        <w:tc>
          <w:tcPr>
            <w:tcW w:w="8432" w:type="dxa"/>
            <w:gridSpan w:val="4"/>
            <w:tcBorders>
              <w:left w:val="single" w:sz="4" w:space="0" w:color="auto"/>
              <w:bottom w:val="single" w:sz="4" w:space="0" w:color="auto"/>
              <w:right w:val="single" w:sz="4" w:space="0" w:color="auto"/>
            </w:tcBorders>
            <w:shd w:val="clear" w:color="auto" w:fill="auto"/>
            <w:noWrap/>
            <w:tcMar>
              <w:left w:w="28" w:type="dxa"/>
              <w:right w:w="28" w:type="dxa"/>
            </w:tcMar>
            <w:vAlign w:val="center"/>
          </w:tcPr>
          <w:p w:rsidR="000D0A85" w:rsidRPr="00E304E4" w:rsidRDefault="000D0A85" w:rsidP="00E304E4">
            <w:pPr>
              <w:jc w:val="center"/>
              <w:rPr>
                <w:rFonts w:ascii="Arial Narrow" w:hAnsi="Arial Narrow"/>
                <w:b/>
                <w:bCs/>
                <w:color w:val="FFFFFF"/>
                <w:sz w:val="16"/>
                <w:szCs w:val="16"/>
              </w:rPr>
            </w:pPr>
          </w:p>
        </w:tc>
      </w:tr>
      <w:tr w:rsidR="000D0A85" w:rsidRPr="0015043C" w:rsidTr="00E304E4">
        <w:trPr>
          <w:trHeight w:val="170"/>
          <w:jc w:val="center"/>
        </w:trPr>
        <w:tc>
          <w:tcPr>
            <w:tcW w:w="4608"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bottom"/>
          </w:tcPr>
          <w:p w:rsidR="000D0A85" w:rsidRPr="0015043C" w:rsidRDefault="000D0A85" w:rsidP="00E304E4">
            <w:pPr>
              <w:jc w:val="right"/>
              <w:rPr>
                <w:rFonts w:ascii="Arial Narrow" w:hAnsi="Arial Narrow"/>
                <w:b/>
                <w:bCs/>
                <w:sz w:val="16"/>
                <w:szCs w:val="16"/>
              </w:rPr>
            </w:pPr>
            <w:r w:rsidRPr="0015043C">
              <w:rPr>
                <w:rFonts w:ascii="Arial Narrow" w:hAnsi="Arial Narrow"/>
                <w:b/>
                <w:bCs/>
                <w:sz w:val="16"/>
                <w:szCs w:val="16"/>
              </w:rPr>
              <w:t> </w:t>
            </w:r>
          </w:p>
          <w:p w:rsidR="000D0A85" w:rsidRPr="0015043C" w:rsidRDefault="000D0A85" w:rsidP="00E304E4">
            <w:pPr>
              <w:rPr>
                <w:rFonts w:ascii="Arial Narrow" w:hAnsi="Arial Narrow"/>
                <w:b/>
                <w:bCs/>
                <w:sz w:val="16"/>
                <w:szCs w:val="16"/>
              </w:rPr>
            </w:pPr>
            <w:r w:rsidRPr="0015043C">
              <w:rPr>
                <w:rFonts w:ascii="Arial Narrow" w:hAnsi="Arial Narrow"/>
                <w:b/>
                <w:bCs/>
                <w:sz w:val="16"/>
                <w:szCs w:val="16"/>
              </w:rPr>
              <w:t> </w:t>
            </w:r>
          </w:p>
          <w:p w:rsidR="000D0A85" w:rsidRPr="0015043C" w:rsidRDefault="000D0A85" w:rsidP="00E304E4">
            <w:pPr>
              <w:jc w:val="right"/>
              <w:rPr>
                <w:rFonts w:ascii="Arial Narrow" w:hAnsi="Arial Narrow"/>
                <w:b/>
                <w:bCs/>
                <w:sz w:val="16"/>
                <w:szCs w:val="16"/>
              </w:rPr>
            </w:pPr>
            <w:r w:rsidRPr="0015043C">
              <w:rPr>
                <w:rFonts w:ascii="Arial Narrow" w:hAnsi="Arial Narrow"/>
                <w:b/>
                <w:bCs/>
                <w:sz w:val="16"/>
                <w:szCs w:val="16"/>
              </w:rPr>
              <w:t> </w:t>
            </w:r>
          </w:p>
          <w:p w:rsidR="000D0A85" w:rsidRPr="0015043C" w:rsidRDefault="000D0A85" w:rsidP="00E304E4">
            <w:pPr>
              <w:rPr>
                <w:rFonts w:ascii="Arial Narrow" w:hAnsi="Arial Narrow"/>
                <w:b/>
                <w:bCs/>
                <w:sz w:val="16"/>
                <w:szCs w:val="16"/>
              </w:rPr>
            </w:pPr>
            <w:r w:rsidRPr="0015043C">
              <w:rPr>
                <w:rFonts w:ascii="Arial Narrow" w:hAnsi="Arial Narrow"/>
                <w:b/>
                <w:bCs/>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D0A85" w:rsidRPr="0015043C" w:rsidRDefault="002A762E" w:rsidP="00E304E4">
            <w:pPr>
              <w:jc w:val="center"/>
              <w:rPr>
                <w:rFonts w:ascii="Arial Narrow" w:hAnsi="Arial Narrow"/>
                <w:b/>
                <w:bCs/>
                <w:sz w:val="16"/>
                <w:szCs w:val="16"/>
              </w:rPr>
            </w:pPr>
            <w:r>
              <w:rPr>
                <w:rFonts w:ascii="Arial Narrow" w:hAnsi="Arial Narrow"/>
                <w:b/>
                <w:bCs/>
                <w:sz w:val="16"/>
                <w:szCs w:val="16"/>
              </w:rPr>
              <w:t>2017</w:t>
            </w:r>
            <w:r w:rsidR="000D0A85" w:rsidRPr="0015043C">
              <w:rPr>
                <w:rFonts w:ascii="Arial Narrow" w:hAnsi="Arial Narrow"/>
                <w:b/>
                <w:bCs/>
                <w:sz w:val="16"/>
                <w:szCs w:val="16"/>
              </w:rPr>
              <w:t>*</w:t>
            </w:r>
          </w:p>
        </w:tc>
        <w:tc>
          <w:tcPr>
            <w:tcW w:w="13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D0A85" w:rsidRPr="0015043C" w:rsidRDefault="002A762E" w:rsidP="00E304E4">
            <w:pPr>
              <w:jc w:val="center"/>
              <w:rPr>
                <w:rFonts w:ascii="Arial Narrow" w:hAnsi="Arial Narrow"/>
                <w:b/>
                <w:bCs/>
                <w:sz w:val="16"/>
                <w:szCs w:val="16"/>
              </w:rPr>
            </w:pPr>
            <w:r>
              <w:rPr>
                <w:rFonts w:ascii="Arial Narrow" w:hAnsi="Arial Narrow"/>
                <w:b/>
                <w:bCs/>
                <w:sz w:val="16"/>
                <w:szCs w:val="16"/>
              </w:rPr>
              <w:t>2018</w:t>
            </w:r>
            <w:r w:rsidR="000D0A85" w:rsidRPr="0015043C">
              <w:rPr>
                <w:rFonts w:ascii="Arial Narrow" w:hAnsi="Arial Narrow"/>
                <w:b/>
                <w:bCs/>
                <w:sz w:val="16"/>
                <w:szCs w:val="16"/>
              </w:rPr>
              <w:t>**</w:t>
            </w:r>
          </w:p>
        </w:tc>
        <w:tc>
          <w:tcPr>
            <w:tcW w:w="876" w:type="dxa"/>
            <w:tcBorders>
              <w:top w:val="single" w:sz="4" w:space="0" w:color="auto"/>
              <w:left w:val="nil"/>
              <w:bottom w:val="single" w:sz="4" w:space="0" w:color="auto"/>
              <w:right w:val="single" w:sz="4" w:space="0" w:color="auto"/>
            </w:tcBorders>
            <w:shd w:val="clear" w:color="auto" w:fill="auto"/>
            <w:vAlign w:val="center"/>
          </w:tcPr>
          <w:p w:rsidR="000D0A85" w:rsidRPr="0015043C" w:rsidRDefault="000D0A85" w:rsidP="00E304E4">
            <w:pPr>
              <w:jc w:val="center"/>
              <w:rPr>
                <w:rFonts w:ascii="Arial Narrow" w:hAnsi="Arial Narrow"/>
                <w:b/>
                <w:bCs/>
                <w:sz w:val="16"/>
                <w:szCs w:val="16"/>
              </w:rPr>
            </w:pPr>
            <w:r w:rsidRPr="0015043C">
              <w:rPr>
                <w:rFonts w:ascii="Arial Narrow" w:hAnsi="Arial Narrow"/>
                <w:b/>
                <w:bCs/>
                <w:sz w:val="16"/>
                <w:szCs w:val="16"/>
              </w:rPr>
              <w:t>Διαφορά</w:t>
            </w:r>
          </w:p>
          <w:p w:rsidR="000D0A85" w:rsidRPr="0015043C" w:rsidRDefault="000D0A85" w:rsidP="00E304E4">
            <w:pPr>
              <w:jc w:val="center"/>
              <w:rPr>
                <w:rFonts w:ascii="Arial Narrow" w:hAnsi="Arial Narrow"/>
                <w:b/>
                <w:bCs/>
                <w:sz w:val="16"/>
                <w:szCs w:val="16"/>
              </w:rPr>
            </w:pPr>
            <w:r w:rsidRPr="0015043C">
              <w:rPr>
                <w:rFonts w:ascii="Arial Narrow" w:hAnsi="Arial Narrow"/>
                <w:b/>
                <w:bCs/>
                <w:sz w:val="16"/>
                <w:szCs w:val="16"/>
              </w:rPr>
              <w:t>201</w:t>
            </w:r>
            <w:r w:rsidR="002A762E">
              <w:rPr>
                <w:rFonts w:ascii="Arial Narrow" w:hAnsi="Arial Narrow"/>
                <w:b/>
                <w:bCs/>
                <w:sz w:val="16"/>
                <w:szCs w:val="16"/>
              </w:rPr>
              <w:t>8</w:t>
            </w:r>
            <w:r w:rsidRPr="0015043C">
              <w:rPr>
                <w:rFonts w:ascii="Arial Narrow" w:hAnsi="Arial Narrow"/>
                <w:b/>
                <w:bCs/>
                <w:sz w:val="16"/>
                <w:szCs w:val="16"/>
              </w:rPr>
              <w:t>-201</w:t>
            </w:r>
            <w:r w:rsidR="002A762E">
              <w:rPr>
                <w:rFonts w:ascii="Arial Narrow" w:hAnsi="Arial Narrow"/>
                <w:b/>
                <w:bCs/>
                <w:sz w:val="16"/>
                <w:szCs w:val="16"/>
              </w:rPr>
              <w:t>7</w:t>
            </w:r>
          </w:p>
        </w:tc>
      </w:tr>
      <w:tr w:rsidR="000D0A85" w:rsidRPr="0015043C" w:rsidTr="00E304E4">
        <w:trPr>
          <w:trHeight w:val="170"/>
          <w:jc w:val="center"/>
        </w:trPr>
        <w:tc>
          <w:tcPr>
            <w:tcW w:w="4608" w:type="dxa"/>
            <w:vMerge/>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E304E4">
            <w:pPr>
              <w:rPr>
                <w:rFonts w:ascii="Arial Narrow" w:hAnsi="Arial Narrow"/>
                <w:b/>
                <w:bCs/>
                <w:sz w:val="16"/>
                <w:szCs w:val="16"/>
              </w:rPr>
            </w:pP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D0A85" w:rsidRPr="002524BC" w:rsidRDefault="000D0A85" w:rsidP="00E304E4">
            <w:pPr>
              <w:jc w:val="center"/>
              <w:rPr>
                <w:rFonts w:ascii="Arial Narrow" w:hAnsi="Arial Narrow"/>
                <w:b/>
                <w:sz w:val="16"/>
                <w:szCs w:val="16"/>
              </w:rPr>
            </w:pPr>
            <w:r w:rsidRPr="002524BC">
              <w:rPr>
                <w:rFonts w:ascii="Arial Narrow" w:hAnsi="Arial Narrow"/>
                <w:b/>
                <w:sz w:val="16"/>
                <w:szCs w:val="16"/>
              </w:rPr>
              <w:t>(1)</w:t>
            </w:r>
          </w:p>
        </w:tc>
        <w:tc>
          <w:tcPr>
            <w:tcW w:w="1389" w:type="dxa"/>
            <w:tcBorders>
              <w:top w:val="nil"/>
              <w:left w:val="nil"/>
              <w:bottom w:val="single" w:sz="4" w:space="0" w:color="auto"/>
              <w:right w:val="single" w:sz="4" w:space="0" w:color="auto"/>
            </w:tcBorders>
            <w:shd w:val="clear" w:color="auto" w:fill="auto"/>
            <w:tcMar>
              <w:left w:w="28" w:type="dxa"/>
              <w:right w:w="28" w:type="dxa"/>
            </w:tcMar>
            <w:vAlign w:val="center"/>
          </w:tcPr>
          <w:p w:rsidR="000D0A85" w:rsidRPr="002524BC" w:rsidRDefault="000D0A85" w:rsidP="00E304E4">
            <w:pPr>
              <w:jc w:val="center"/>
              <w:rPr>
                <w:rFonts w:ascii="Arial Narrow" w:hAnsi="Arial Narrow"/>
                <w:b/>
                <w:sz w:val="16"/>
                <w:szCs w:val="16"/>
              </w:rPr>
            </w:pPr>
            <w:r w:rsidRPr="002524BC">
              <w:rPr>
                <w:rFonts w:ascii="Arial Narrow" w:hAnsi="Arial Narrow"/>
                <w:b/>
                <w:sz w:val="16"/>
                <w:szCs w:val="16"/>
              </w:rPr>
              <w:t>(2)</w:t>
            </w:r>
          </w:p>
        </w:tc>
        <w:tc>
          <w:tcPr>
            <w:tcW w:w="876" w:type="dxa"/>
            <w:tcBorders>
              <w:top w:val="nil"/>
              <w:left w:val="nil"/>
              <w:bottom w:val="single" w:sz="4" w:space="0" w:color="auto"/>
              <w:right w:val="single" w:sz="4" w:space="0" w:color="auto"/>
            </w:tcBorders>
            <w:shd w:val="clear" w:color="auto" w:fill="auto"/>
            <w:vAlign w:val="center"/>
          </w:tcPr>
          <w:p w:rsidR="000D0A85" w:rsidRPr="002524BC" w:rsidRDefault="000D0A85" w:rsidP="00E304E4">
            <w:pPr>
              <w:jc w:val="center"/>
              <w:rPr>
                <w:rFonts w:ascii="Arial Narrow" w:hAnsi="Arial Narrow"/>
                <w:b/>
                <w:sz w:val="16"/>
                <w:szCs w:val="16"/>
              </w:rPr>
            </w:pPr>
            <w:r w:rsidRPr="002524BC">
              <w:rPr>
                <w:rFonts w:ascii="Arial Narrow" w:hAnsi="Arial Narrow"/>
                <w:b/>
                <w:sz w:val="16"/>
                <w:szCs w:val="16"/>
              </w:rPr>
              <w:t>(3)=(2)-(1)</w:t>
            </w:r>
          </w:p>
        </w:tc>
      </w:tr>
      <w:tr w:rsidR="00E304E4" w:rsidRPr="0015043C" w:rsidTr="00E304E4">
        <w:trPr>
          <w:trHeight w:val="170"/>
          <w:jc w:val="center"/>
        </w:trPr>
        <w:tc>
          <w:tcPr>
            <w:tcW w:w="4608" w:type="dxa"/>
            <w:tcBorders>
              <w:top w:val="single" w:sz="4" w:space="0" w:color="auto"/>
              <w:left w:val="single" w:sz="4" w:space="0" w:color="auto"/>
            </w:tcBorders>
            <w:shd w:val="clear" w:color="auto" w:fill="auto"/>
            <w:tcMar>
              <w:left w:w="28" w:type="dxa"/>
              <w:right w:w="28" w:type="dxa"/>
            </w:tcMar>
            <w:vAlign w:val="center"/>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Ταμειακό ισοζύγιο Γενικής Κυβέρνησης</w:t>
            </w:r>
          </w:p>
        </w:tc>
        <w:tc>
          <w:tcPr>
            <w:tcW w:w="1559" w:type="dxa"/>
            <w:tcBorders>
              <w:top w:val="single" w:sz="4" w:space="0" w:color="auto"/>
            </w:tcBorders>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681</w:t>
            </w:r>
          </w:p>
        </w:tc>
        <w:tc>
          <w:tcPr>
            <w:tcW w:w="1389" w:type="dxa"/>
            <w:tcBorders>
              <w:top w:val="single" w:sz="4" w:space="0" w:color="auto"/>
            </w:tcBorders>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-3.320</w:t>
            </w:r>
          </w:p>
        </w:tc>
        <w:tc>
          <w:tcPr>
            <w:tcW w:w="876" w:type="dxa"/>
            <w:tcBorders>
              <w:top w:val="single" w:sz="4" w:space="0" w:color="auto"/>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-4.001</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Default="00E304E4" w:rsidP="00E304E4">
            <w:pPr>
              <w:tabs>
                <w:tab w:val="left" w:pos="218"/>
              </w:tabs>
              <w:spacing w:before="20" w:after="20"/>
              <w:rPr>
                <w:rFonts w:ascii="Arial Narrow" w:hAnsi="Arial Narrow" w:cs="Arial"/>
                <w:i/>
                <w:iCs/>
                <w:sz w:val="16"/>
                <w:szCs w:val="16"/>
              </w:rPr>
            </w:pPr>
            <w:r>
              <w:rPr>
                <w:rFonts w:ascii="Arial Narrow" w:hAnsi="Arial Narrow" w:cs="Arial"/>
                <w:i/>
                <w:iCs/>
                <w:sz w:val="16"/>
                <w:szCs w:val="16"/>
              </w:rPr>
              <w:tab/>
              <w:t>Ισοζύγιο Γενικής Κυβέρνησης κατά ESA</w:t>
            </w:r>
          </w:p>
        </w:tc>
        <w:tc>
          <w:tcPr>
            <w:tcW w:w="1559" w:type="dxa"/>
            <w:shd w:val="clear" w:color="auto" w:fill="auto"/>
            <w:tcMar>
              <w:left w:w="28" w:type="dxa"/>
              <w:right w:w="28" w:type="dxa"/>
            </w:tcMar>
            <w:vAlign w:val="center"/>
          </w:tcPr>
          <w:p w:rsidR="00E304E4" w:rsidRDefault="00E304E4" w:rsidP="00E304E4">
            <w:pPr>
              <w:ind w:right="505"/>
              <w:jc w:val="right"/>
              <w:rPr>
                <w:rFonts w:ascii="Arial Narrow" w:hAnsi="Arial Narrow" w:cs="Arial"/>
                <w:i/>
                <w:iCs/>
                <w:sz w:val="16"/>
                <w:szCs w:val="16"/>
              </w:rPr>
            </w:pPr>
            <w:r>
              <w:rPr>
                <w:rFonts w:ascii="Arial Narrow" w:hAnsi="Arial Narrow" w:cs="Arial"/>
                <w:i/>
                <w:iCs/>
                <w:sz w:val="16"/>
                <w:szCs w:val="16"/>
              </w:rPr>
              <w:t>1.086</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i/>
                <w:iCs/>
                <w:sz w:val="16"/>
                <w:szCs w:val="16"/>
              </w:rPr>
            </w:pPr>
            <w:r>
              <w:rPr>
                <w:rFonts w:ascii="Arial Narrow" w:hAnsi="Arial Narrow" w:cs="Arial"/>
                <w:i/>
                <w:iCs/>
                <w:sz w:val="16"/>
                <w:szCs w:val="16"/>
              </w:rPr>
              <w:t>-1.126</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i/>
                <w:iCs/>
                <w:sz w:val="16"/>
                <w:szCs w:val="16"/>
              </w:rPr>
            </w:pPr>
            <w:r>
              <w:rPr>
                <w:rFonts w:ascii="Arial Narrow" w:hAnsi="Arial Narrow" w:cs="Arial"/>
                <w:i/>
                <w:iCs/>
                <w:sz w:val="16"/>
                <w:szCs w:val="16"/>
              </w:rPr>
              <w:t>-2.212</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Default="00E304E4" w:rsidP="00E304E4">
            <w:pPr>
              <w:tabs>
                <w:tab w:val="left" w:pos="218"/>
              </w:tabs>
              <w:spacing w:before="20" w:after="20"/>
              <w:rPr>
                <w:rFonts w:ascii="Arial Narrow" w:hAnsi="Arial Narrow" w:cs="Arial"/>
                <w:i/>
                <w:iCs/>
                <w:sz w:val="16"/>
                <w:szCs w:val="16"/>
              </w:rPr>
            </w:pPr>
            <w:r>
              <w:rPr>
                <w:rFonts w:ascii="Arial Narrow" w:hAnsi="Arial Narrow" w:cs="Arial"/>
                <w:i/>
                <w:iCs/>
                <w:sz w:val="16"/>
                <w:szCs w:val="16"/>
              </w:rPr>
              <w:tab/>
            </w:r>
            <w:proofErr w:type="spellStart"/>
            <w:r>
              <w:rPr>
                <w:rFonts w:ascii="Arial Narrow" w:hAnsi="Arial Narrow" w:cs="Arial"/>
                <w:i/>
                <w:iCs/>
                <w:sz w:val="16"/>
                <w:szCs w:val="16"/>
              </w:rPr>
              <w:t>Εθνικολογιστικές</w:t>
            </w:r>
            <w:proofErr w:type="spellEnd"/>
            <w:r>
              <w:rPr>
                <w:rFonts w:ascii="Arial Narrow" w:hAnsi="Arial Narrow" w:cs="Arial"/>
                <w:i/>
                <w:iCs/>
                <w:sz w:val="16"/>
                <w:szCs w:val="16"/>
              </w:rPr>
              <w:t xml:space="preserve"> προσαρμογές Γενικής Κυβέρνησης</w:t>
            </w:r>
          </w:p>
        </w:tc>
        <w:tc>
          <w:tcPr>
            <w:tcW w:w="1559" w:type="dxa"/>
            <w:shd w:val="clear" w:color="auto" w:fill="auto"/>
            <w:tcMar>
              <w:left w:w="28" w:type="dxa"/>
              <w:right w:w="28" w:type="dxa"/>
            </w:tcMar>
            <w:vAlign w:val="center"/>
          </w:tcPr>
          <w:p w:rsidR="00E304E4" w:rsidRDefault="00E304E4" w:rsidP="00E304E4">
            <w:pPr>
              <w:ind w:right="505"/>
              <w:jc w:val="right"/>
              <w:rPr>
                <w:rFonts w:ascii="Arial Narrow" w:hAnsi="Arial Narrow" w:cs="Arial"/>
                <w:i/>
                <w:iCs/>
                <w:sz w:val="16"/>
                <w:szCs w:val="16"/>
              </w:rPr>
            </w:pPr>
            <w:r>
              <w:rPr>
                <w:rFonts w:ascii="Arial Narrow" w:hAnsi="Arial Narrow" w:cs="Arial"/>
                <w:i/>
                <w:iCs/>
                <w:sz w:val="16"/>
                <w:szCs w:val="16"/>
              </w:rPr>
              <w:t>-405</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i/>
                <w:iCs/>
                <w:sz w:val="16"/>
                <w:szCs w:val="16"/>
              </w:rPr>
            </w:pPr>
            <w:r>
              <w:rPr>
                <w:rFonts w:ascii="Arial Narrow" w:hAnsi="Arial Narrow" w:cs="Arial"/>
                <w:i/>
                <w:iCs/>
                <w:sz w:val="16"/>
                <w:szCs w:val="16"/>
              </w:rPr>
              <w:t>-2.194</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i/>
                <w:iCs/>
                <w:sz w:val="16"/>
                <w:szCs w:val="16"/>
              </w:rPr>
            </w:pPr>
            <w:r>
              <w:rPr>
                <w:rFonts w:ascii="Arial Narrow" w:hAnsi="Arial Narrow" w:cs="Arial"/>
                <w:i/>
                <w:iCs/>
                <w:sz w:val="16"/>
                <w:szCs w:val="16"/>
              </w:rPr>
              <w:t>-1.789</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Pr="00F82344" w:rsidRDefault="00E304E4" w:rsidP="00E304E4">
            <w:pPr>
              <w:tabs>
                <w:tab w:val="left" w:pos="218"/>
              </w:tabs>
              <w:spacing w:before="20" w:after="20"/>
              <w:rPr>
                <w:rFonts w:ascii="Arial Narrow" w:hAnsi="Arial Narrow" w:cs="Arial"/>
                <w:iCs/>
                <w:sz w:val="16"/>
                <w:szCs w:val="16"/>
              </w:rPr>
            </w:pPr>
            <w:r w:rsidRPr="00F82344">
              <w:rPr>
                <w:rFonts w:ascii="Arial Narrow" w:hAnsi="Arial Narrow" w:cs="Arial"/>
                <w:iCs/>
                <w:sz w:val="16"/>
                <w:szCs w:val="16"/>
              </w:rPr>
              <w:t>Εξόφληση</w:t>
            </w:r>
            <w:r>
              <w:rPr>
                <w:rFonts w:ascii="Arial Narrow" w:hAnsi="Arial Narrow" w:cs="Arial"/>
                <w:iCs/>
                <w:sz w:val="16"/>
                <w:szCs w:val="16"/>
              </w:rPr>
              <w:t xml:space="preserve"> ληξιπρόθεσμων υποχρεώσεων</w:t>
            </w:r>
            <w:r w:rsidRPr="00F82344">
              <w:rPr>
                <w:rFonts w:ascii="Arial Narrow" w:hAnsi="Arial Narrow" w:cs="Arial"/>
                <w:iCs/>
                <w:sz w:val="16"/>
                <w:szCs w:val="16"/>
              </w:rPr>
              <w:t xml:space="preserve"> </w:t>
            </w:r>
          </w:p>
        </w:tc>
        <w:tc>
          <w:tcPr>
            <w:tcW w:w="155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1.500</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2.200</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700</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bottom"/>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 xml:space="preserve">Αυξήσεις ΜΚ εταιρειών, συμμετοχή στην </w:t>
            </w:r>
            <w:proofErr w:type="spellStart"/>
            <w:r>
              <w:rPr>
                <w:rFonts w:ascii="Arial Narrow" w:hAnsi="Arial Narrow" w:cs="Arial"/>
                <w:sz w:val="16"/>
                <w:szCs w:val="16"/>
              </w:rPr>
              <w:t>ΕΤΕπ</w:t>
            </w:r>
            <w:proofErr w:type="spellEnd"/>
            <w:r>
              <w:rPr>
                <w:rFonts w:ascii="Arial Narrow" w:hAnsi="Arial Narrow" w:cs="Arial"/>
                <w:sz w:val="16"/>
                <w:szCs w:val="16"/>
              </w:rPr>
              <w:t xml:space="preserve"> </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350</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112</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-238</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bottom"/>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Αντικατάσταση βραχυπρόθεσμου χρέους</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0</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7.000</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7.000</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bottom"/>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Μεταβολή διαθεσίμων</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2.850</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10.000</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7.150</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Πώληση μετοχών</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-48</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-1.627</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-1.579</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Pr="00E304E4" w:rsidRDefault="00E304E4" w:rsidP="00E304E4">
            <w:pPr>
              <w:spacing w:before="20" w:after="20"/>
              <w:rPr>
                <w:rFonts w:ascii="Arial Narrow" w:hAnsi="Arial Narrow" w:cs="Arial"/>
                <w:sz w:val="16"/>
                <w:szCs w:val="16"/>
                <w:lang w:val="en-GB"/>
              </w:rPr>
            </w:pPr>
            <w:r>
              <w:rPr>
                <w:rFonts w:ascii="Arial Narrow" w:hAnsi="Arial Narrow" w:cs="Arial"/>
                <w:sz w:val="16"/>
                <w:szCs w:val="16"/>
              </w:rPr>
              <w:t>Αποπληρωμή μετατρέψιμων ομολόγων (</w:t>
            </w:r>
            <w:proofErr w:type="spellStart"/>
            <w:r>
              <w:rPr>
                <w:rFonts w:ascii="Arial Narrow" w:hAnsi="Arial Narrow" w:cs="Arial"/>
                <w:sz w:val="16"/>
                <w:szCs w:val="16"/>
                <w:lang w:val="en-GB"/>
              </w:rPr>
              <w:t>CoCos</w:t>
            </w:r>
            <w:proofErr w:type="spellEnd"/>
            <w:r>
              <w:rPr>
                <w:rFonts w:ascii="Arial Narrow" w:hAnsi="Arial Narrow" w:cs="Arial"/>
                <w:sz w:val="16"/>
                <w:szCs w:val="16"/>
                <w:lang w:val="en-GB"/>
              </w:rPr>
              <w:t>)</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-2.029</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0</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2.029</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Έσοδα από επενδύσεις σε τίτλους φορέων Γενικής Κυβέρνησης</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-92</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-756</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-664</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Προσαρμογές στο άρτιο, λοιπές προσαρμογές</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52</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91</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sz w:val="16"/>
                <w:szCs w:val="16"/>
              </w:rPr>
            </w:pPr>
            <w:r>
              <w:rPr>
                <w:rFonts w:ascii="Arial Narrow" w:hAnsi="Arial Narrow" w:cs="Arial"/>
                <w:sz w:val="16"/>
                <w:szCs w:val="16"/>
              </w:rPr>
              <w:t>39</w:t>
            </w:r>
          </w:p>
        </w:tc>
      </w:tr>
      <w:tr w:rsidR="00E304E4" w:rsidRPr="0015043C" w:rsidTr="00E304E4">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Default="00E304E4" w:rsidP="00E304E4">
            <w:pPr>
              <w:spacing w:before="20" w:after="20"/>
              <w:rPr>
                <w:rFonts w:ascii="Arial Narrow" w:hAnsi="Arial Narrow" w:cs="Arial"/>
                <w:b/>
                <w:bCs/>
                <w:sz w:val="16"/>
                <w:szCs w:val="16"/>
              </w:rPr>
            </w:pPr>
            <w:r>
              <w:rPr>
                <w:rFonts w:ascii="Arial Narrow" w:hAnsi="Arial Narrow" w:cs="Arial"/>
                <w:b/>
                <w:bCs/>
                <w:sz w:val="16"/>
                <w:szCs w:val="16"/>
              </w:rPr>
              <w:t>Μεταβολή από προηγούμενο έτος</w:t>
            </w:r>
          </w:p>
        </w:tc>
        <w:tc>
          <w:tcPr>
            <w:tcW w:w="1559" w:type="dxa"/>
            <w:shd w:val="clear" w:color="auto" w:fill="auto"/>
            <w:noWrap/>
            <w:tcMar>
              <w:left w:w="28" w:type="dxa"/>
              <w:right w:w="28" w:type="dxa"/>
            </w:tcMar>
            <w:vAlign w:val="center"/>
          </w:tcPr>
          <w:p w:rsidR="00E304E4" w:rsidRDefault="00E304E4" w:rsidP="00E304E4">
            <w:pPr>
              <w:ind w:right="505"/>
              <w:jc w:val="right"/>
              <w:rPr>
                <w:rFonts w:ascii="Arial Narrow" w:hAnsi="Arial Narrow" w:cs="Arial"/>
                <w:b/>
                <w:bCs/>
                <w:sz w:val="16"/>
                <w:szCs w:val="16"/>
              </w:rPr>
            </w:pPr>
            <w:r>
              <w:rPr>
                <w:rFonts w:ascii="Arial Narrow" w:hAnsi="Arial Narrow" w:cs="Arial"/>
                <w:b/>
                <w:bCs/>
                <w:sz w:val="16"/>
                <w:szCs w:val="16"/>
              </w:rPr>
              <w:t>3.264</w:t>
            </w:r>
          </w:p>
        </w:tc>
        <w:tc>
          <w:tcPr>
            <w:tcW w:w="1389" w:type="dxa"/>
            <w:shd w:val="clear" w:color="auto" w:fill="auto"/>
            <w:tcMar>
              <w:left w:w="28" w:type="dxa"/>
              <w:right w:w="28" w:type="dxa"/>
            </w:tcMar>
            <w:vAlign w:val="center"/>
          </w:tcPr>
          <w:p w:rsidR="00E304E4" w:rsidRDefault="00E304E4" w:rsidP="00E304E4">
            <w:pPr>
              <w:ind w:right="505"/>
              <w:jc w:val="right"/>
              <w:rPr>
                <w:rFonts w:ascii="Arial Narrow" w:hAnsi="Arial Narrow" w:cs="Arial"/>
                <w:b/>
                <w:bCs/>
                <w:sz w:val="16"/>
                <w:szCs w:val="16"/>
              </w:rPr>
            </w:pPr>
            <w:r>
              <w:rPr>
                <w:rFonts w:ascii="Arial Narrow" w:hAnsi="Arial Narrow" w:cs="Arial"/>
                <w:b/>
                <w:bCs/>
                <w:sz w:val="16"/>
                <w:szCs w:val="16"/>
              </w:rPr>
              <w:t>13.700</w:t>
            </w:r>
          </w:p>
        </w:tc>
        <w:tc>
          <w:tcPr>
            <w:tcW w:w="876" w:type="dxa"/>
            <w:tcBorders>
              <w:right w:val="single" w:sz="4" w:space="0" w:color="auto"/>
            </w:tcBorders>
            <w:shd w:val="clear" w:color="auto" w:fill="auto"/>
            <w:vAlign w:val="center"/>
          </w:tcPr>
          <w:p w:rsidR="00E304E4" w:rsidRDefault="00E304E4" w:rsidP="00E304E4">
            <w:pPr>
              <w:ind w:right="113"/>
              <w:jc w:val="right"/>
              <w:rPr>
                <w:rFonts w:ascii="Arial Narrow" w:hAnsi="Arial Narrow" w:cs="Arial"/>
                <w:b/>
                <w:bCs/>
                <w:sz w:val="16"/>
                <w:szCs w:val="16"/>
              </w:rPr>
            </w:pPr>
            <w:r>
              <w:rPr>
                <w:rFonts w:ascii="Arial Narrow" w:hAnsi="Arial Narrow" w:cs="Arial"/>
                <w:b/>
                <w:bCs/>
                <w:sz w:val="16"/>
                <w:szCs w:val="16"/>
              </w:rPr>
              <w:t>10.436</w:t>
            </w:r>
          </w:p>
        </w:tc>
      </w:tr>
      <w:tr w:rsidR="00E304E4" w:rsidRPr="0015043C" w:rsidTr="0084443D">
        <w:trPr>
          <w:trHeight w:val="170"/>
          <w:jc w:val="center"/>
        </w:trPr>
        <w:tc>
          <w:tcPr>
            <w:tcW w:w="4608" w:type="dxa"/>
            <w:tcBorders>
              <w:left w:val="single" w:sz="4" w:space="0" w:color="auto"/>
            </w:tcBorders>
            <w:shd w:val="clear" w:color="auto" w:fill="auto"/>
            <w:tcMar>
              <w:left w:w="28" w:type="dxa"/>
              <w:right w:w="28" w:type="dxa"/>
            </w:tcMar>
            <w:vAlign w:val="center"/>
          </w:tcPr>
          <w:p w:rsidR="00E304E4" w:rsidRDefault="00E304E4" w:rsidP="00E304E4">
            <w:pPr>
              <w:spacing w:before="20" w:after="20"/>
              <w:rPr>
                <w:rFonts w:ascii="Arial Narrow" w:hAnsi="Arial Narrow" w:cs="Arial"/>
                <w:b/>
                <w:bCs/>
                <w:sz w:val="16"/>
                <w:szCs w:val="16"/>
              </w:rPr>
            </w:pPr>
          </w:p>
        </w:tc>
        <w:tc>
          <w:tcPr>
            <w:tcW w:w="1559" w:type="dxa"/>
            <w:shd w:val="clear" w:color="auto" w:fill="auto"/>
            <w:noWrap/>
            <w:tcMar>
              <w:left w:w="28" w:type="dxa"/>
              <w:right w:w="28" w:type="dxa"/>
            </w:tcMar>
            <w:vAlign w:val="bottom"/>
          </w:tcPr>
          <w:p w:rsidR="00E304E4" w:rsidRDefault="00E304E4" w:rsidP="00E304E4">
            <w:pPr>
              <w:ind w:right="505"/>
              <w:rPr>
                <w:rFonts w:ascii="Arial Narrow" w:hAnsi="Arial Narrow" w:cs="Arial"/>
                <w:sz w:val="16"/>
                <w:szCs w:val="16"/>
              </w:rPr>
            </w:pPr>
            <w:r>
              <w:rPr>
                <w:rFonts w:ascii="Arial Narrow" w:hAnsi="Arial Narrow" w:cs="Arial"/>
                <w:sz w:val="16"/>
                <w:szCs w:val="16"/>
              </w:rPr>
              <w:t> </w:t>
            </w:r>
          </w:p>
        </w:tc>
        <w:tc>
          <w:tcPr>
            <w:tcW w:w="1389" w:type="dxa"/>
            <w:shd w:val="clear" w:color="auto" w:fill="auto"/>
            <w:tcMar>
              <w:left w:w="28" w:type="dxa"/>
              <w:right w:w="28" w:type="dxa"/>
            </w:tcMar>
            <w:vAlign w:val="bottom"/>
          </w:tcPr>
          <w:p w:rsidR="00E304E4" w:rsidRDefault="00E304E4" w:rsidP="00E304E4">
            <w:pPr>
              <w:ind w:right="505"/>
              <w:rPr>
                <w:rFonts w:ascii="Arial Narrow" w:hAnsi="Arial Narrow" w:cs="Arial"/>
                <w:sz w:val="16"/>
                <w:szCs w:val="16"/>
              </w:rPr>
            </w:pPr>
            <w:r>
              <w:rPr>
                <w:rFonts w:ascii="Arial Narrow" w:hAnsi="Arial Narrow" w:cs="Arial"/>
                <w:sz w:val="16"/>
                <w:szCs w:val="16"/>
              </w:rPr>
              <w:t> </w:t>
            </w:r>
          </w:p>
        </w:tc>
        <w:tc>
          <w:tcPr>
            <w:tcW w:w="876" w:type="dxa"/>
            <w:tcBorders>
              <w:right w:val="single" w:sz="4" w:space="0" w:color="auto"/>
            </w:tcBorders>
            <w:shd w:val="clear" w:color="auto" w:fill="auto"/>
            <w:vAlign w:val="bottom"/>
          </w:tcPr>
          <w:p w:rsidR="00E304E4" w:rsidRDefault="00E304E4" w:rsidP="00E304E4">
            <w:pPr>
              <w:ind w:right="113"/>
              <w:rPr>
                <w:rFonts w:ascii="Arial Narrow" w:hAnsi="Arial Narrow" w:cs="Arial"/>
                <w:sz w:val="16"/>
                <w:szCs w:val="16"/>
              </w:rPr>
            </w:pPr>
            <w:r>
              <w:rPr>
                <w:rFonts w:ascii="Arial Narrow" w:hAnsi="Arial Narrow" w:cs="Arial"/>
                <w:sz w:val="16"/>
                <w:szCs w:val="16"/>
              </w:rPr>
              <w:t> </w:t>
            </w:r>
          </w:p>
        </w:tc>
      </w:tr>
      <w:tr w:rsidR="00E304E4" w:rsidRPr="0015043C" w:rsidTr="0084443D">
        <w:trPr>
          <w:trHeight w:val="170"/>
          <w:jc w:val="center"/>
        </w:trPr>
        <w:tc>
          <w:tcPr>
            <w:tcW w:w="4608" w:type="dxa"/>
            <w:tcBorders>
              <w:left w:val="single" w:sz="4" w:space="0" w:color="auto"/>
            </w:tcBorders>
            <w:shd w:val="clear" w:color="auto" w:fill="A6A6A6" w:themeFill="background1" w:themeFillShade="A6"/>
            <w:noWrap/>
            <w:tcMar>
              <w:left w:w="28" w:type="dxa"/>
              <w:right w:w="28" w:type="dxa"/>
            </w:tcMar>
            <w:vAlign w:val="bottom"/>
          </w:tcPr>
          <w:p w:rsidR="00E304E4" w:rsidRDefault="00E304E4" w:rsidP="00E304E4">
            <w:pPr>
              <w:spacing w:before="20" w:after="20"/>
              <w:rPr>
                <w:rFonts w:ascii="Arial Narrow" w:hAnsi="Arial Narrow" w:cs="Arial"/>
                <w:b/>
                <w:bCs/>
                <w:sz w:val="16"/>
                <w:szCs w:val="16"/>
              </w:rPr>
            </w:pPr>
            <w:r>
              <w:rPr>
                <w:rFonts w:ascii="Arial Narrow" w:hAnsi="Arial Narrow" w:cs="Arial"/>
                <w:b/>
                <w:bCs/>
                <w:sz w:val="16"/>
                <w:szCs w:val="16"/>
              </w:rPr>
              <w:t xml:space="preserve">Χρέος Γενικής Κυβέρνησης </w:t>
            </w:r>
          </w:p>
        </w:tc>
        <w:tc>
          <w:tcPr>
            <w:tcW w:w="1559" w:type="dxa"/>
            <w:shd w:val="clear" w:color="auto" w:fill="A6A6A6" w:themeFill="background1" w:themeFillShade="A6"/>
            <w:tcMar>
              <w:left w:w="28" w:type="dxa"/>
              <w:right w:w="28" w:type="dxa"/>
            </w:tcMar>
            <w:vAlign w:val="bottom"/>
          </w:tcPr>
          <w:p w:rsidR="00E304E4" w:rsidRDefault="00E304E4" w:rsidP="00E304E4">
            <w:pPr>
              <w:ind w:right="505"/>
              <w:jc w:val="right"/>
              <w:rPr>
                <w:rFonts w:ascii="Arial Narrow" w:hAnsi="Arial Narrow" w:cs="Arial"/>
                <w:b/>
                <w:bCs/>
                <w:sz w:val="16"/>
                <w:szCs w:val="16"/>
              </w:rPr>
            </w:pPr>
            <w:r>
              <w:rPr>
                <w:rFonts w:ascii="Arial Narrow" w:hAnsi="Arial Narrow" w:cs="Arial"/>
                <w:b/>
                <w:bCs/>
                <w:sz w:val="16"/>
                <w:szCs w:val="16"/>
              </w:rPr>
              <w:t>318.300</w:t>
            </w:r>
          </w:p>
        </w:tc>
        <w:tc>
          <w:tcPr>
            <w:tcW w:w="1389" w:type="dxa"/>
            <w:shd w:val="clear" w:color="auto" w:fill="A6A6A6" w:themeFill="background1" w:themeFillShade="A6"/>
            <w:noWrap/>
            <w:tcMar>
              <w:left w:w="28" w:type="dxa"/>
              <w:right w:w="28" w:type="dxa"/>
            </w:tcMar>
            <w:vAlign w:val="bottom"/>
          </w:tcPr>
          <w:p w:rsidR="00E304E4" w:rsidRDefault="00E304E4" w:rsidP="00E304E4">
            <w:pPr>
              <w:ind w:right="505"/>
              <w:jc w:val="right"/>
              <w:rPr>
                <w:rFonts w:ascii="Arial Narrow" w:hAnsi="Arial Narrow" w:cs="Arial"/>
                <w:b/>
                <w:bCs/>
                <w:sz w:val="16"/>
                <w:szCs w:val="16"/>
              </w:rPr>
            </w:pPr>
            <w:r>
              <w:rPr>
                <w:rFonts w:ascii="Arial Narrow" w:hAnsi="Arial Narrow" w:cs="Arial"/>
                <w:b/>
                <w:bCs/>
                <w:sz w:val="16"/>
                <w:szCs w:val="16"/>
              </w:rPr>
              <w:t>332.000</w:t>
            </w:r>
          </w:p>
        </w:tc>
        <w:tc>
          <w:tcPr>
            <w:tcW w:w="876" w:type="dxa"/>
            <w:tcBorders>
              <w:right w:val="single" w:sz="4" w:space="0" w:color="auto"/>
            </w:tcBorders>
            <w:shd w:val="clear" w:color="auto" w:fill="A6A6A6" w:themeFill="background1" w:themeFillShade="A6"/>
            <w:vAlign w:val="bottom"/>
          </w:tcPr>
          <w:p w:rsidR="00E304E4" w:rsidRDefault="00E304E4" w:rsidP="00E304E4">
            <w:pPr>
              <w:ind w:right="113"/>
              <w:jc w:val="right"/>
              <w:rPr>
                <w:rFonts w:ascii="Arial Narrow" w:hAnsi="Arial Narrow" w:cs="Arial"/>
                <w:b/>
                <w:bCs/>
                <w:sz w:val="16"/>
                <w:szCs w:val="16"/>
              </w:rPr>
            </w:pPr>
            <w:r>
              <w:rPr>
                <w:rFonts w:ascii="Arial Narrow" w:hAnsi="Arial Narrow" w:cs="Arial"/>
                <w:b/>
                <w:bCs/>
                <w:sz w:val="16"/>
                <w:szCs w:val="16"/>
              </w:rPr>
              <w:t>13.700</w:t>
            </w:r>
          </w:p>
        </w:tc>
      </w:tr>
      <w:tr w:rsidR="00E304E4" w:rsidRPr="0015043C" w:rsidTr="00E304E4">
        <w:trPr>
          <w:trHeight w:val="170"/>
          <w:jc w:val="center"/>
        </w:trPr>
        <w:tc>
          <w:tcPr>
            <w:tcW w:w="4608" w:type="dxa"/>
            <w:tcBorders>
              <w:left w:val="single" w:sz="4" w:space="0" w:color="auto"/>
            </w:tcBorders>
            <w:shd w:val="clear" w:color="auto" w:fill="A6A6A6" w:themeFill="background1" w:themeFillShade="A6"/>
            <w:tcMar>
              <w:left w:w="28" w:type="dxa"/>
              <w:right w:w="28" w:type="dxa"/>
            </w:tcMar>
            <w:vAlign w:val="center"/>
          </w:tcPr>
          <w:p w:rsidR="00E304E4" w:rsidRDefault="00E304E4" w:rsidP="00E304E4">
            <w:pPr>
              <w:spacing w:before="20" w:after="20"/>
              <w:rPr>
                <w:rFonts w:ascii="Arial Narrow" w:hAnsi="Arial Narrow" w:cs="Arial"/>
                <w:b/>
                <w:bCs/>
                <w:sz w:val="16"/>
                <w:szCs w:val="16"/>
              </w:rPr>
            </w:pPr>
            <w:r>
              <w:rPr>
                <w:rFonts w:ascii="Arial Narrow" w:hAnsi="Arial Narrow" w:cs="Arial"/>
                <w:b/>
                <w:bCs/>
                <w:sz w:val="16"/>
                <w:szCs w:val="16"/>
              </w:rPr>
              <w:t xml:space="preserve">Χρέος Γενικής Κυβέρνησης ως % του ΑΕΠ </w:t>
            </w:r>
          </w:p>
        </w:tc>
        <w:tc>
          <w:tcPr>
            <w:tcW w:w="1559" w:type="dxa"/>
            <w:shd w:val="clear" w:color="auto" w:fill="A6A6A6" w:themeFill="background1" w:themeFillShade="A6"/>
            <w:tcMar>
              <w:left w:w="28" w:type="dxa"/>
              <w:right w:w="28" w:type="dxa"/>
            </w:tcMar>
            <w:vAlign w:val="center"/>
          </w:tcPr>
          <w:p w:rsidR="00E304E4" w:rsidRDefault="00E304E4" w:rsidP="00E304E4">
            <w:pPr>
              <w:ind w:right="505"/>
              <w:jc w:val="right"/>
              <w:rPr>
                <w:rFonts w:ascii="Arial Narrow" w:hAnsi="Arial Narrow" w:cs="Arial"/>
                <w:b/>
                <w:bCs/>
                <w:sz w:val="16"/>
                <w:szCs w:val="16"/>
              </w:rPr>
            </w:pPr>
            <w:r>
              <w:rPr>
                <w:rFonts w:ascii="Arial Narrow" w:hAnsi="Arial Narrow" w:cs="Arial"/>
                <w:b/>
                <w:bCs/>
                <w:sz w:val="16"/>
                <w:szCs w:val="16"/>
              </w:rPr>
              <w:t>178,2%</w:t>
            </w:r>
          </w:p>
        </w:tc>
        <w:tc>
          <w:tcPr>
            <w:tcW w:w="1389" w:type="dxa"/>
            <w:shd w:val="clear" w:color="auto" w:fill="A6A6A6" w:themeFill="background1" w:themeFillShade="A6"/>
            <w:tcMar>
              <w:left w:w="28" w:type="dxa"/>
              <w:right w:w="28" w:type="dxa"/>
            </w:tcMar>
            <w:vAlign w:val="center"/>
          </w:tcPr>
          <w:p w:rsidR="00E304E4" w:rsidRDefault="00E304E4" w:rsidP="00E304E4">
            <w:pPr>
              <w:ind w:right="505"/>
              <w:jc w:val="right"/>
              <w:rPr>
                <w:rFonts w:ascii="Arial Narrow" w:hAnsi="Arial Narrow" w:cs="Arial"/>
                <w:b/>
                <w:bCs/>
                <w:sz w:val="16"/>
                <w:szCs w:val="16"/>
              </w:rPr>
            </w:pPr>
            <w:r>
              <w:rPr>
                <w:rFonts w:ascii="Arial Narrow" w:hAnsi="Arial Narrow" w:cs="Arial"/>
                <w:b/>
                <w:bCs/>
                <w:sz w:val="16"/>
                <w:szCs w:val="16"/>
              </w:rPr>
              <w:t>179,8%</w:t>
            </w:r>
          </w:p>
        </w:tc>
        <w:tc>
          <w:tcPr>
            <w:tcW w:w="876" w:type="dxa"/>
            <w:tcBorders>
              <w:right w:val="single" w:sz="4" w:space="0" w:color="auto"/>
            </w:tcBorders>
            <w:shd w:val="clear" w:color="auto" w:fill="A6A6A6" w:themeFill="background1" w:themeFillShade="A6"/>
            <w:vAlign w:val="center"/>
          </w:tcPr>
          <w:p w:rsidR="00E304E4" w:rsidRDefault="00D1436D" w:rsidP="00E304E4">
            <w:pPr>
              <w:ind w:right="113"/>
              <w:jc w:val="right"/>
              <w:rPr>
                <w:rFonts w:ascii="Arial Narrow" w:hAnsi="Arial Narrow" w:cs="Arial"/>
                <w:b/>
                <w:bCs/>
                <w:sz w:val="16"/>
                <w:szCs w:val="16"/>
              </w:rPr>
            </w:pPr>
            <w:r>
              <w:rPr>
                <w:rFonts w:ascii="Arial Narrow" w:hAnsi="Arial Narrow" w:cs="Arial"/>
                <w:b/>
                <w:bCs/>
                <w:sz w:val="16"/>
                <w:szCs w:val="16"/>
              </w:rPr>
              <w:t>1,6</w:t>
            </w:r>
            <w:r w:rsidR="00E304E4">
              <w:rPr>
                <w:rFonts w:ascii="Arial Narrow" w:hAnsi="Arial Narrow" w:cs="Arial"/>
                <w:b/>
                <w:bCs/>
                <w:sz w:val="16"/>
                <w:szCs w:val="16"/>
              </w:rPr>
              <w:t>%</w:t>
            </w:r>
          </w:p>
        </w:tc>
      </w:tr>
      <w:tr w:rsidR="00E304E4" w:rsidRPr="0015043C" w:rsidTr="00E304E4">
        <w:trPr>
          <w:trHeight w:val="170"/>
          <w:jc w:val="center"/>
        </w:trPr>
        <w:tc>
          <w:tcPr>
            <w:tcW w:w="4608" w:type="dxa"/>
            <w:tcBorders>
              <w:left w:val="single" w:sz="4" w:space="0" w:color="auto"/>
              <w:bottom w:val="single" w:sz="4" w:space="0" w:color="auto"/>
            </w:tcBorders>
            <w:shd w:val="clear" w:color="auto" w:fill="auto"/>
            <w:tcMar>
              <w:left w:w="28" w:type="dxa"/>
              <w:right w:w="28" w:type="dxa"/>
            </w:tcMar>
            <w:vAlign w:val="center"/>
          </w:tcPr>
          <w:p w:rsidR="00E304E4" w:rsidRDefault="00E304E4" w:rsidP="00E304E4">
            <w:pPr>
              <w:spacing w:before="20" w:after="20"/>
              <w:rPr>
                <w:rFonts w:ascii="Arial Narrow" w:hAnsi="Arial Narrow" w:cs="Arial"/>
                <w:sz w:val="16"/>
                <w:szCs w:val="16"/>
              </w:rPr>
            </w:pPr>
            <w:r>
              <w:rPr>
                <w:rFonts w:ascii="Arial Narrow" w:hAnsi="Arial Narrow" w:cs="Arial"/>
                <w:sz w:val="16"/>
                <w:szCs w:val="16"/>
              </w:rPr>
              <w:t>ΑΕΠ</w:t>
            </w:r>
          </w:p>
        </w:tc>
        <w:tc>
          <w:tcPr>
            <w:tcW w:w="1559" w:type="dxa"/>
            <w:tcBorders>
              <w:bottom w:val="single" w:sz="4" w:space="0" w:color="auto"/>
            </w:tcBorders>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178.579</w:t>
            </w:r>
          </w:p>
        </w:tc>
        <w:tc>
          <w:tcPr>
            <w:tcW w:w="1389" w:type="dxa"/>
            <w:tcBorders>
              <w:bottom w:val="single" w:sz="4" w:space="0" w:color="auto"/>
            </w:tcBorders>
            <w:shd w:val="clear" w:color="auto" w:fill="auto"/>
            <w:noWrap/>
            <w:tcMar>
              <w:left w:w="28" w:type="dxa"/>
              <w:right w:w="28" w:type="dxa"/>
            </w:tcMar>
            <w:vAlign w:val="center"/>
          </w:tcPr>
          <w:p w:rsidR="00E304E4" w:rsidRDefault="00E304E4" w:rsidP="00E304E4">
            <w:pPr>
              <w:ind w:right="505"/>
              <w:jc w:val="right"/>
              <w:rPr>
                <w:rFonts w:ascii="Arial Narrow" w:hAnsi="Arial Narrow" w:cs="Arial"/>
                <w:sz w:val="16"/>
                <w:szCs w:val="16"/>
              </w:rPr>
            </w:pPr>
            <w:r>
              <w:rPr>
                <w:rFonts w:ascii="Arial Narrow" w:hAnsi="Arial Narrow" w:cs="Arial"/>
                <w:sz w:val="16"/>
                <w:szCs w:val="16"/>
              </w:rPr>
              <w:t>184.691</w:t>
            </w:r>
          </w:p>
        </w:tc>
        <w:tc>
          <w:tcPr>
            <w:tcW w:w="876" w:type="dxa"/>
            <w:tcBorders>
              <w:bottom w:val="single" w:sz="4" w:space="0" w:color="auto"/>
              <w:right w:val="single" w:sz="4" w:space="0" w:color="auto"/>
            </w:tcBorders>
            <w:shd w:val="clear" w:color="auto" w:fill="auto"/>
            <w:vAlign w:val="center"/>
          </w:tcPr>
          <w:p w:rsidR="00E304E4" w:rsidRDefault="00E304E4" w:rsidP="00E304E4">
            <w:pPr>
              <w:ind w:right="113"/>
              <w:rPr>
                <w:rFonts w:ascii="Arial Narrow" w:hAnsi="Arial Narrow" w:cs="Arial"/>
                <w:sz w:val="16"/>
                <w:szCs w:val="16"/>
              </w:rPr>
            </w:pPr>
            <w:r>
              <w:rPr>
                <w:rFonts w:ascii="Arial Narrow" w:hAnsi="Arial Narrow" w:cs="Arial"/>
                <w:sz w:val="16"/>
                <w:szCs w:val="16"/>
              </w:rPr>
              <w:t> </w:t>
            </w:r>
          </w:p>
        </w:tc>
      </w:tr>
    </w:tbl>
    <w:p w:rsidR="000D0A85" w:rsidRPr="006547D6" w:rsidRDefault="000D0A85" w:rsidP="000D0A85">
      <w:pPr>
        <w:tabs>
          <w:tab w:val="left" w:pos="180"/>
        </w:tabs>
        <w:ind w:firstLine="180"/>
        <w:jc w:val="both"/>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Εκτιμήσεις    **Προβλέψεις</w:t>
      </w:r>
    </w:p>
    <w:p w:rsidR="000D0A85" w:rsidRPr="0015043C" w:rsidRDefault="000D0A85" w:rsidP="000D0A85">
      <w:pPr>
        <w:tabs>
          <w:tab w:val="left" w:pos="4608"/>
          <w:tab w:val="left" w:pos="5508"/>
          <w:tab w:val="left" w:pos="6588"/>
        </w:tabs>
        <w:ind w:left="180"/>
        <w:rPr>
          <w:rFonts w:ascii="Arial Narrow" w:hAnsi="Arial Narrow"/>
          <w:sz w:val="16"/>
          <w:szCs w:val="16"/>
        </w:rPr>
      </w:pPr>
      <w:r>
        <w:rPr>
          <w:rFonts w:ascii="Arial Narrow" w:hAnsi="Arial Narrow"/>
          <w:sz w:val="16"/>
          <w:szCs w:val="16"/>
        </w:rPr>
        <w:t xml:space="preserve">   </w:t>
      </w:r>
      <w:r w:rsidR="00A30612">
        <w:rPr>
          <w:rFonts w:ascii="Arial Narrow" w:hAnsi="Arial Narrow"/>
          <w:sz w:val="16"/>
          <w:szCs w:val="16"/>
        </w:rPr>
        <w:t xml:space="preserve"> </w:t>
      </w:r>
      <w:r w:rsidRPr="0015043C">
        <w:rPr>
          <w:rFonts w:ascii="Arial Narrow" w:hAnsi="Arial Narrow"/>
          <w:sz w:val="16"/>
          <w:szCs w:val="16"/>
        </w:rPr>
        <w:t xml:space="preserve">Πηγή:  </w:t>
      </w:r>
      <w:r w:rsidR="00B013CD">
        <w:rPr>
          <w:rFonts w:ascii="Arial Narrow" w:hAnsi="Arial Narrow"/>
          <w:sz w:val="16"/>
          <w:szCs w:val="16"/>
        </w:rPr>
        <w:t>ΟΔΔΗΧ</w:t>
      </w:r>
    </w:p>
    <w:p w:rsidR="000D0A85" w:rsidRDefault="000D0A85" w:rsidP="000D0A85">
      <w:pPr>
        <w:tabs>
          <w:tab w:val="left" w:pos="180"/>
        </w:tabs>
        <w:ind w:left="180"/>
        <w:jc w:val="both"/>
        <w:rPr>
          <w:rFonts w:ascii="Arial Narrow" w:hAnsi="Arial Narrow"/>
          <w:sz w:val="16"/>
          <w:szCs w:val="16"/>
        </w:rPr>
      </w:pPr>
    </w:p>
    <w:p w:rsidR="00853FC4" w:rsidRDefault="00853FC4" w:rsidP="000D0A85">
      <w:pPr>
        <w:tabs>
          <w:tab w:val="left" w:pos="180"/>
        </w:tabs>
        <w:ind w:left="180"/>
        <w:jc w:val="both"/>
        <w:rPr>
          <w:rFonts w:ascii="Arial Narrow" w:hAnsi="Arial Narrow"/>
          <w:sz w:val="16"/>
          <w:szCs w:val="16"/>
        </w:rPr>
      </w:pPr>
    </w:p>
    <w:p w:rsidR="00853FC4" w:rsidRDefault="00853FC4" w:rsidP="000D0A85">
      <w:pPr>
        <w:tabs>
          <w:tab w:val="left" w:pos="180"/>
        </w:tabs>
        <w:ind w:left="180"/>
        <w:jc w:val="both"/>
        <w:rPr>
          <w:rFonts w:ascii="Arial Narrow" w:hAnsi="Arial Narrow"/>
          <w:sz w:val="16"/>
          <w:szCs w:val="16"/>
        </w:rPr>
      </w:pPr>
    </w:p>
    <w:p w:rsidR="009C1A50" w:rsidRDefault="009C1A50" w:rsidP="000D0A85">
      <w:pPr>
        <w:tabs>
          <w:tab w:val="left" w:pos="180"/>
        </w:tabs>
        <w:ind w:left="180"/>
        <w:jc w:val="both"/>
        <w:rPr>
          <w:rFonts w:ascii="Arial Narrow" w:hAnsi="Arial Narrow"/>
          <w:sz w:val="16"/>
          <w:szCs w:val="16"/>
        </w:rPr>
      </w:pPr>
    </w:p>
    <w:p w:rsidR="000D0A85" w:rsidRDefault="000D0A85" w:rsidP="000D0A85">
      <w:pPr>
        <w:tabs>
          <w:tab w:val="left" w:pos="180"/>
        </w:tabs>
        <w:ind w:left="180"/>
        <w:jc w:val="both"/>
        <w:rPr>
          <w:rFonts w:ascii="Arial Narrow" w:hAnsi="Arial Narrow"/>
          <w:sz w:val="16"/>
          <w:szCs w:val="16"/>
        </w:rPr>
      </w:pPr>
    </w:p>
    <w:p w:rsidR="000D0A85" w:rsidRPr="0015043C" w:rsidRDefault="000D0A85" w:rsidP="000D0A85">
      <w:pPr>
        <w:tabs>
          <w:tab w:val="left" w:pos="180"/>
        </w:tabs>
        <w:ind w:left="180"/>
        <w:jc w:val="both"/>
        <w:rPr>
          <w:rFonts w:ascii="Arial Narrow" w:hAnsi="Arial Narrow"/>
          <w:sz w:val="16"/>
          <w:szCs w:val="16"/>
        </w:rPr>
      </w:pPr>
    </w:p>
    <w:p w:rsidR="000D0A85" w:rsidRPr="0015043C" w:rsidRDefault="000D0A85" w:rsidP="000D0A85">
      <w:pPr>
        <w:shd w:val="clear" w:color="auto" w:fill="595959" w:themeFill="text1" w:themeFillTint="A6"/>
        <w:jc w:val="both"/>
        <w:rPr>
          <w:rFonts w:ascii="Arial Narrow" w:hAnsi="Arial Narrow"/>
          <w:b/>
          <w:bCs/>
          <w:color w:val="FFFFFF"/>
          <w:sz w:val="26"/>
          <w:szCs w:val="22"/>
        </w:rPr>
      </w:pPr>
      <w:r w:rsidRPr="0015043C">
        <w:rPr>
          <w:rFonts w:ascii="Arial Narrow" w:hAnsi="Arial Narrow"/>
          <w:b/>
          <w:bCs/>
          <w:color w:val="FFFFFF"/>
          <w:sz w:val="26"/>
          <w:szCs w:val="22"/>
        </w:rPr>
        <w:lastRenderedPageBreak/>
        <w:t xml:space="preserve">3. </w:t>
      </w:r>
      <w:r w:rsidRPr="0015043C">
        <w:rPr>
          <w:rFonts w:ascii="Arial Narrow" w:hAnsi="Arial Narrow"/>
          <w:bCs/>
          <w:color w:val="FFFFFF"/>
          <w:sz w:val="26"/>
          <w:szCs w:val="22"/>
        </w:rPr>
        <w:tab/>
      </w:r>
      <w:r w:rsidRPr="0015043C">
        <w:rPr>
          <w:rFonts w:ascii="Arial Narrow" w:hAnsi="Arial Narrow"/>
          <w:b/>
          <w:bCs/>
          <w:color w:val="FFFFFF"/>
          <w:sz w:val="26"/>
          <w:szCs w:val="22"/>
        </w:rPr>
        <w:t>Δομή και χαρακτηριστικά του χρέους Κεντρικής</w:t>
      </w:r>
      <w:r>
        <w:rPr>
          <w:rFonts w:ascii="Arial Narrow" w:hAnsi="Arial Narrow"/>
          <w:b/>
          <w:bCs/>
          <w:color w:val="FFFFFF"/>
          <w:sz w:val="26"/>
          <w:szCs w:val="22"/>
        </w:rPr>
        <w:t xml:space="preserve"> Διοίκησης</w:t>
      </w:r>
    </w:p>
    <w:p w:rsidR="000D0A85" w:rsidRPr="0015043C" w:rsidRDefault="000D0A85" w:rsidP="000D0A85">
      <w:pPr>
        <w:jc w:val="both"/>
        <w:rPr>
          <w:sz w:val="22"/>
          <w:szCs w:val="22"/>
        </w:rPr>
      </w:pPr>
    </w:p>
    <w:p w:rsidR="0084443D" w:rsidRPr="0084443D" w:rsidRDefault="0084443D" w:rsidP="0084443D">
      <w:pPr>
        <w:jc w:val="both"/>
        <w:rPr>
          <w:sz w:val="22"/>
          <w:szCs w:val="22"/>
        </w:rPr>
      </w:pPr>
      <w:r w:rsidRPr="0084443D">
        <w:rPr>
          <w:sz w:val="22"/>
          <w:szCs w:val="22"/>
        </w:rPr>
        <w:t>Ο χρονικός ορίζοντας των λήξεων του χρέους της Κεντρικής Διοίκησης στις 30/09/2017 εκτείνεται μέχρι το έτος 2059. Η αδυναμία προσφυγής για δανεισμό στις αγορές από το Μάιο του 2010, είχε ως αποτέλεσμα τη δραστική μείωση των ομολόγων και την αντικατάστασή τους με δάνεια (διάγραμμα 4.1). Η αναλογία αυτή αναμένεται να αντιστραφεί τα επόμενα έτη με τη σταδιακή επάνοδο του Ελλ</w:t>
      </w:r>
      <w:r w:rsidRPr="0084443D">
        <w:rPr>
          <w:sz w:val="22"/>
          <w:szCs w:val="22"/>
        </w:rPr>
        <w:t>η</w:t>
      </w:r>
      <w:r w:rsidRPr="0084443D">
        <w:rPr>
          <w:sz w:val="22"/>
          <w:szCs w:val="22"/>
        </w:rPr>
        <w:t>νικού Δημοσίου στις αγορές για δανεισμό.</w:t>
      </w:r>
    </w:p>
    <w:p w:rsidR="000D0A85" w:rsidRDefault="000D0A85" w:rsidP="000D0A85">
      <w:pPr>
        <w:jc w:val="both"/>
        <w:rPr>
          <w:sz w:val="22"/>
          <w:szCs w:val="22"/>
        </w:rPr>
      </w:pPr>
    </w:p>
    <w:tbl>
      <w:tblPr>
        <w:tblW w:w="0" w:type="auto"/>
        <w:tblBorders>
          <w:insideV w:val="single" w:sz="4" w:space="0" w:color="auto"/>
        </w:tblBorders>
        <w:tblLook w:val="00A0"/>
      </w:tblPr>
      <w:tblGrid>
        <w:gridCol w:w="9287"/>
      </w:tblGrid>
      <w:tr w:rsidR="000D0A85" w:rsidRPr="0015043C" w:rsidTr="00451ECA">
        <w:tc>
          <w:tcPr>
            <w:tcW w:w="9287" w:type="dxa"/>
            <w:shd w:val="clear" w:color="auto" w:fill="404040" w:themeFill="text1" w:themeFillTint="BF"/>
          </w:tcPr>
          <w:p w:rsidR="000D0A85" w:rsidRPr="0015043C" w:rsidRDefault="000D0A85" w:rsidP="00451ECA">
            <w:pPr>
              <w:pStyle w:val="a6"/>
              <w:tabs>
                <w:tab w:val="left" w:pos="4608"/>
                <w:tab w:val="left" w:pos="5508"/>
                <w:tab w:val="left" w:pos="6588"/>
              </w:tabs>
              <w:spacing w:before="120"/>
              <w:jc w:val="center"/>
              <w:rPr>
                <w:rFonts w:ascii="Arial Narrow" w:hAnsi="Arial Narrow" w:cs="Times New Roman"/>
                <w:b/>
                <w:color w:val="FFFFFF"/>
                <w:sz w:val="24"/>
              </w:rPr>
            </w:pPr>
            <w:r>
              <w:rPr>
                <w:rFonts w:ascii="Arial Narrow" w:hAnsi="Arial Narrow" w:cs="Times New Roman"/>
                <w:b/>
                <w:color w:val="FFFFFF"/>
                <w:sz w:val="24"/>
              </w:rPr>
              <w:t xml:space="preserve">Διάγραμμα </w:t>
            </w:r>
            <w:r w:rsidRPr="00707F23">
              <w:rPr>
                <w:rFonts w:ascii="Arial Narrow" w:hAnsi="Arial Narrow" w:cs="Times New Roman"/>
                <w:b/>
                <w:color w:val="FFFFFF"/>
                <w:sz w:val="24"/>
              </w:rPr>
              <w:t>4</w:t>
            </w:r>
            <w:r>
              <w:rPr>
                <w:rFonts w:ascii="Arial Narrow" w:hAnsi="Arial Narrow" w:cs="Times New Roman"/>
                <w:b/>
                <w:color w:val="FFFFFF"/>
                <w:sz w:val="24"/>
              </w:rPr>
              <w:t xml:space="preserve">.1 </w:t>
            </w:r>
            <w:r w:rsidRPr="0015043C">
              <w:rPr>
                <w:rFonts w:ascii="Arial Narrow" w:hAnsi="Arial Narrow" w:cs="Times New Roman"/>
                <w:b/>
                <w:color w:val="FFFFFF"/>
                <w:sz w:val="24"/>
              </w:rPr>
              <w:t xml:space="preserve"> Χρονοδιάγραμμα λήξης χρέους της Κεντρικής </w:t>
            </w:r>
            <w:r>
              <w:rPr>
                <w:rFonts w:ascii="Arial Narrow" w:hAnsi="Arial Narrow" w:cs="Times New Roman"/>
                <w:b/>
                <w:color w:val="FFFFFF"/>
                <w:sz w:val="24"/>
              </w:rPr>
              <w:t>Διοίκησης</w:t>
            </w:r>
          </w:p>
          <w:p w:rsidR="009C1A50" w:rsidRPr="0084443D" w:rsidRDefault="000D0A85" w:rsidP="009C1A50">
            <w:pPr>
              <w:jc w:val="center"/>
              <w:rPr>
                <w:rFonts w:ascii="Arial Narrow" w:hAnsi="Arial Narrow"/>
                <w:b/>
                <w:color w:val="FFFFFF"/>
                <w:lang w:val="en-GB"/>
              </w:rPr>
            </w:pPr>
            <w:r>
              <w:rPr>
                <w:rFonts w:ascii="Arial Narrow" w:hAnsi="Arial Narrow"/>
                <w:b/>
                <w:color w:val="FFFFFF"/>
              </w:rPr>
              <w:t>την 3</w:t>
            </w:r>
            <w:r>
              <w:rPr>
                <w:rFonts w:ascii="Arial Narrow" w:hAnsi="Arial Narrow"/>
                <w:b/>
                <w:color w:val="FFFFFF"/>
                <w:lang w:val="en-GB"/>
              </w:rPr>
              <w:t>0/9</w:t>
            </w:r>
            <w:r w:rsidR="0084443D">
              <w:rPr>
                <w:rFonts w:ascii="Arial Narrow" w:hAnsi="Arial Narrow"/>
                <w:b/>
                <w:color w:val="FFFFFF"/>
              </w:rPr>
              <w:t>/201</w:t>
            </w:r>
            <w:r w:rsidR="0084443D">
              <w:rPr>
                <w:rFonts w:ascii="Arial Narrow" w:hAnsi="Arial Narrow"/>
                <w:b/>
                <w:color w:val="FFFFFF"/>
                <w:lang w:val="en-GB"/>
              </w:rPr>
              <w:t>7</w:t>
            </w:r>
          </w:p>
          <w:p w:rsidR="000D0A85" w:rsidRPr="0015043C" w:rsidRDefault="000D0A85" w:rsidP="009C1A50">
            <w:pPr>
              <w:spacing w:after="120"/>
              <w:jc w:val="center"/>
              <w:rPr>
                <w:sz w:val="22"/>
                <w:szCs w:val="22"/>
              </w:rPr>
            </w:pPr>
            <w:r w:rsidRPr="0015043C">
              <w:rPr>
                <w:rFonts w:ascii="Arial Narrow" w:hAnsi="Arial Narrow"/>
                <w:b/>
                <w:color w:val="FFFFFF"/>
                <w:szCs w:val="16"/>
              </w:rPr>
              <w:t>(σε εκατ. ευρώ)</w:t>
            </w:r>
          </w:p>
        </w:tc>
      </w:tr>
      <w:tr w:rsidR="000D0A85" w:rsidRPr="0015043C" w:rsidTr="00451ECA">
        <w:tc>
          <w:tcPr>
            <w:tcW w:w="9287" w:type="dxa"/>
          </w:tcPr>
          <w:p w:rsidR="000D0A85" w:rsidRPr="0015043C" w:rsidRDefault="0084443D" w:rsidP="00451ECA">
            <w:pPr>
              <w:pStyle w:val="a6"/>
              <w:tabs>
                <w:tab w:val="left" w:pos="4608"/>
                <w:tab w:val="left" w:pos="5508"/>
                <w:tab w:val="left" w:pos="6588"/>
              </w:tabs>
              <w:spacing w:before="60" w:after="60"/>
              <w:jc w:val="center"/>
              <w:rPr>
                <w:rFonts w:ascii="Arial Narrow" w:hAnsi="Arial Narrow" w:cs="Times New Roman"/>
                <w:b/>
                <w:color w:val="FFFFFF"/>
                <w:sz w:val="24"/>
              </w:rPr>
            </w:pPr>
            <w:r w:rsidRPr="0084443D">
              <w:rPr>
                <w:rFonts w:ascii="Arial Narrow" w:hAnsi="Arial Narrow" w:cs="Times New Roman"/>
                <w:b/>
                <w:noProof/>
                <w:color w:val="FFFFFF"/>
                <w:sz w:val="24"/>
              </w:rPr>
              <w:drawing>
                <wp:inline distT="0" distB="0" distL="0" distR="0">
                  <wp:extent cx="5486400" cy="2558415"/>
                  <wp:effectExtent l="0" t="0" r="0" b="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0D0A85" w:rsidRDefault="000D0A85" w:rsidP="000D0A85">
      <w:pPr>
        <w:tabs>
          <w:tab w:val="left" w:pos="180"/>
        </w:tabs>
        <w:jc w:val="both"/>
        <w:rPr>
          <w:rFonts w:ascii="Arial Narrow" w:hAnsi="Arial Narrow"/>
          <w:sz w:val="16"/>
          <w:szCs w:val="16"/>
        </w:rPr>
      </w:pPr>
      <w:r w:rsidRPr="0015043C">
        <w:rPr>
          <w:rFonts w:ascii="Arial Narrow" w:hAnsi="Arial Narrow"/>
          <w:sz w:val="16"/>
          <w:szCs w:val="16"/>
        </w:rPr>
        <w:t xml:space="preserve">Πηγή:  </w:t>
      </w:r>
      <w:r w:rsidR="003C789E">
        <w:rPr>
          <w:rFonts w:ascii="Arial Narrow" w:hAnsi="Arial Narrow"/>
          <w:sz w:val="16"/>
          <w:szCs w:val="16"/>
        </w:rPr>
        <w:t>ΟΔΔΗΧ</w:t>
      </w:r>
    </w:p>
    <w:p w:rsidR="000D0A85" w:rsidRDefault="000D0A85" w:rsidP="000D0A85">
      <w:pPr>
        <w:jc w:val="both"/>
        <w:rPr>
          <w:sz w:val="22"/>
          <w:szCs w:val="22"/>
        </w:rPr>
      </w:pPr>
    </w:p>
    <w:p w:rsidR="003457C0" w:rsidRPr="00E3344E" w:rsidRDefault="003457C0" w:rsidP="003457C0">
      <w:pPr>
        <w:jc w:val="both"/>
        <w:rPr>
          <w:sz w:val="22"/>
          <w:szCs w:val="22"/>
        </w:rPr>
      </w:pPr>
      <w:r w:rsidRPr="00E3344E">
        <w:rPr>
          <w:sz w:val="22"/>
          <w:szCs w:val="22"/>
        </w:rPr>
        <w:t>Ε</w:t>
      </w:r>
      <w:r w:rsidR="0077794A">
        <w:rPr>
          <w:sz w:val="22"/>
          <w:szCs w:val="22"/>
        </w:rPr>
        <w:t>πισημαίνεται ότι στις 30/09/201</w:t>
      </w:r>
      <w:r w:rsidR="0077794A" w:rsidRPr="0077794A">
        <w:rPr>
          <w:sz w:val="22"/>
          <w:szCs w:val="22"/>
        </w:rPr>
        <w:t>7</w:t>
      </w:r>
      <w:r w:rsidRPr="00E3344E">
        <w:rPr>
          <w:sz w:val="22"/>
          <w:szCs w:val="22"/>
        </w:rPr>
        <w:t xml:space="preserve"> το ύψος των ομολόγων του Ελληνικού Δημοσίου περιορίστηκε στο 1</w:t>
      </w:r>
      <w:r w:rsidR="0077794A" w:rsidRPr="0077794A">
        <w:rPr>
          <w:sz w:val="22"/>
          <w:szCs w:val="22"/>
        </w:rPr>
        <w:t>4</w:t>
      </w:r>
      <w:r w:rsidR="00C9012E">
        <w:rPr>
          <w:sz w:val="22"/>
          <w:szCs w:val="22"/>
        </w:rPr>
        <w:t>,8</w:t>
      </w:r>
      <w:r w:rsidRPr="00E3344E">
        <w:rPr>
          <w:sz w:val="22"/>
          <w:szCs w:val="22"/>
        </w:rPr>
        <w:t xml:space="preserve">% του χρέους Κεντρικής Διοίκησης (έναντι 91% το 2009) και αντικαταστάθηκε με δάνεια που ελήφθησαν από το Μηχανισμό Στήριξης, τα οποία αποτελούν πλέον το </w:t>
      </w:r>
      <w:r w:rsidR="0077794A" w:rsidRPr="0077794A">
        <w:rPr>
          <w:sz w:val="22"/>
          <w:szCs w:val="22"/>
        </w:rPr>
        <w:t>7</w:t>
      </w:r>
      <w:r w:rsidR="0077794A">
        <w:rPr>
          <w:sz w:val="22"/>
          <w:szCs w:val="22"/>
        </w:rPr>
        <w:t>1</w:t>
      </w:r>
      <w:r w:rsidR="0077794A" w:rsidRPr="0077794A">
        <w:rPr>
          <w:sz w:val="22"/>
          <w:szCs w:val="22"/>
        </w:rPr>
        <w:t>,2</w:t>
      </w:r>
      <w:r w:rsidRPr="00E3344E">
        <w:rPr>
          <w:sz w:val="22"/>
          <w:szCs w:val="22"/>
        </w:rPr>
        <w:t>% του χρέους Κεντρικής Διοίκησης (διάγραμμα 4.2).</w:t>
      </w:r>
    </w:p>
    <w:p w:rsidR="000D0A85" w:rsidRDefault="000D0A85" w:rsidP="000D0A85">
      <w:pPr>
        <w:jc w:val="both"/>
        <w:rPr>
          <w:sz w:val="22"/>
          <w:szCs w:val="22"/>
        </w:rPr>
      </w:pPr>
    </w:p>
    <w:tbl>
      <w:tblPr>
        <w:tblW w:w="9288" w:type="dxa"/>
        <w:tblBorders>
          <w:insideV w:val="single" w:sz="4" w:space="0" w:color="auto"/>
        </w:tblBorders>
        <w:tblLook w:val="00A0"/>
      </w:tblPr>
      <w:tblGrid>
        <w:gridCol w:w="9288"/>
      </w:tblGrid>
      <w:tr w:rsidR="000D0A85" w:rsidRPr="0015043C" w:rsidTr="00451ECA">
        <w:trPr>
          <w:trHeight w:val="476"/>
        </w:trPr>
        <w:tc>
          <w:tcPr>
            <w:tcW w:w="9288" w:type="dxa"/>
            <w:shd w:val="clear" w:color="auto" w:fill="404040" w:themeFill="text1" w:themeFillTint="BF"/>
          </w:tcPr>
          <w:p w:rsidR="000D0A85" w:rsidRPr="0015043C" w:rsidRDefault="000D0A85" w:rsidP="00451ECA">
            <w:pPr>
              <w:spacing w:before="120"/>
              <w:jc w:val="center"/>
              <w:rPr>
                <w:rFonts w:ascii="Arial Narrow" w:hAnsi="Arial Narrow"/>
                <w:b/>
                <w:color w:val="FFFFFF"/>
              </w:rPr>
            </w:pPr>
            <w:r w:rsidRPr="0015043C">
              <w:rPr>
                <w:rFonts w:ascii="Arial Narrow" w:hAnsi="Arial Narrow"/>
                <w:b/>
                <w:color w:val="FFFFFF"/>
              </w:rPr>
              <w:t xml:space="preserve">Διάγραμμα </w:t>
            </w:r>
            <w:r>
              <w:rPr>
                <w:rFonts w:ascii="Arial Narrow" w:hAnsi="Arial Narrow"/>
                <w:b/>
                <w:color w:val="FFFFFF"/>
              </w:rPr>
              <w:t>4.</w:t>
            </w:r>
            <w:r w:rsidRPr="005F24E1">
              <w:rPr>
                <w:rFonts w:ascii="Arial Narrow" w:hAnsi="Arial Narrow"/>
                <w:b/>
                <w:color w:val="FFFFFF"/>
              </w:rPr>
              <w:t>2</w:t>
            </w:r>
            <w:r w:rsidRPr="0015043C">
              <w:rPr>
                <w:rFonts w:ascii="Arial Narrow" w:hAnsi="Arial Narrow"/>
                <w:b/>
                <w:color w:val="FFFFFF"/>
              </w:rPr>
              <w:t xml:space="preserve">  Σύνθεση χρέους Κεντρικής </w:t>
            </w:r>
            <w:r>
              <w:rPr>
                <w:rFonts w:ascii="Arial Narrow" w:hAnsi="Arial Narrow"/>
                <w:b/>
                <w:color w:val="FFFFFF"/>
              </w:rPr>
              <w:t>Διοίκησης</w:t>
            </w:r>
          </w:p>
          <w:p w:rsidR="000D0A85" w:rsidRPr="00C5708C" w:rsidRDefault="000D0A85" w:rsidP="00451ECA">
            <w:pPr>
              <w:spacing w:after="120"/>
              <w:jc w:val="center"/>
              <w:rPr>
                <w:sz w:val="22"/>
                <w:szCs w:val="22"/>
              </w:rPr>
            </w:pPr>
            <w:r w:rsidRPr="0015043C">
              <w:rPr>
                <w:rFonts w:ascii="Arial Narrow" w:hAnsi="Arial Narrow"/>
                <w:b/>
                <w:color w:val="FFFFFF"/>
              </w:rPr>
              <w:t>την 3</w:t>
            </w:r>
            <w:r w:rsidRPr="005F24E1">
              <w:rPr>
                <w:rFonts w:ascii="Arial Narrow" w:hAnsi="Arial Narrow"/>
                <w:b/>
                <w:color w:val="FFFFFF"/>
              </w:rPr>
              <w:t>0</w:t>
            </w:r>
            <w:r w:rsidRPr="0015043C">
              <w:rPr>
                <w:rFonts w:ascii="Arial Narrow" w:hAnsi="Arial Narrow"/>
                <w:b/>
                <w:color w:val="FFFFFF"/>
              </w:rPr>
              <w:t>/</w:t>
            </w:r>
            <w:r w:rsidRPr="005F24E1">
              <w:rPr>
                <w:rFonts w:ascii="Arial Narrow" w:hAnsi="Arial Narrow"/>
                <w:b/>
                <w:color w:val="FFFFFF"/>
              </w:rPr>
              <w:t>9</w:t>
            </w:r>
            <w:r w:rsidRPr="0015043C">
              <w:rPr>
                <w:rFonts w:ascii="Arial Narrow" w:hAnsi="Arial Narrow"/>
                <w:b/>
                <w:color w:val="FFFFFF"/>
              </w:rPr>
              <w:t>/201</w:t>
            </w:r>
            <w:r w:rsidR="003957CB" w:rsidRPr="00C5708C">
              <w:rPr>
                <w:rFonts w:ascii="Arial Narrow" w:hAnsi="Arial Narrow"/>
                <w:b/>
                <w:color w:val="FFFFFF"/>
              </w:rPr>
              <w:t>7</w:t>
            </w:r>
          </w:p>
        </w:tc>
      </w:tr>
      <w:tr w:rsidR="000D0A85" w:rsidRPr="0015043C" w:rsidTr="00451ECA">
        <w:tc>
          <w:tcPr>
            <w:tcW w:w="9288" w:type="dxa"/>
          </w:tcPr>
          <w:p w:rsidR="000D0A85" w:rsidRPr="0015043C" w:rsidRDefault="003957CB" w:rsidP="00451ECA">
            <w:pPr>
              <w:jc w:val="center"/>
              <w:rPr>
                <w:sz w:val="22"/>
                <w:szCs w:val="22"/>
              </w:rPr>
            </w:pPr>
            <w:r w:rsidRPr="003957CB">
              <w:rPr>
                <w:noProof/>
                <w:sz w:val="22"/>
                <w:szCs w:val="22"/>
              </w:rPr>
              <w:drawing>
                <wp:inline distT="0" distB="0" distL="0" distR="0">
                  <wp:extent cx="4713817" cy="2379133"/>
                  <wp:effectExtent l="19050" t="0" r="0" b="0"/>
                  <wp:docPr id="8"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0D0A85" w:rsidRPr="0015043C" w:rsidRDefault="000D0A85" w:rsidP="000D0A85">
      <w:pPr>
        <w:jc w:val="both"/>
        <w:rPr>
          <w:szCs w:val="22"/>
        </w:rPr>
      </w:pPr>
      <w:r>
        <w:rPr>
          <w:rFonts w:ascii="Arial Narrow" w:hAnsi="Arial Narrow"/>
          <w:sz w:val="16"/>
          <w:szCs w:val="16"/>
        </w:rPr>
        <w:t>Π</w:t>
      </w:r>
      <w:r w:rsidRPr="0015043C">
        <w:rPr>
          <w:rFonts w:ascii="Arial Narrow" w:hAnsi="Arial Narrow"/>
          <w:sz w:val="16"/>
          <w:szCs w:val="16"/>
        </w:rPr>
        <w:t xml:space="preserve">ηγή:  </w:t>
      </w:r>
      <w:r w:rsidR="00D869D2">
        <w:rPr>
          <w:rFonts w:ascii="Arial Narrow" w:hAnsi="Arial Narrow"/>
          <w:sz w:val="16"/>
          <w:szCs w:val="16"/>
        </w:rPr>
        <w:t>ΟΔΔΗΧ</w:t>
      </w:r>
    </w:p>
    <w:p w:rsidR="000D0A85" w:rsidRDefault="000D0A85" w:rsidP="000D0A85">
      <w:pPr>
        <w:jc w:val="both"/>
        <w:rPr>
          <w:sz w:val="22"/>
        </w:rPr>
      </w:pPr>
    </w:p>
    <w:p w:rsidR="001829F9" w:rsidRPr="0015043C" w:rsidRDefault="001829F9" w:rsidP="000D0A85">
      <w:pPr>
        <w:jc w:val="both"/>
        <w:rPr>
          <w:sz w:val="22"/>
        </w:rPr>
      </w:pPr>
    </w:p>
    <w:p w:rsidR="000D0A85" w:rsidRPr="00510ABA" w:rsidRDefault="000D0A85" w:rsidP="000A55D8">
      <w:pPr>
        <w:jc w:val="both"/>
        <w:rPr>
          <w:sz w:val="22"/>
        </w:rPr>
      </w:pPr>
      <w:r w:rsidRPr="00510ABA">
        <w:rPr>
          <w:sz w:val="22"/>
        </w:rPr>
        <w:t xml:space="preserve">Η μέση υπολειπόμενη φυσική διάρκεια του χρέους της Κεντρικής Διοίκησης </w:t>
      </w:r>
      <w:r>
        <w:rPr>
          <w:sz w:val="22"/>
        </w:rPr>
        <w:t xml:space="preserve">ήταν </w:t>
      </w:r>
      <w:r w:rsidR="006F1685">
        <w:rPr>
          <w:sz w:val="22"/>
        </w:rPr>
        <w:t>6,3</w:t>
      </w:r>
      <w:r>
        <w:rPr>
          <w:sz w:val="22"/>
        </w:rPr>
        <w:t xml:space="preserve"> έτη το 20</w:t>
      </w:r>
      <w:r w:rsidR="006F1685">
        <w:rPr>
          <w:sz w:val="22"/>
        </w:rPr>
        <w:t>11</w:t>
      </w:r>
      <w:r>
        <w:rPr>
          <w:sz w:val="22"/>
        </w:rPr>
        <w:t>, ε</w:t>
      </w:r>
      <w:r w:rsidR="003957CB">
        <w:rPr>
          <w:sz w:val="22"/>
        </w:rPr>
        <w:t>νώ, στις 30/9/2017</w:t>
      </w:r>
      <w:r>
        <w:rPr>
          <w:sz w:val="22"/>
        </w:rPr>
        <w:t xml:space="preserve">, έχει </w:t>
      </w:r>
      <w:r w:rsidR="008C70C3">
        <w:rPr>
          <w:sz w:val="22"/>
        </w:rPr>
        <w:t xml:space="preserve">σχεδόν τριπλασιαστεί </w:t>
      </w:r>
      <w:r>
        <w:rPr>
          <w:sz w:val="22"/>
        </w:rPr>
        <w:t xml:space="preserve">και διαμορφώθηκε </w:t>
      </w:r>
      <w:r w:rsidR="00A27B7A">
        <w:rPr>
          <w:sz w:val="22"/>
        </w:rPr>
        <w:t>στα</w:t>
      </w:r>
      <w:r>
        <w:rPr>
          <w:sz w:val="22"/>
        </w:rPr>
        <w:t xml:space="preserve"> </w:t>
      </w:r>
      <w:r w:rsidR="003957CB">
        <w:rPr>
          <w:sz w:val="22"/>
        </w:rPr>
        <w:t xml:space="preserve">18,64 </w:t>
      </w:r>
      <w:r>
        <w:rPr>
          <w:sz w:val="22"/>
        </w:rPr>
        <w:t>έτη</w:t>
      </w:r>
      <w:r>
        <w:rPr>
          <w:bCs/>
          <w:sz w:val="22"/>
        </w:rPr>
        <w:t xml:space="preserve"> </w:t>
      </w:r>
      <w:r w:rsidRPr="00510ABA">
        <w:rPr>
          <w:sz w:val="22"/>
        </w:rPr>
        <w:t xml:space="preserve">(Πίνακας 4.4). </w:t>
      </w:r>
    </w:p>
    <w:p w:rsidR="000A55D8" w:rsidRPr="005F24E1" w:rsidRDefault="000A55D8" w:rsidP="000D0A85">
      <w:pPr>
        <w:jc w:val="both"/>
        <w:rPr>
          <w:sz w:val="22"/>
        </w:rPr>
      </w:pPr>
    </w:p>
    <w:p w:rsidR="000D0A85" w:rsidRPr="00510ABA" w:rsidRDefault="000D0A85" w:rsidP="000D0A85">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1440"/>
        <w:gridCol w:w="1623"/>
        <w:gridCol w:w="1299"/>
      </w:tblGrid>
      <w:tr w:rsidR="000D0A85" w:rsidRPr="0015043C" w:rsidTr="00451ECA">
        <w:trPr>
          <w:jc w:val="center"/>
        </w:trPr>
        <w:tc>
          <w:tcPr>
            <w:tcW w:w="6134" w:type="dxa"/>
            <w:gridSpan w:val="4"/>
            <w:tcBorders>
              <w:bottom w:val="nil"/>
            </w:tcBorders>
            <w:shd w:val="clear" w:color="auto" w:fill="404040" w:themeFill="text1" w:themeFillTint="BF"/>
            <w:tcMar>
              <w:left w:w="28" w:type="dxa"/>
              <w:right w:w="28" w:type="dxa"/>
            </w:tcMar>
          </w:tcPr>
          <w:p w:rsidR="000D0A85" w:rsidRPr="0015043C" w:rsidRDefault="000D0A85" w:rsidP="00451ECA">
            <w:pPr>
              <w:autoSpaceDE w:val="0"/>
              <w:autoSpaceDN w:val="0"/>
              <w:adjustRightInd w:val="0"/>
              <w:spacing w:before="120"/>
              <w:jc w:val="center"/>
              <w:rPr>
                <w:rFonts w:ascii="Arial Narrow" w:hAnsi="Arial Narrow" w:cs="TimesNewRoman,Bold+1"/>
                <w:b/>
                <w:bCs/>
                <w:color w:val="FFFFFF"/>
                <w:szCs w:val="22"/>
              </w:rPr>
            </w:pPr>
            <w:r w:rsidRPr="0015043C">
              <w:rPr>
                <w:rFonts w:ascii="Arial Narrow" w:hAnsi="Arial Narrow" w:cs="TimesNewRoman,Bold+1"/>
                <w:b/>
                <w:bCs/>
                <w:color w:val="FFFFFF"/>
                <w:szCs w:val="22"/>
              </w:rPr>
              <w:t xml:space="preserve">Πίνακας </w:t>
            </w:r>
            <w:r w:rsidRPr="00392857">
              <w:rPr>
                <w:rFonts w:ascii="Arial Narrow" w:hAnsi="Arial Narrow" w:cs="TimesNewRoman,Bold"/>
                <w:b/>
                <w:bCs/>
                <w:color w:val="FFFFFF"/>
                <w:szCs w:val="22"/>
              </w:rPr>
              <w:t>4</w:t>
            </w:r>
            <w:r w:rsidRPr="0015043C">
              <w:rPr>
                <w:rFonts w:ascii="Arial Narrow" w:hAnsi="Arial Narrow" w:cs="TimesNewRoman,Bold"/>
                <w:b/>
                <w:bCs/>
                <w:color w:val="FFFFFF"/>
                <w:szCs w:val="22"/>
              </w:rPr>
              <w:t xml:space="preserve">.4   </w:t>
            </w:r>
            <w:r w:rsidRPr="0015043C">
              <w:rPr>
                <w:rFonts w:ascii="Arial Narrow" w:hAnsi="Arial Narrow" w:cs="TimesNewRoman,Bold+1"/>
                <w:b/>
                <w:bCs/>
                <w:color w:val="FFFFFF"/>
                <w:szCs w:val="22"/>
              </w:rPr>
              <w:t>Μέση υπολειπόμενη φυσική</w:t>
            </w:r>
          </w:p>
          <w:p w:rsidR="000D0A85" w:rsidRPr="0015043C" w:rsidRDefault="000D0A85" w:rsidP="00451ECA">
            <w:pPr>
              <w:autoSpaceDE w:val="0"/>
              <w:autoSpaceDN w:val="0"/>
              <w:adjustRightInd w:val="0"/>
              <w:spacing w:after="120"/>
              <w:jc w:val="center"/>
              <w:rPr>
                <w:rFonts w:ascii="Arial Narrow" w:hAnsi="Arial Narrow" w:cs="TimesNewRoman,Bold"/>
                <w:b/>
                <w:bCs/>
                <w:color w:val="FFFFFF"/>
                <w:sz w:val="22"/>
                <w:szCs w:val="22"/>
              </w:rPr>
            </w:pPr>
            <w:r w:rsidRPr="0015043C">
              <w:rPr>
                <w:rFonts w:ascii="Arial Narrow" w:hAnsi="Arial Narrow" w:cs="TimesNewRoman,Bold+1"/>
                <w:b/>
                <w:bCs/>
                <w:color w:val="FFFFFF"/>
                <w:szCs w:val="22"/>
              </w:rPr>
              <w:t xml:space="preserve">διάρκεια χρέους Κεντρικής </w:t>
            </w:r>
            <w:r>
              <w:rPr>
                <w:rFonts w:ascii="Arial Narrow" w:hAnsi="Arial Narrow" w:cs="TimesNewRoman,Bold+1"/>
                <w:b/>
                <w:bCs/>
                <w:color w:val="FFFFFF"/>
                <w:szCs w:val="22"/>
              </w:rPr>
              <w:t>Διοίκησης</w:t>
            </w:r>
          </w:p>
        </w:tc>
      </w:tr>
      <w:tr w:rsidR="000D0A85" w:rsidRPr="0015043C" w:rsidTr="00451ECA">
        <w:trPr>
          <w:jc w:val="center"/>
        </w:trPr>
        <w:tc>
          <w:tcPr>
            <w:tcW w:w="1772" w:type="dxa"/>
            <w:tcBorders>
              <w:top w:val="nil"/>
              <w:bottom w:val="single" w:sz="4" w:space="0" w:color="auto"/>
              <w:right w:val="nil"/>
            </w:tcBorders>
            <w:tcMar>
              <w:left w:w="28" w:type="dxa"/>
              <w:right w:w="28" w:type="dxa"/>
            </w:tcMar>
          </w:tcPr>
          <w:p w:rsidR="000D0A85" w:rsidRPr="0015043C" w:rsidRDefault="000D0A85" w:rsidP="00451ECA">
            <w:pPr>
              <w:autoSpaceDE w:val="0"/>
              <w:autoSpaceDN w:val="0"/>
              <w:adjustRightInd w:val="0"/>
              <w:jc w:val="center"/>
              <w:rPr>
                <w:rFonts w:ascii="Arial Narrow" w:hAnsi="Arial Narrow" w:cs="TimesNewRoman,Bold"/>
                <w:b/>
                <w:bCs/>
                <w:sz w:val="10"/>
                <w:szCs w:val="16"/>
              </w:rPr>
            </w:pPr>
          </w:p>
        </w:tc>
        <w:tc>
          <w:tcPr>
            <w:tcW w:w="4362" w:type="dxa"/>
            <w:gridSpan w:val="3"/>
            <w:tcBorders>
              <w:top w:val="nil"/>
              <w:left w:val="nil"/>
              <w:bottom w:val="single" w:sz="4" w:space="0" w:color="auto"/>
            </w:tcBorders>
          </w:tcPr>
          <w:p w:rsidR="000D0A85" w:rsidRPr="0015043C" w:rsidRDefault="000D0A85" w:rsidP="00451ECA">
            <w:pPr>
              <w:autoSpaceDE w:val="0"/>
              <w:autoSpaceDN w:val="0"/>
              <w:adjustRightInd w:val="0"/>
              <w:jc w:val="center"/>
              <w:rPr>
                <w:rFonts w:ascii="Arial Narrow" w:hAnsi="Arial Narrow" w:cs="TimesNewRoman,Bold"/>
                <w:b/>
                <w:bCs/>
                <w:sz w:val="10"/>
                <w:szCs w:val="16"/>
              </w:rPr>
            </w:pPr>
          </w:p>
        </w:tc>
      </w:tr>
      <w:tr w:rsidR="000D0A85" w:rsidRPr="0015043C" w:rsidTr="00451ECA">
        <w:trPr>
          <w:jc w:val="center"/>
        </w:trPr>
        <w:tc>
          <w:tcPr>
            <w:tcW w:w="1772" w:type="dxa"/>
            <w:vMerge w:val="restart"/>
            <w:tcMar>
              <w:left w:w="28" w:type="dxa"/>
              <w:right w:w="28" w:type="dxa"/>
            </w:tcMar>
            <w:vAlign w:val="center"/>
          </w:tcPr>
          <w:p w:rsidR="000D0A85" w:rsidRPr="0015043C" w:rsidRDefault="000D0A85" w:rsidP="00451ECA">
            <w:pPr>
              <w:pStyle w:val="6"/>
            </w:pPr>
            <w:r w:rsidRPr="0015043C">
              <w:t>Ημερομηνία</w:t>
            </w:r>
          </w:p>
        </w:tc>
        <w:tc>
          <w:tcPr>
            <w:tcW w:w="4362" w:type="dxa"/>
            <w:gridSpan w:val="3"/>
            <w:tcBorders>
              <w:bottom w:val="single" w:sz="4" w:space="0" w:color="auto"/>
            </w:tcBorders>
          </w:tcPr>
          <w:p w:rsidR="000D0A85" w:rsidRPr="0015043C" w:rsidRDefault="000D0A85" w:rsidP="00451ECA">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 xml:space="preserve">Μέση Διάρκεια σε έτη </w:t>
            </w:r>
          </w:p>
        </w:tc>
      </w:tr>
      <w:tr w:rsidR="000D0A85" w:rsidRPr="0015043C" w:rsidTr="00451ECA">
        <w:trPr>
          <w:jc w:val="center"/>
        </w:trPr>
        <w:tc>
          <w:tcPr>
            <w:tcW w:w="1772" w:type="dxa"/>
            <w:vMerge/>
            <w:tcBorders>
              <w:bottom w:val="single" w:sz="4" w:space="0" w:color="auto"/>
            </w:tcBorders>
            <w:tcMar>
              <w:left w:w="28" w:type="dxa"/>
              <w:right w:w="28" w:type="dxa"/>
            </w:tcMar>
            <w:vAlign w:val="center"/>
          </w:tcPr>
          <w:p w:rsidR="000D0A85" w:rsidRPr="0015043C" w:rsidRDefault="000D0A85" w:rsidP="00451ECA">
            <w:pPr>
              <w:autoSpaceDE w:val="0"/>
              <w:autoSpaceDN w:val="0"/>
              <w:adjustRightInd w:val="0"/>
              <w:jc w:val="center"/>
              <w:rPr>
                <w:rFonts w:ascii="Arial Narrow" w:hAnsi="Arial Narrow" w:cs="TimesNewRoman,Bold"/>
                <w:b/>
                <w:bCs/>
                <w:sz w:val="16"/>
                <w:szCs w:val="16"/>
              </w:rPr>
            </w:pPr>
          </w:p>
        </w:tc>
        <w:tc>
          <w:tcPr>
            <w:tcW w:w="1440" w:type="dxa"/>
            <w:tcBorders>
              <w:bottom w:val="single" w:sz="4" w:space="0" w:color="auto"/>
              <w:right w:val="nil"/>
            </w:tcBorders>
            <w:vAlign w:val="center"/>
          </w:tcPr>
          <w:p w:rsidR="000D0A85" w:rsidRPr="0015043C" w:rsidRDefault="000D0A85" w:rsidP="00451ECA">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Χρέος σε ευρώ</w:t>
            </w:r>
          </w:p>
        </w:tc>
        <w:tc>
          <w:tcPr>
            <w:tcW w:w="1623" w:type="dxa"/>
            <w:tcBorders>
              <w:left w:val="nil"/>
              <w:bottom w:val="single" w:sz="4" w:space="0" w:color="auto"/>
              <w:right w:val="nil"/>
            </w:tcBorders>
            <w:vAlign w:val="center"/>
          </w:tcPr>
          <w:p w:rsidR="000D0A85" w:rsidRPr="0015043C" w:rsidRDefault="000D0A85" w:rsidP="00451ECA">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Χρέος εκτός ζώνης ευρώ</w:t>
            </w:r>
          </w:p>
        </w:tc>
        <w:tc>
          <w:tcPr>
            <w:tcW w:w="1299" w:type="dxa"/>
            <w:tcBorders>
              <w:left w:val="nil"/>
              <w:bottom w:val="single" w:sz="4" w:space="0" w:color="auto"/>
            </w:tcBorders>
            <w:vAlign w:val="center"/>
          </w:tcPr>
          <w:p w:rsidR="000D0A85" w:rsidRPr="0015043C" w:rsidRDefault="000D0A85" w:rsidP="00451ECA">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Συνολικό χρέος</w:t>
            </w:r>
          </w:p>
        </w:tc>
      </w:tr>
      <w:tr w:rsidR="00421575" w:rsidRPr="0015043C" w:rsidTr="00421575">
        <w:trPr>
          <w:jc w:val="center"/>
        </w:trPr>
        <w:tc>
          <w:tcPr>
            <w:tcW w:w="1772" w:type="dxa"/>
            <w:tcBorders>
              <w:top w:val="nil"/>
              <w:bottom w:val="nil"/>
              <w:right w:val="nil"/>
            </w:tcBorders>
            <w:shd w:val="clear" w:color="auto" w:fill="auto"/>
            <w:tcMar>
              <w:left w:w="28" w:type="dxa"/>
              <w:right w:w="28" w:type="dxa"/>
            </w:tcMar>
          </w:tcPr>
          <w:p w:rsidR="00421575" w:rsidRPr="0090122D" w:rsidRDefault="00421575" w:rsidP="000A55D8">
            <w:pPr>
              <w:autoSpaceDE w:val="0"/>
              <w:autoSpaceDN w:val="0"/>
              <w:adjustRightInd w:val="0"/>
              <w:spacing w:before="120" w:after="120"/>
              <w:ind w:firstLine="540"/>
              <w:rPr>
                <w:rFonts w:ascii="Arial Narrow" w:hAnsi="Arial Narrow" w:cs="TimesNewRoman,Bold"/>
                <w:bCs/>
                <w:sz w:val="16"/>
                <w:szCs w:val="16"/>
                <w:lang w:val="en-GB"/>
              </w:rPr>
            </w:pPr>
            <w:r w:rsidRPr="0015043C">
              <w:rPr>
                <w:rFonts w:ascii="Arial Narrow" w:hAnsi="Arial Narrow" w:cs="TimesNewRoman,Bold"/>
                <w:bCs/>
                <w:sz w:val="16"/>
                <w:szCs w:val="16"/>
              </w:rPr>
              <w:t>3</w:t>
            </w:r>
            <w:r w:rsidRPr="0015043C">
              <w:rPr>
                <w:rFonts w:ascii="Arial Narrow" w:hAnsi="Arial Narrow" w:cs="TimesNewRoman,Bold"/>
                <w:bCs/>
                <w:sz w:val="16"/>
                <w:szCs w:val="16"/>
                <w:lang w:val="en-US"/>
              </w:rPr>
              <w:t>1/12</w:t>
            </w:r>
            <w:r>
              <w:rPr>
                <w:rFonts w:ascii="Arial Narrow" w:hAnsi="Arial Narrow" w:cs="TimesNewRoman,Bold"/>
                <w:bCs/>
                <w:sz w:val="16"/>
                <w:szCs w:val="16"/>
              </w:rPr>
              <w:t>/20</w:t>
            </w:r>
            <w:r>
              <w:rPr>
                <w:rFonts w:ascii="Arial Narrow" w:hAnsi="Arial Narrow" w:cs="TimesNewRoman,Bold"/>
                <w:bCs/>
                <w:sz w:val="16"/>
                <w:szCs w:val="16"/>
                <w:lang w:val="en-GB"/>
              </w:rPr>
              <w:t>11</w:t>
            </w:r>
          </w:p>
        </w:tc>
        <w:tc>
          <w:tcPr>
            <w:tcW w:w="1440"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6,28</w:t>
            </w:r>
          </w:p>
        </w:tc>
        <w:tc>
          <w:tcPr>
            <w:tcW w:w="1623"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3,21</w:t>
            </w:r>
          </w:p>
        </w:tc>
        <w:tc>
          <w:tcPr>
            <w:tcW w:w="1299" w:type="dxa"/>
            <w:tcBorders>
              <w:top w:val="nil"/>
              <w:left w:val="nil"/>
              <w:bottom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6,3</w:t>
            </w:r>
            <w:r w:rsidR="00016192">
              <w:rPr>
                <w:rFonts w:ascii="Arial Narrow" w:hAnsi="Arial Narrow" w:cs="Arial"/>
                <w:sz w:val="16"/>
                <w:szCs w:val="16"/>
              </w:rPr>
              <w:t>0</w:t>
            </w:r>
          </w:p>
        </w:tc>
      </w:tr>
      <w:tr w:rsidR="00421575" w:rsidRPr="0015043C" w:rsidTr="00421575">
        <w:trPr>
          <w:jc w:val="center"/>
        </w:trPr>
        <w:tc>
          <w:tcPr>
            <w:tcW w:w="1772" w:type="dxa"/>
            <w:tcBorders>
              <w:top w:val="nil"/>
              <w:bottom w:val="nil"/>
              <w:right w:val="nil"/>
            </w:tcBorders>
            <w:shd w:val="clear" w:color="auto" w:fill="auto"/>
            <w:tcMar>
              <w:left w:w="28" w:type="dxa"/>
              <w:right w:w="28" w:type="dxa"/>
            </w:tcMar>
          </w:tcPr>
          <w:p w:rsidR="00421575" w:rsidRPr="00DB5197" w:rsidRDefault="00421575" w:rsidP="000A55D8">
            <w:pPr>
              <w:autoSpaceDE w:val="0"/>
              <w:autoSpaceDN w:val="0"/>
              <w:adjustRightInd w:val="0"/>
              <w:spacing w:before="120" w:after="120"/>
              <w:ind w:firstLine="540"/>
              <w:rPr>
                <w:rFonts w:ascii="Arial Narrow" w:hAnsi="Arial Narrow" w:cs="TimesNewRoman,Bold"/>
                <w:bCs/>
                <w:sz w:val="16"/>
                <w:szCs w:val="16"/>
                <w:lang w:val="en-GB"/>
              </w:rPr>
            </w:pPr>
            <w:r>
              <w:rPr>
                <w:rFonts w:ascii="Arial Narrow" w:hAnsi="Arial Narrow" w:cs="TimesNewRoman,Bold"/>
                <w:bCs/>
                <w:sz w:val="16"/>
                <w:szCs w:val="16"/>
                <w:lang w:val="en-GB"/>
              </w:rPr>
              <w:t>3</w:t>
            </w:r>
            <w:r>
              <w:rPr>
                <w:rFonts w:ascii="Arial Narrow" w:hAnsi="Arial Narrow" w:cs="TimesNewRoman,Bold"/>
                <w:bCs/>
                <w:sz w:val="16"/>
                <w:szCs w:val="16"/>
              </w:rPr>
              <w:t>1</w:t>
            </w:r>
            <w:r>
              <w:rPr>
                <w:rFonts w:ascii="Arial Narrow" w:hAnsi="Arial Narrow" w:cs="TimesNewRoman,Bold"/>
                <w:bCs/>
                <w:sz w:val="16"/>
                <w:szCs w:val="16"/>
                <w:lang w:val="en-GB"/>
              </w:rPr>
              <w:t>/</w:t>
            </w:r>
            <w:r>
              <w:rPr>
                <w:rFonts w:ascii="Arial Narrow" w:hAnsi="Arial Narrow" w:cs="TimesNewRoman,Bold"/>
                <w:bCs/>
                <w:sz w:val="16"/>
                <w:szCs w:val="16"/>
              </w:rPr>
              <w:t>12</w:t>
            </w:r>
            <w:r>
              <w:rPr>
                <w:rFonts w:ascii="Arial Narrow" w:hAnsi="Arial Narrow" w:cs="TimesNewRoman,Bold"/>
                <w:bCs/>
                <w:sz w:val="16"/>
                <w:szCs w:val="16"/>
                <w:lang w:val="en-GB"/>
              </w:rPr>
              <w:t>/2012</w:t>
            </w:r>
          </w:p>
        </w:tc>
        <w:tc>
          <w:tcPr>
            <w:tcW w:w="1440"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15,72</w:t>
            </w:r>
          </w:p>
        </w:tc>
        <w:tc>
          <w:tcPr>
            <w:tcW w:w="1623"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2,36</w:t>
            </w:r>
          </w:p>
        </w:tc>
        <w:tc>
          <w:tcPr>
            <w:tcW w:w="1299" w:type="dxa"/>
            <w:tcBorders>
              <w:top w:val="nil"/>
              <w:left w:val="nil"/>
              <w:bottom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15,29</w:t>
            </w:r>
          </w:p>
        </w:tc>
      </w:tr>
      <w:tr w:rsidR="00421575" w:rsidRPr="0015043C" w:rsidTr="00421575">
        <w:trPr>
          <w:jc w:val="center"/>
        </w:trPr>
        <w:tc>
          <w:tcPr>
            <w:tcW w:w="1772" w:type="dxa"/>
            <w:tcBorders>
              <w:top w:val="nil"/>
              <w:bottom w:val="nil"/>
              <w:right w:val="nil"/>
            </w:tcBorders>
            <w:shd w:val="clear" w:color="auto" w:fill="auto"/>
            <w:tcMar>
              <w:left w:w="28" w:type="dxa"/>
              <w:right w:w="28" w:type="dxa"/>
            </w:tcMar>
          </w:tcPr>
          <w:p w:rsidR="00421575" w:rsidRPr="00DF40E8" w:rsidRDefault="00421575" w:rsidP="000A55D8">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31/12/2013</w:t>
            </w:r>
          </w:p>
        </w:tc>
        <w:tc>
          <w:tcPr>
            <w:tcW w:w="1440"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16,54</w:t>
            </w:r>
          </w:p>
        </w:tc>
        <w:tc>
          <w:tcPr>
            <w:tcW w:w="1623"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3,76</w:t>
            </w:r>
          </w:p>
        </w:tc>
        <w:tc>
          <w:tcPr>
            <w:tcW w:w="1299" w:type="dxa"/>
            <w:tcBorders>
              <w:top w:val="nil"/>
              <w:left w:val="nil"/>
              <w:bottom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16,02</w:t>
            </w:r>
          </w:p>
        </w:tc>
      </w:tr>
      <w:tr w:rsidR="00421575" w:rsidRPr="0015043C" w:rsidTr="00421575">
        <w:trPr>
          <w:jc w:val="center"/>
        </w:trPr>
        <w:tc>
          <w:tcPr>
            <w:tcW w:w="1772" w:type="dxa"/>
            <w:tcBorders>
              <w:top w:val="nil"/>
              <w:bottom w:val="nil"/>
              <w:right w:val="nil"/>
            </w:tcBorders>
            <w:shd w:val="clear" w:color="auto" w:fill="auto"/>
            <w:tcMar>
              <w:left w:w="28" w:type="dxa"/>
              <w:right w:w="28" w:type="dxa"/>
            </w:tcMar>
          </w:tcPr>
          <w:p w:rsidR="00421575" w:rsidRPr="00DF40E8" w:rsidRDefault="00421575" w:rsidP="000A55D8">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31/12/2014</w:t>
            </w:r>
          </w:p>
        </w:tc>
        <w:tc>
          <w:tcPr>
            <w:tcW w:w="1440"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16,70</w:t>
            </w:r>
          </w:p>
        </w:tc>
        <w:tc>
          <w:tcPr>
            <w:tcW w:w="1623"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4,2</w:t>
            </w:r>
            <w:r w:rsidR="00A676D0">
              <w:rPr>
                <w:rFonts w:ascii="Arial Narrow" w:hAnsi="Arial Narrow" w:cs="Arial"/>
                <w:sz w:val="16"/>
                <w:szCs w:val="16"/>
              </w:rPr>
              <w:t>0</w:t>
            </w:r>
          </w:p>
        </w:tc>
        <w:tc>
          <w:tcPr>
            <w:tcW w:w="1299" w:type="dxa"/>
            <w:tcBorders>
              <w:top w:val="nil"/>
              <w:left w:val="nil"/>
              <w:bottom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16,16</w:t>
            </w:r>
          </w:p>
        </w:tc>
      </w:tr>
      <w:tr w:rsidR="00421575" w:rsidRPr="0015043C" w:rsidTr="00421575">
        <w:trPr>
          <w:jc w:val="center"/>
        </w:trPr>
        <w:tc>
          <w:tcPr>
            <w:tcW w:w="1772" w:type="dxa"/>
            <w:tcBorders>
              <w:top w:val="nil"/>
              <w:bottom w:val="nil"/>
              <w:right w:val="nil"/>
            </w:tcBorders>
            <w:shd w:val="clear" w:color="auto" w:fill="auto"/>
            <w:tcMar>
              <w:left w:w="28" w:type="dxa"/>
              <w:right w:w="28" w:type="dxa"/>
            </w:tcMar>
          </w:tcPr>
          <w:p w:rsidR="00421575" w:rsidRPr="00DF40E8" w:rsidRDefault="00421575" w:rsidP="00E10A32">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31/12/2015</w:t>
            </w:r>
          </w:p>
        </w:tc>
        <w:tc>
          <w:tcPr>
            <w:tcW w:w="1440"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17,21</w:t>
            </w:r>
          </w:p>
        </w:tc>
        <w:tc>
          <w:tcPr>
            <w:tcW w:w="1623" w:type="dxa"/>
            <w:tcBorders>
              <w:top w:val="nil"/>
              <w:left w:val="nil"/>
              <w:bottom w:val="nil"/>
              <w:right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4,28</w:t>
            </w:r>
          </w:p>
        </w:tc>
        <w:tc>
          <w:tcPr>
            <w:tcW w:w="1299" w:type="dxa"/>
            <w:tcBorders>
              <w:top w:val="nil"/>
              <w:left w:val="nil"/>
              <w:bottom w:val="nil"/>
            </w:tcBorders>
            <w:shd w:val="clear" w:color="auto" w:fill="auto"/>
            <w:vAlign w:val="center"/>
          </w:tcPr>
          <w:p w:rsidR="00421575" w:rsidRDefault="00421575" w:rsidP="00421575">
            <w:pPr>
              <w:ind w:right="397"/>
              <w:jc w:val="right"/>
              <w:rPr>
                <w:rFonts w:ascii="Arial Narrow" w:hAnsi="Arial Narrow" w:cs="Arial"/>
                <w:sz w:val="16"/>
                <w:szCs w:val="16"/>
              </w:rPr>
            </w:pPr>
            <w:r>
              <w:rPr>
                <w:rFonts w:ascii="Arial Narrow" w:hAnsi="Arial Narrow" w:cs="Arial"/>
                <w:sz w:val="16"/>
                <w:szCs w:val="16"/>
              </w:rPr>
              <w:t>16,76</w:t>
            </w:r>
          </w:p>
        </w:tc>
      </w:tr>
      <w:tr w:rsidR="00421575" w:rsidRPr="0015043C" w:rsidTr="006262C8">
        <w:trPr>
          <w:jc w:val="center"/>
        </w:trPr>
        <w:tc>
          <w:tcPr>
            <w:tcW w:w="1772" w:type="dxa"/>
            <w:tcBorders>
              <w:top w:val="nil"/>
              <w:bottom w:val="nil"/>
              <w:right w:val="nil"/>
            </w:tcBorders>
            <w:shd w:val="clear" w:color="auto" w:fill="auto"/>
            <w:tcMar>
              <w:left w:w="28" w:type="dxa"/>
              <w:right w:w="28" w:type="dxa"/>
            </w:tcMar>
          </w:tcPr>
          <w:p w:rsidR="00421575" w:rsidRDefault="006262C8" w:rsidP="00E10A32">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w:t>
            </w:r>
            <w:r w:rsidR="00421575">
              <w:rPr>
                <w:rFonts w:ascii="Arial Narrow" w:hAnsi="Arial Narrow" w:cs="TimesNewRoman,Bold"/>
                <w:bCs/>
                <w:sz w:val="16"/>
                <w:szCs w:val="16"/>
              </w:rPr>
              <w:t>/2016</w:t>
            </w:r>
          </w:p>
        </w:tc>
        <w:tc>
          <w:tcPr>
            <w:tcW w:w="1440" w:type="dxa"/>
            <w:tcBorders>
              <w:top w:val="nil"/>
              <w:left w:val="nil"/>
              <w:bottom w:val="nil"/>
              <w:right w:val="nil"/>
            </w:tcBorders>
            <w:shd w:val="clear" w:color="auto" w:fill="auto"/>
            <w:vAlign w:val="center"/>
          </w:tcPr>
          <w:p w:rsidR="00421575" w:rsidRDefault="006262C8" w:rsidP="00421575">
            <w:pPr>
              <w:ind w:right="397"/>
              <w:jc w:val="right"/>
              <w:rPr>
                <w:rFonts w:ascii="Arial Narrow" w:hAnsi="Arial Narrow" w:cs="Arial"/>
                <w:sz w:val="16"/>
                <w:szCs w:val="16"/>
              </w:rPr>
            </w:pPr>
            <w:r>
              <w:rPr>
                <w:rFonts w:ascii="Arial Narrow" w:hAnsi="Arial Narrow" w:cs="Arial"/>
                <w:sz w:val="16"/>
                <w:szCs w:val="16"/>
              </w:rPr>
              <w:t>17,00</w:t>
            </w:r>
          </w:p>
        </w:tc>
        <w:tc>
          <w:tcPr>
            <w:tcW w:w="1623" w:type="dxa"/>
            <w:tcBorders>
              <w:top w:val="nil"/>
              <w:left w:val="nil"/>
              <w:bottom w:val="nil"/>
              <w:right w:val="nil"/>
            </w:tcBorders>
            <w:shd w:val="clear" w:color="auto" w:fill="auto"/>
            <w:vAlign w:val="center"/>
          </w:tcPr>
          <w:p w:rsidR="00421575" w:rsidRDefault="006262C8" w:rsidP="00421575">
            <w:pPr>
              <w:ind w:right="397"/>
              <w:jc w:val="right"/>
              <w:rPr>
                <w:rFonts w:ascii="Arial Narrow" w:hAnsi="Arial Narrow" w:cs="Arial"/>
                <w:sz w:val="16"/>
                <w:szCs w:val="16"/>
              </w:rPr>
            </w:pPr>
            <w:r>
              <w:rPr>
                <w:rFonts w:ascii="Arial Narrow" w:hAnsi="Arial Narrow" w:cs="Arial"/>
                <w:sz w:val="16"/>
                <w:szCs w:val="16"/>
              </w:rPr>
              <w:t>3,7</w:t>
            </w:r>
            <w:r w:rsidR="00421575">
              <w:rPr>
                <w:rFonts w:ascii="Arial Narrow" w:hAnsi="Arial Narrow" w:cs="Arial"/>
                <w:sz w:val="16"/>
                <w:szCs w:val="16"/>
              </w:rPr>
              <w:t>3</w:t>
            </w:r>
          </w:p>
        </w:tc>
        <w:tc>
          <w:tcPr>
            <w:tcW w:w="1299" w:type="dxa"/>
            <w:tcBorders>
              <w:top w:val="nil"/>
              <w:left w:val="nil"/>
              <w:bottom w:val="nil"/>
            </w:tcBorders>
            <w:shd w:val="clear" w:color="auto" w:fill="auto"/>
            <w:vAlign w:val="center"/>
          </w:tcPr>
          <w:p w:rsidR="00421575" w:rsidRDefault="006262C8" w:rsidP="00421575">
            <w:pPr>
              <w:ind w:right="397"/>
              <w:jc w:val="right"/>
              <w:rPr>
                <w:rFonts w:ascii="Arial Narrow" w:hAnsi="Arial Narrow" w:cs="Arial"/>
                <w:sz w:val="16"/>
                <w:szCs w:val="16"/>
              </w:rPr>
            </w:pPr>
            <w:r>
              <w:rPr>
                <w:rFonts w:ascii="Arial Narrow" w:hAnsi="Arial Narrow" w:cs="Arial"/>
                <w:sz w:val="16"/>
                <w:szCs w:val="16"/>
              </w:rPr>
              <w:t>16,60</w:t>
            </w:r>
          </w:p>
        </w:tc>
      </w:tr>
      <w:tr w:rsidR="006262C8" w:rsidRPr="0015043C" w:rsidTr="00421575">
        <w:trPr>
          <w:jc w:val="center"/>
        </w:trPr>
        <w:tc>
          <w:tcPr>
            <w:tcW w:w="1772" w:type="dxa"/>
            <w:tcBorders>
              <w:top w:val="nil"/>
              <w:bottom w:val="single" w:sz="4" w:space="0" w:color="auto"/>
              <w:right w:val="nil"/>
            </w:tcBorders>
            <w:shd w:val="clear" w:color="auto" w:fill="auto"/>
            <w:tcMar>
              <w:left w:w="28" w:type="dxa"/>
              <w:right w:w="28" w:type="dxa"/>
            </w:tcMar>
          </w:tcPr>
          <w:p w:rsidR="006262C8" w:rsidRDefault="006262C8" w:rsidP="00E10A32">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30/09/2017</w:t>
            </w:r>
          </w:p>
        </w:tc>
        <w:tc>
          <w:tcPr>
            <w:tcW w:w="1440" w:type="dxa"/>
            <w:tcBorders>
              <w:top w:val="nil"/>
              <w:left w:val="nil"/>
              <w:bottom w:val="single" w:sz="4" w:space="0" w:color="auto"/>
              <w:right w:val="nil"/>
            </w:tcBorders>
            <w:shd w:val="clear" w:color="auto" w:fill="auto"/>
            <w:vAlign w:val="center"/>
          </w:tcPr>
          <w:p w:rsidR="006262C8" w:rsidRDefault="006262C8" w:rsidP="00421575">
            <w:pPr>
              <w:ind w:right="397"/>
              <w:jc w:val="right"/>
              <w:rPr>
                <w:rFonts w:ascii="Arial Narrow" w:hAnsi="Arial Narrow" w:cs="Arial"/>
                <w:sz w:val="16"/>
                <w:szCs w:val="16"/>
              </w:rPr>
            </w:pPr>
            <w:r>
              <w:rPr>
                <w:rFonts w:ascii="Arial Narrow" w:hAnsi="Arial Narrow" w:cs="Arial"/>
                <w:sz w:val="16"/>
                <w:szCs w:val="16"/>
              </w:rPr>
              <w:t>19,07</w:t>
            </w:r>
          </w:p>
        </w:tc>
        <w:tc>
          <w:tcPr>
            <w:tcW w:w="1623" w:type="dxa"/>
            <w:tcBorders>
              <w:top w:val="nil"/>
              <w:left w:val="nil"/>
              <w:bottom w:val="single" w:sz="4" w:space="0" w:color="auto"/>
              <w:right w:val="nil"/>
            </w:tcBorders>
            <w:shd w:val="clear" w:color="auto" w:fill="auto"/>
            <w:vAlign w:val="center"/>
          </w:tcPr>
          <w:p w:rsidR="006262C8" w:rsidRDefault="006262C8" w:rsidP="00421575">
            <w:pPr>
              <w:ind w:right="397"/>
              <w:jc w:val="right"/>
              <w:rPr>
                <w:rFonts w:ascii="Arial Narrow" w:hAnsi="Arial Narrow" w:cs="Arial"/>
                <w:sz w:val="16"/>
                <w:szCs w:val="16"/>
              </w:rPr>
            </w:pPr>
            <w:r>
              <w:rPr>
                <w:rFonts w:ascii="Arial Narrow" w:hAnsi="Arial Narrow" w:cs="Arial"/>
                <w:sz w:val="16"/>
                <w:szCs w:val="16"/>
              </w:rPr>
              <w:t>3,21</w:t>
            </w:r>
          </w:p>
        </w:tc>
        <w:tc>
          <w:tcPr>
            <w:tcW w:w="1299" w:type="dxa"/>
            <w:tcBorders>
              <w:top w:val="nil"/>
              <w:left w:val="nil"/>
              <w:bottom w:val="single" w:sz="4" w:space="0" w:color="auto"/>
            </w:tcBorders>
            <w:shd w:val="clear" w:color="auto" w:fill="auto"/>
            <w:vAlign w:val="center"/>
          </w:tcPr>
          <w:p w:rsidR="006262C8" w:rsidRDefault="006262C8" w:rsidP="00421575">
            <w:pPr>
              <w:ind w:right="397"/>
              <w:jc w:val="right"/>
              <w:rPr>
                <w:rFonts w:ascii="Arial Narrow" w:hAnsi="Arial Narrow" w:cs="Arial"/>
                <w:sz w:val="16"/>
                <w:szCs w:val="16"/>
              </w:rPr>
            </w:pPr>
            <w:r>
              <w:rPr>
                <w:rFonts w:ascii="Arial Narrow" w:hAnsi="Arial Narrow" w:cs="Arial"/>
                <w:sz w:val="16"/>
                <w:szCs w:val="16"/>
              </w:rPr>
              <w:t>18,64</w:t>
            </w:r>
          </w:p>
        </w:tc>
      </w:tr>
    </w:tbl>
    <w:p w:rsidR="000D0A85" w:rsidRPr="0015043C" w:rsidRDefault="000D0A85" w:rsidP="000D0A85">
      <w:pPr>
        <w:ind w:firstLine="1440"/>
        <w:jc w:val="both"/>
        <w:rPr>
          <w:sz w:val="22"/>
          <w:szCs w:val="22"/>
        </w:rPr>
      </w:pPr>
      <w:r w:rsidRPr="0015043C">
        <w:rPr>
          <w:rFonts w:ascii="Arial Narrow" w:hAnsi="Arial Narrow"/>
          <w:sz w:val="16"/>
          <w:szCs w:val="16"/>
        </w:rPr>
        <w:t xml:space="preserve">Πηγή:  </w:t>
      </w:r>
      <w:r w:rsidR="00015F55">
        <w:rPr>
          <w:rFonts w:ascii="Arial Narrow" w:hAnsi="Arial Narrow"/>
          <w:sz w:val="16"/>
          <w:szCs w:val="16"/>
        </w:rPr>
        <w:t>ΟΔΔΗΧ</w:t>
      </w:r>
    </w:p>
    <w:p w:rsidR="000D0A85" w:rsidRDefault="000D0A85" w:rsidP="000D0A85">
      <w:pPr>
        <w:jc w:val="both"/>
        <w:rPr>
          <w:sz w:val="22"/>
          <w:szCs w:val="22"/>
        </w:rPr>
      </w:pPr>
    </w:p>
    <w:p w:rsidR="000D0A85" w:rsidRDefault="000D0A85" w:rsidP="000D0A85">
      <w:pPr>
        <w:jc w:val="both"/>
        <w:rPr>
          <w:sz w:val="22"/>
          <w:szCs w:val="22"/>
          <w:lang w:val="en-GB"/>
        </w:rPr>
      </w:pPr>
    </w:p>
    <w:p w:rsidR="000D0A85" w:rsidRPr="00B01F1E" w:rsidRDefault="001236E3" w:rsidP="000D0A85">
      <w:pPr>
        <w:jc w:val="both"/>
        <w:rPr>
          <w:sz w:val="22"/>
          <w:szCs w:val="22"/>
        </w:rPr>
      </w:pPr>
      <w:r>
        <w:rPr>
          <w:sz w:val="22"/>
          <w:szCs w:val="22"/>
        </w:rPr>
        <w:t>Στις 30/09/2017</w:t>
      </w:r>
      <w:r w:rsidR="000D0A85" w:rsidRPr="00B01F1E">
        <w:rPr>
          <w:sz w:val="22"/>
          <w:szCs w:val="22"/>
        </w:rPr>
        <w:t xml:space="preserve">, ποσοστό </w:t>
      </w:r>
      <w:r w:rsidR="000A55D8">
        <w:rPr>
          <w:sz w:val="22"/>
          <w:szCs w:val="22"/>
        </w:rPr>
        <w:t>8</w:t>
      </w:r>
      <w:r w:rsidR="00F2683B">
        <w:rPr>
          <w:sz w:val="22"/>
          <w:szCs w:val="22"/>
        </w:rPr>
        <w:t>0,</w:t>
      </w:r>
      <w:r>
        <w:rPr>
          <w:sz w:val="22"/>
          <w:szCs w:val="22"/>
        </w:rPr>
        <w:t>8</w:t>
      </w:r>
      <w:r w:rsidR="000D0A85" w:rsidRPr="00B01F1E">
        <w:rPr>
          <w:sz w:val="22"/>
          <w:szCs w:val="22"/>
        </w:rPr>
        <w:t>% του χρέους Κεντρικής Διοίκησης είχε υπολειπόμενη φυσική διά</w:t>
      </w:r>
      <w:r w:rsidR="000D0A85" w:rsidRPr="00B01F1E">
        <w:rPr>
          <w:sz w:val="22"/>
          <w:szCs w:val="22"/>
        </w:rPr>
        <w:t>ρ</w:t>
      </w:r>
      <w:r w:rsidR="000D0A85" w:rsidRPr="00B01F1E">
        <w:rPr>
          <w:sz w:val="22"/>
          <w:szCs w:val="22"/>
        </w:rPr>
        <w:t xml:space="preserve">κεια μεγαλύτερη των </w:t>
      </w:r>
      <w:r w:rsidR="000A55D8">
        <w:rPr>
          <w:sz w:val="22"/>
          <w:szCs w:val="22"/>
        </w:rPr>
        <w:t>πέντε</w:t>
      </w:r>
      <w:r w:rsidR="000D0A85" w:rsidRPr="00B01F1E">
        <w:rPr>
          <w:sz w:val="22"/>
          <w:szCs w:val="22"/>
        </w:rPr>
        <w:t xml:space="preserve"> ετών, λόγω της επιμήκυνσης των δανείων του Μηχανισμού Στήριξης και της έκδοσης νέων ομολόγων του Ελληνικού Δημοσίου στο πλαίσιο της ανταλλαγής ομολόγων (</w:t>
      </w:r>
      <w:r w:rsidR="000D0A85" w:rsidRPr="00B01F1E">
        <w:rPr>
          <w:sz w:val="22"/>
          <w:szCs w:val="22"/>
          <w:lang w:val="en-US"/>
        </w:rPr>
        <w:t>PSI</w:t>
      </w:r>
      <w:r w:rsidR="00D12E82">
        <w:rPr>
          <w:sz w:val="22"/>
          <w:szCs w:val="22"/>
        </w:rPr>
        <w:t>) (π</w:t>
      </w:r>
      <w:r w:rsidR="000D0A85" w:rsidRPr="00B01F1E">
        <w:rPr>
          <w:sz w:val="22"/>
          <w:szCs w:val="22"/>
        </w:rPr>
        <w:t>ίνακας 4.5).</w:t>
      </w:r>
    </w:p>
    <w:p w:rsidR="000D0A85" w:rsidRDefault="000D0A85" w:rsidP="000D0A85">
      <w:pPr>
        <w:jc w:val="both"/>
        <w:rPr>
          <w:sz w:val="22"/>
          <w:szCs w:val="22"/>
        </w:rPr>
      </w:pPr>
    </w:p>
    <w:p w:rsidR="000D0A85" w:rsidRDefault="000D0A85" w:rsidP="000D0A85">
      <w:pPr>
        <w:jc w:val="both"/>
        <w:rPr>
          <w:sz w:val="22"/>
          <w:szCs w:val="22"/>
        </w:rPr>
      </w:pPr>
    </w:p>
    <w:p w:rsidR="000D0A85" w:rsidRPr="00B01F1E" w:rsidRDefault="000D0A85" w:rsidP="000D0A85">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101"/>
      </w:tblGrid>
      <w:tr w:rsidR="000D0A85" w:rsidRPr="0015043C" w:rsidTr="00451ECA">
        <w:trPr>
          <w:trHeight w:val="557"/>
          <w:jc w:val="center"/>
        </w:trPr>
        <w:tc>
          <w:tcPr>
            <w:tcW w:w="6078" w:type="dxa"/>
            <w:gridSpan w:val="2"/>
            <w:tcBorders>
              <w:bottom w:val="nil"/>
            </w:tcBorders>
            <w:shd w:val="clear" w:color="auto" w:fill="404040" w:themeFill="text1" w:themeFillTint="BF"/>
            <w:tcMar>
              <w:left w:w="28" w:type="dxa"/>
              <w:right w:w="28" w:type="dxa"/>
            </w:tcMar>
          </w:tcPr>
          <w:p w:rsidR="000D0A85" w:rsidRPr="0015043C" w:rsidRDefault="000D0A85" w:rsidP="00451ECA">
            <w:pPr>
              <w:autoSpaceDE w:val="0"/>
              <w:autoSpaceDN w:val="0"/>
              <w:adjustRightInd w:val="0"/>
              <w:spacing w:before="120"/>
              <w:jc w:val="center"/>
              <w:rPr>
                <w:rFonts w:ascii="Arial Narrow" w:hAnsi="Arial Narrow" w:cs="TimesNewRoman,Bold+1"/>
                <w:b/>
                <w:bCs/>
                <w:color w:val="FFFFFF"/>
                <w:szCs w:val="22"/>
              </w:rPr>
            </w:pPr>
            <w:r w:rsidRPr="0015043C">
              <w:rPr>
                <w:rFonts w:ascii="Arial Narrow" w:hAnsi="Arial Narrow" w:cs="TimesNewRoman,Bold+1"/>
                <w:b/>
                <w:bCs/>
                <w:color w:val="FFFFFF"/>
                <w:szCs w:val="22"/>
              </w:rPr>
              <w:t xml:space="preserve">Πίνακας </w:t>
            </w:r>
            <w:r w:rsidRPr="00707F23">
              <w:rPr>
                <w:rFonts w:ascii="Arial Narrow" w:hAnsi="Arial Narrow" w:cs="TimesNewRoman,Bold"/>
                <w:b/>
                <w:bCs/>
                <w:color w:val="FFFFFF"/>
                <w:szCs w:val="22"/>
              </w:rPr>
              <w:t>4</w:t>
            </w:r>
            <w:r w:rsidRPr="0015043C">
              <w:rPr>
                <w:rFonts w:ascii="Arial Narrow" w:hAnsi="Arial Narrow" w:cs="TimesNewRoman,Bold"/>
                <w:b/>
                <w:bCs/>
                <w:color w:val="FFFFFF"/>
                <w:szCs w:val="22"/>
              </w:rPr>
              <w:t xml:space="preserve">.5   </w:t>
            </w:r>
            <w:r w:rsidRPr="0015043C">
              <w:rPr>
                <w:rFonts w:ascii="Arial Narrow" w:hAnsi="Arial Narrow" w:cs="TimesNewRoman,Bold+1"/>
                <w:b/>
                <w:bCs/>
                <w:color w:val="FFFFFF"/>
                <w:szCs w:val="22"/>
              </w:rPr>
              <w:t xml:space="preserve">Χρέος Κεντρικής </w:t>
            </w:r>
            <w:r>
              <w:rPr>
                <w:rFonts w:ascii="Arial Narrow" w:hAnsi="Arial Narrow" w:cs="TimesNewRoman,Bold+1"/>
                <w:b/>
                <w:bCs/>
                <w:color w:val="FFFFFF"/>
                <w:szCs w:val="22"/>
              </w:rPr>
              <w:t xml:space="preserve">Διοίκησης </w:t>
            </w:r>
            <w:r w:rsidRPr="0015043C">
              <w:rPr>
                <w:rFonts w:ascii="Arial Narrow" w:hAnsi="Arial Narrow" w:cs="TimesNewRoman,Bold+1"/>
                <w:b/>
                <w:bCs/>
                <w:color w:val="FFFFFF"/>
                <w:szCs w:val="22"/>
              </w:rPr>
              <w:t>ως προς την</w:t>
            </w:r>
          </w:p>
          <w:p w:rsidR="000D0A85" w:rsidRPr="0015043C" w:rsidRDefault="000D0A85" w:rsidP="00451ECA">
            <w:pPr>
              <w:autoSpaceDE w:val="0"/>
              <w:autoSpaceDN w:val="0"/>
              <w:adjustRightInd w:val="0"/>
              <w:spacing w:after="120"/>
              <w:jc w:val="center"/>
              <w:rPr>
                <w:rFonts w:ascii="Arial Narrow" w:hAnsi="Arial Narrow" w:cs="TimesNewRoman,Bold"/>
                <w:b/>
                <w:bCs/>
                <w:color w:val="FFFFFF"/>
                <w:sz w:val="22"/>
                <w:szCs w:val="22"/>
              </w:rPr>
            </w:pPr>
            <w:r w:rsidRPr="0015043C">
              <w:rPr>
                <w:rFonts w:ascii="Arial Narrow" w:hAnsi="Arial Narrow" w:cs="TimesNewRoman,Bold+1"/>
                <w:b/>
                <w:bCs/>
                <w:color w:val="FFFFFF"/>
                <w:szCs w:val="22"/>
              </w:rPr>
              <w:t>υπολειπόμενη φυσική διάρκεια</w:t>
            </w:r>
          </w:p>
        </w:tc>
      </w:tr>
      <w:tr w:rsidR="000D0A85" w:rsidRPr="0015043C" w:rsidTr="00451ECA">
        <w:trPr>
          <w:trHeight w:val="155"/>
          <w:jc w:val="center"/>
        </w:trPr>
        <w:tc>
          <w:tcPr>
            <w:tcW w:w="2977" w:type="dxa"/>
            <w:tcBorders>
              <w:top w:val="nil"/>
              <w:bottom w:val="single" w:sz="4" w:space="0" w:color="auto"/>
              <w:right w:val="nil"/>
            </w:tcBorders>
            <w:tcMar>
              <w:left w:w="28" w:type="dxa"/>
              <w:right w:w="28" w:type="dxa"/>
            </w:tcMar>
          </w:tcPr>
          <w:p w:rsidR="000D0A85" w:rsidRPr="0015043C" w:rsidRDefault="000D0A85" w:rsidP="00451ECA">
            <w:pPr>
              <w:autoSpaceDE w:val="0"/>
              <w:autoSpaceDN w:val="0"/>
              <w:adjustRightInd w:val="0"/>
              <w:jc w:val="center"/>
              <w:rPr>
                <w:rFonts w:ascii="Arial Narrow" w:hAnsi="Arial Narrow" w:cs="TimesNewRoman,Bold"/>
                <w:b/>
                <w:bCs/>
                <w:sz w:val="12"/>
                <w:szCs w:val="16"/>
              </w:rPr>
            </w:pPr>
          </w:p>
        </w:tc>
        <w:tc>
          <w:tcPr>
            <w:tcW w:w="3101" w:type="dxa"/>
            <w:tcBorders>
              <w:top w:val="nil"/>
              <w:left w:val="nil"/>
              <w:bottom w:val="single" w:sz="4" w:space="0" w:color="auto"/>
            </w:tcBorders>
          </w:tcPr>
          <w:p w:rsidR="000D0A85" w:rsidRPr="0015043C" w:rsidRDefault="000D0A85" w:rsidP="00451ECA">
            <w:pPr>
              <w:autoSpaceDE w:val="0"/>
              <w:autoSpaceDN w:val="0"/>
              <w:adjustRightInd w:val="0"/>
              <w:jc w:val="center"/>
              <w:rPr>
                <w:rFonts w:ascii="Arial Narrow" w:hAnsi="Arial Narrow" w:cs="TimesNewRoman,Bold"/>
                <w:b/>
                <w:bCs/>
                <w:sz w:val="12"/>
                <w:szCs w:val="16"/>
              </w:rPr>
            </w:pPr>
          </w:p>
        </w:tc>
      </w:tr>
      <w:tr w:rsidR="000D0A85" w:rsidRPr="0015043C" w:rsidTr="00451ECA">
        <w:trPr>
          <w:trHeight w:val="263"/>
          <w:jc w:val="center"/>
        </w:trPr>
        <w:tc>
          <w:tcPr>
            <w:tcW w:w="2977" w:type="dxa"/>
            <w:tcBorders>
              <w:bottom w:val="single" w:sz="4" w:space="0" w:color="auto"/>
            </w:tcBorders>
            <w:tcMar>
              <w:left w:w="28" w:type="dxa"/>
              <w:right w:w="28" w:type="dxa"/>
            </w:tcMar>
          </w:tcPr>
          <w:p w:rsidR="000D0A85" w:rsidRPr="0015043C" w:rsidRDefault="000D0A85" w:rsidP="00451ECA">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Διάρκεια</w:t>
            </w:r>
          </w:p>
        </w:tc>
        <w:tc>
          <w:tcPr>
            <w:tcW w:w="3101" w:type="dxa"/>
            <w:tcBorders>
              <w:bottom w:val="single" w:sz="4" w:space="0" w:color="auto"/>
            </w:tcBorders>
          </w:tcPr>
          <w:p w:rsidR="000D0A85" w:rsidRPr="00064EF9" w:rsidRDefault="000D0A85" w:rsidP="00451ECA">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3</w:t>
            </w:r>
            <w:r>
              <w:rPr>
                <w:rFonts w:ascii="Arial Narrow" w:hAnsi="Arial Narrow" w:cs="TimesNewRoman,Bold"/>
                <w:b/>
                <w:bCs/>
                <w:sz w:val="16"/>
                <w:szCs w:val="16"/>
                <w:lang w:val="en-GB"/>
              </w:rPr>
              <w:t>0/09/201</w:t>
            </w:r>
            <w:r w:rsidR="00D12E82">
              <w:rPr>
                <w:rFonts w:ascii="Arial Narrow" w:hAnsi="Arial Narrow" w:cs="TimesNewRoman,Bold"/>
                <w:b/>
                <w:bCs/>
                <w:sz w:val="16"/>
                <w:szCs w:val="16"/>
              </w:rPr>
              <w:t>7</w:t>
            </w:r>
          </w:p>
        </w:tc>
      </w:tr>
      <w:tr w:rsidR="000D0A85" w:rsidRPr="0015043C" w:rsidTr="00451ECA">
        <w:trPr>
          <w:trHeight w:val="217"/>
          <w:jc w:val="center"/>
        </w:trPr>
        <w:tc>
          <w:tcPr>
            <w:tcW w:w="2977" w:type="dxa"/>
            <w:tcBorders>
              <w:bottom w:val="nil"/>
              <w:right w:val="nil"/>
            </w:tcBorders>
            <w:tcMar>
              <w:left w:w="28" w:type="dxa"/>
              <w:right w:w="28" w:type="dxa"/>
            </w:tcMar>
          </w:tcPr>
          <w:p w:rsidR="000D0A85" w:rsidRPr="0015043C" w:rsidRDefault="000D0A85" w:rsidP="000A55D8">
            <w:pPr>
              <w:pStyle w:val="a6"/>
              <w:autoSpaceDE w:val="0"/>
              <w:autoSpaceDN w:val="0"/>
              <w:adjustRightInd w:val="0"/>
              <w:spacing w:before="120" w:after="120"/>
              <w:rPr>
                <w:rFonts w:ascii="Arial Narrow" w:hAnsi="Arial Narrow" w:cs="TimesNewRoman,Bold"/>
                <w:bCs/>
              </w:rPr>
            </w:pPr>
            <w:r w:rsidRPr="0015043C">
              <w:rPr>
                <w:rFonts w:ascii="Arial Narrow" w:hAnsi="Arial Narrow" w:cs="TimesNewRoman,Bold"/>
                <w:bCs/>
              </w:rPr>
              <w:t>Βραχυπρόθεσμο (μέχρι 1 έτος)</w:t>
            </w:r>
          </w:p>
        </w:tc>
        <w:tc>
          <w:tcPr>
            <w:tcW w:w="3101" w:type="dxa"/>
            <w:tcBorders>
              <w:left w:val="nil"/>
              <w:bottom w:val="nil"/>
            </w:tcBorders>
          </w:tcPr>
          <w:p w:rsidR="000D0A85" w:rsidRPr="00707F23" w:rsidRDefault="00D00D38" w:rsidP="00756F84">
            <w:pPr>
              <w:tabs>
                <w:tab w:val="decimal" w:pos="1532"/>
              </w:tabs>
              <w:autoSpaceDE w:val="0"/>
              <w:autoSpaceDN w:val="0"/>
              <w:adjustRightInd w:val="0"/>
              <w:spacing w:before="120" w:after="120"/>
              <w:jc w:val="both"/>
              <w:rPr>
                <w:rFonts w:ascii="Arial Narrow" w:hAnsi="Arial Narrow" w:cs="TimesNewRoman,Bold"/>
                <w:bCs/>
                <w:sz w:val="16"/>
                <w:szCs w:val="16"/>
                <w:lang w:val="en-GB"/>
              </w:rPr>
            </w:pPr>
            <w:r>
              <w:rPr>
                <w:rFonts w:ascii="Arial Narrow" w:hAnsi="Arial Narrow" w:cs="TimesNewRoman,Bold"/>
                <w:bCs/>
                <w:sz w:val="16"/>
                <w:szCs w:val="16"/>
              </w:rPr>
              <w:t>10,1</w:t>
            </w:r>
            <w:r w:rsidR="000D0A85">
              <w:rPr>
                <w:rFonts w:ascii="Arial Narrow" w:hAnsi="Arial Narrow" w:cs="TimesNewRoman,Bold"/>
                <w:bCs/>
                <w:sz w:val="16"/>
                <w:szCs w:val="16"/>
                <w:lang w:val="en-GB"/>
              </w:rPr>
              <w:t>%</w:t>
            </w:r>
          </w:p>
        </w:tc>
      </w:tr>
      <w:tr w:rsidR="000D0A85" w:rsidRPr="0015043C" w:rsidTr="00451ECA">
        <w:trPr>
          <w:trHeight w:val="232"/>
          <w:jc w:val="center"/>
        </w:trPr>
        <w:tc>
          <w:tcPr>
            <w:tcW w:w="2977" w:type="dxa"/>
            <w:tcBorders>
              <w:top w:val="nil"/>
              <w:bottom w:val="nil"/>
              <w:right w:val="nil"/>
            </w:tcBorders>
            <w:shd w:val="clear" w:color="auto" w:fill="auto"/>
            <w:tcMar>
              <w:left w:w="28" w:type="dxa"/>
              <w:right w:w="28" w:type="dxa"/>
            </w:tcMar>
          </w:tcPr>
          <w:p w:rsidR="000D0A85" w:rsidRPr="0015043C" w:rsidRDefault="000D0A85" w:rsidP="000A55D8">
            <w:pPr>
              <w:autoSpaceDE w:val="0"/>
              <w:autoSpaceDN w:val="0"/>
              <w:adjustRightInd w:val="0"/>
              <w:spacing w:before="120" w:after="120"/>
              <w:rPr>
                <w:rFonts w:ascii="Arial Narrow" w:hAnsi="Arial Narrow" w:cs="TimesNewRoman,Bold"/>
                <w:bCs/>
                <w:sz w:val="16"/>
                <w:szCs w:val="16"/>
              </w:rPr>
            </w:pPr>
            <w:r w:rsidRPr="0015043C">
              <w:rPr>
                <w:rFonts w:ascii="Arial Narrow" w:hAnsi="Arial Narrow" w:cs="TimesNewRoman,Bold"/>
                <w:bCs/>
                <w:sz w:val="16"/>
                <w:szCs w:val="16"/>
              </w:rPr>
              <w:t>Μεσοπρόθεσμο (1 έως 5 έτη)</w:t>
            </w:r>
          </w:p>
        </w:tc>
        <w:tc>
          <w:tcPr>
            <w:tcW w:w="3101" w:type="dxa"/>
            <w:tcBorders>
              <w:top w:val="nil"/>
              <w:left w:val="nil"/>
              <w:bottom w:val="nil"/>
            </w:tcBorders>
            <w:shd w:val="clear" w:color="auto" w:fill="auto"/>
          </w:tcPr>
          <w:p w:rsidR="000D0A85" w:rsidRPr="00707F23" w:rsidRDefault="00D00D38" w:rsidP="00756F84">
            <w:pPr>
              <w:tabs>
                <w:tab w:val="decimal" w:pos="1532"/>
              </w:tabs>
              <w:autoSpaceDE w:val="0"/>
              <w:autoSpaceDN w:val="0"/>
              <w:adjustRightInd w:val="0"/>
              <w:spacing w:before="120" w:after="120"/>
              <w:jc w:val="both"/>
              <w:rPr>
                <w:rFonts w:ascii="Arial Narrow" w:hAnsi="Arial Narrow" w:cs="TimesNewRoman,Bold"/>
                <w:bCs/>
                <w:sz w:val="16"/>
                <w:szCs w:val="16"/>
                <w:lang w:val="en-GB"/>
              </w:rPr>
            </w:pPr>
            <w:r>
              <w:rPr>
                <w:rFonts w:ascii="Arial Narrow" w:hAnsi="Arial Narrow" w:cs="TimesNewRoman,Bold"/>
                <w:bCs/>
                <w:sz w:val="16"/>
                <w:szCs w:val="16"/>
              </w:rPr>
              <w:t>9,1</w:t>
            </w:r>
            <w:r w:rsidR="000D0A85">
              <w:rPr>
                <w:rFonts w:ascii="Arial Narrow" w:hAnsi="Arial Narrow" w:cs="TimesNewRoman,Bold"/>
                <w:bCs/>
                <w:sz w:val="16"/>
                <w:szCs w:val="16"/>
                <w:lang w:val="en-GB"/>
              </w:rPr>
              <w:t>%</w:t>
            </w:r>
          </w:p>
        </w:tc>
      </w:tr>
      <w:tr w:rsidR="000D0A85" w:rsidRPr="0015043C" w:rsidTr="00451ECA">
        <w:trPr>
          <w:trHeight w:val="232"/>
          <w:jc w:val="center"/>
        </w:trPr>
        <w:tc>
          <w:tcPr>
            <w:tcW w:w="2977" w:type="dxa"/>
            <w:tcBorders>
              <w:top w:val="nil"/>
              <w:bottom w:val="nil"/>
              <w:right w:val="nil"/>
            </w:tcBorders>
            <w:tcMar>
              <w:left w:w="28" w:type="dxa"/>
              <w:right w:w="28" w:type="dxa"/>
            </w:tcMar>
          </w:tcPr>
          <w:p w:rsidR="000D0A85" w:rsidRPr="0015043C" w:rsidRDefault="000D0A85" w:rsidP="000A55D8">
            <w:pPr>
              <w:autoSpaceDE w:val="0"/>
              <w:autoSpaceDN w:val="0"/>
              <w:adjustRightInd w:val="0"/>
              <w:spacing w:before="120" w:after="120"/>
              <w:rPr>
                <w:rFonts w:ascii="Arial Narrow" w:hAnsi="Arial Narrow" w:cs="TimesNewRoman,Bold"/>
                <w:bCs/>
                <w:sz w:val="16"/>
                <w:szCs w:val="16"/>
              </w:rPr>
            </w:pPr>
            <w:r w:rsidRPr="0015043C">
              <w:rPr>
                <w:rFonts w:ascii="Arial Narrow" w:hAnsi="Arial Narrow" w:cs="TimesNewRoman,Bold"/>
                <w:bCs/>
                <w:sz w:val="16"/>
                <w:szCs w:val="16"/>
              </w:rPr>
              <w:t>Μακροπρόθεσμο (άνω των 5 ετών)</w:t>
            </w:r>
          </w:p>
        </w:tc>
        <w:tc>
          <w:tcPr>
            <w:tcW w:w="3101" w:type="dxa"/>
            <w:tcBorders>
              <w:top w:val="nil"/>
              <w:left w:val="nil"/>
              <w:bottom w:val="nil"/>
            </w:tcBorders>
          </w:tcPr>
          <w:p w:rsidR="000D0A85" w:rsidRPr="00707F23" w:rsidRDefault="00D00D38" w:rsidP="00756F84">
            <w:pPr>
              <w:tabs>
                <w:tab w:val="decimal" w:pos="1532"/>
              </w:tabs>
              <w:autoSpaceDE w:val="0"/>
              <w:autoSpaceDN w:val="0"/>
              <w:adjustRightInd w:val="0"/>
              <w:spacing w:before="120" w:after="120"/>
              <w:jc w:val="both"/>
              <w:rPr>
                <w:rFonts w:ascii="Arial Narrow" w:hAnsi="Arial Narrow" w:cs="TimesNewRoman,Bold"/>
                <w:bCs/>
                <w:sz w:val="16"/>
                <w:szCs w:val="16"/>
                <w:lang w:val="en-GB"/>
              </w:rPr>
            </w:pPr>
            <w:r>
              <w:rPr>
                <w:rFonts w:ascii="Arial Narrow" w:hAnsi="Arial Narrow" w:cs="TimesNewRoman,Bold"/>
                <w:bCs/>
                <w:sz w:val="16"/>
                <w:szCs w:val="16"/>
              </w:rPr>
              <w:t>80,8</w:t>
            </w:r>
            <w:r w:rsidR="000D0A85">
              <w:rPr>
                <w:rFonts w:ascii="Arial Narrow" w:hAnsi="Arial Narrow" w:cs="TimesNewRoman,Bold"/>
                <w:bCs/>
                <w:sz w:val="16"/>
                <w:szCs w:val="16"/>
                <w:lang w:val="en-GB"/>
              </w:rPr>
              <w:t>%</w:t>
            </w:r>
          </w:p>
        </w:tc>
      </w:tr>
      <w:tr w:rsidR="000D0A85" w:rsidRPr="0015043C" w:rsidTr="00451ECA">
        <w:trPr>
          <w:trHeight w:val="232"/>
          <w:jc w:val="center"/>
        </w:trPr>
        <w:tc>
          <w:tcPr>
            <w:tcW w:w="2977" w:type="dxa"/>
            <w:tcBorders>
              <w:top w:val="nil"/>
              <w:right w:val="nil"/>
            </w:tcBorders>
            <w:shd w:val="clear" w:color="auto" w:fill="A6A6A6" w:themeFill="background1" w:themeFillShade="A6"/>
            <w:tcMar>
              <w:left w:w="28" w:type="dxa"/>
              <w:right w:w="28" w:type="dxa"/>
            </w:tcMar>
          </w:tcPr>
          <w:p w:rsidR="000D0A85" w:rsidRPr="0015043C" w:rsidRDefault="000D0A85" w:rsidP="000A55D8">
            <w:pPr>
              <w:autoSpaceDE w:val="0"/>
              <w:autoSpaceDN w:val="0"/>
              <w:adjustRightInd w:val="0"/>
              <w:spacing w:before="120" w:after="120"/>
              <w:jc w:val="both"/>
              <w:rPr>
                <w:rFonts w:ascii="Arial Narrow" w:hAnsi="Arial Narrow" w:cs="TimesNewRoman,Bold"/>
                <w:b/>
                <w:bCs/>
                <w:sz w:val="16"/>
                <w:szCs w:val="16"/>
              </w:rPr>
            </w:pPr>
            <w:r w:rsidRPr="0015043C">
              <w:rPr>
                <w:rFonts w:ascii="Arial Narrow" w:hAnsi="Arial Narrow" w:cs="TimesNewRoman,Bold"/>
                <w:b/>
                <w:bCs/>
                <w:sz w:val="16"/>
                <w:szCs w:val="16"/>
              </w:rPr>
              <w:t>Σύνολο</w:t>
            </w:r>
          </w:p>
        </w:tc>
        <w:tc>
          <w:tcPr>
            <w:tcW w:w="3101" w:type="dxa"/>
            <w:tcBorders>
              <w:top w:val="nil"/>
              <w:left w:val="nil"/>
            </w:tcBorders>
            <w:shd w:val="clear" w:color="auto" w:fill="A6A6A6" w:themeFill="background1" w:themeFillShade="A6"/>
          </w:tcPr>
          <w:p w:rsidR="000D0A85" w:rsidRPr="0015043C" w:rsidRDefault="00F74901" w:rsidP="00756F84">
            <w:pPr>
              <w:tabs>
                <w:tab w:val="decimal" w:pos="1532"/>
              </w:tabs>
              <w:autoSpaceDE w:val="0"/>
              <w:autoSpaceDN w:val="0"/>
              <w:adjustRightInd w:val="0"/>
              <w:spacing w:before="120" w:after="120"/>
              <w:jc w:val="both"/>
              <w:rPr>
                <w:rFonts w:ascii="Arial Narrow" w:hAnsi="Arial Narrow" w:cs="TimesNewRoman,Bold"/>
                <w:b/>
                <w:bCs/>
                <w:sz w:val="16"/>
                <w:szCs w:val="16"/>
              </w:rPr>
            </w:pPr>
            <w:r w:rsidRPr="0015043C">
              <w:rPr>
                <w:rFonts w:ascii="Arial Narrow" w:hAnsi="Arial Narrow" w:cs="TimesNewRoman,Bold"/>
                <w:b/>
                <w:bCs/>
                <w:sz w:val="16"/>
                <w:szCs w:val="16"/>
              </w:rPr>
              <w:fldChar w:fldCharType="begin"/>
            </w:r>
            <w:r w:rsidR="000D0A85" w:rsidRPr="0015043C">
              <w:rPr>
                <w:rFonts w:ascii="Arial Narrow" w:hAnsi="Arial Narrow" w:cs="TimesNewRoman,Bold"/>
                <w:b/>
                <w:bCs/>
                <w:sz w:val="16"/>
                <w:szCs w:val="16"/>
              </w:rPr>
              <w:instrText xml:space="preserve"> =SUM(ABOVE)*100 \# "0,00%" </w:instrText>
            </w:r>
            <w:r w:rsidRPr="0015043C">
              <w:rPr>
                <w:rFonts w:ascii="Arial Narrow" w:hAnsi="Arial Narrow" w:cs="TimesNewRoman,Bold"/>
                <w:b/>
                <w:bCs/>
                <w:sz w:val="16"/>
                <w:szCs w:val="16"/>
              </w:rPr>
              <w:fldChar w:fldCharType="separate"/>
            </w:r>
            <w:r w:rsidR="00756F84">
              <w:rPr>
                <w:rFonts w:ascii="Arial Narrow" w:hAnsi="Arial Narrow" w:cs="TimesNewRoman,Bold"/>
                <w:b/>
                <w:bCs/>
                <w:noProof/>
                <w:sz w:val="16"/>
                <w:szCs w:val="16"/>
              </w:rPr>
              <w:t>100,0</w:t>
            </w:r>
            <w:r w:rsidR="00756F84" w:rsidRPr="0015043C">
              <w:rPr>
                <w:rFonts w:ascii="Arial Narrow" w:hAnsi="Arial Narrow" w:cs="TimesNewRoman,Bold"/>
                <w:b/>
                <w:bCs/>
                <w:noProof/>
                <w:sz w:val="16"/>
                <w:szCs w:val="16"/>
              </w:rPr>
              <w:t>%</w:t>
            </w:r>
            <w:r w:rsidRPr="0015043C">
              <w:rPr>
                <w:rFonts w:ascii="Arial Narrow" w:hAnsi="Arial Narrow" w:cs="TimesNewRoman,Bold"/>
                <w:b/>
                <w:bCs/>
                <w:sz w:val="16"/>
                <w:szCs w:val="16"/>
              </w:rPr>
              <w:fldChar w:fldCharType="end"/>
            </w:r>
          </w:p>
        </w:tc>
      </w:tr>
    </w:tbl>
    <w:p w:rsidR="000D0A85" w:rsidRPr="0015043C" w:rsidRDefault="000D0A85" w:rsidP="000D0A85">
      <w:pPr>
        <w:tabs>
          <w:tab w:val="left" w:pos="180"/>
        </w:tabs>
        <w:jc w:val="both"/>
        <w:rPr>
          <w:rFonts w:ascii="Arial Narrow" w:hAnsi="Arial Narrow"/>
          <w:sz w:val="16"/>
          <w:szCs w:val="16"/>
        </w:rPr>
      </w:pPr>
      <w:r w:rsidRPr="0015043C">
        <w:rPr>
          <w:rFonts w:ascii="Arial Narrow" w:hAnsi="Arial Narrow"/>
          <w:sz w:val="16"/>
          <w:szCs w:val="16"/>
        </w:rPr>
        <w:t xml:space="preserve"> </w:t>
      </w:r>
      <w:r w:rsidRPr="0015043C">
        <w:rPr>
          <w:rFonts w:ascii="Arial Narrow" w:hAnsi="Arial Narrow"/>
          <w:sz w:val="16"/>
          <w:szCs w:val="16"/>
        </w:rPr>
        <w:tab/>
      </w:r>
      <w:r w:rsidRPr="0015043C">
        <w:rPr>
          <w:rFonts w:ascii="Arial Narrow" w:hAnsi="Arial Narrow"/>
          <w:sz w:val="16"/>
          <w:szCs w:val="16"/>
        </w:rPr>
        <w:tab/>
      </w:r>
      <w:r w:rsidRPr="0015043C">
        <w:rPr>
          <w:rFonts w:ascii="Arial Narrow" w:hAnsi="Arial Narrow"/>
          <w:sz w:val="16"/>
          <w:szCs w:val="16"/>
        </w:rPr>
        <w:tab/>
        <w:t>Πηγή:  Ο</w:t>
      </w:r>
      <w:r w:rsidR="00971E0D">
        <w:rPr>
          <w:rFonts w:ascii="Arial Narrow" w:hAnsi="Arial Narrow"/>
          <w:sz w:val="16"/>
          <w:szCs w:val="16"/>
        </w:rPr>
        <w:t>ΔΔΗΧ</w:t>
      </w:r>
    </w:p>
    <w:p w:rsidR="000D0A85" w:rsidRDefault="000D0A85" w:rsidP="000D0A85">
      <w:pPr>
        <w:jc w:val="both"/>
        <w:rPr>
          <w:sz w:val="22"/>
          <w:szCs w:val="22"/>
        </w:rPr>
      </w:pPr>
    </w:p>
    <w:p w:rsidR="000A55D8" w:rsidRPr="0015043C" w:rsidRDefault="000A55D8" w:rsidP="000D0A85">
      <w:pPr>
        <w:jc w:val="both"/>
        <w:rPr>
          <w:sz w:val="22"/>
          <w:szCs w:val="22"/>
        </w:rPr>
      </w:pPr>
    </w:p>
    <w:p w:rsidR="000D0A85" w:rsidRPr="00F713CA" w:rsidRDefault="000D0A85" w:rsidP="000D0A85">
      <w:pPr>
        <w:shd w:val="clear" w:color="auto" w:fill="595959" w:themeFill="text1" w:themeFillTint="A6"/>
        <w:jc w:val="both"/>
        <w:rPr>
          <w:rFonts w:ascii="Arial Narrow" w:hAnsi="Arial Narrow"/>
          <w:b/>
          <w:bCs/>
          <w:color w:val="FFFFFF"/>
          <w:sz w:val="26"/>
          <w:szCs w:val="22"/>
        </w:rPr>
      </w:pPr>
      <w:r w:rsidRPr="0015043C">
        <w:rPr>
          <w:rFonts w:ascii="Arial Narrow" w:hAnsi="Arial Narrow"/>
          <w:b/>
          <w:bCs/>
          <w:color w:val="FFFFFF"/>
          <w:sz w:val="26"/>
          <w:szCs w:val="22"/>
        </w:rPr>
        <w:t xml:space="preserve">4. </w:t>
      </w:r>
      <w:r w:rsidRPr="0015043C">
        <w:rPr>
          <w:rFonts w:ascii="Arial Narrow" w:hAnsi="Arial Narrow"/>
          <w:b/>
          <w:bCs/>
          <w:color w:val="FFFFFF"/>
          <w:sz w:val="26"/>
          <w:szCs w:val="22"/>
        </w:rPr>
        <w:tab/>
      </w:r>
      <w:r>
        <w:rPr>
          <w:rFonts w:ascii="Arial Narrow" w:hAnsi="Arial Narrow"/>
          <w:b/>
          <w:bCs/>
          <w:color w:val="FFFFFF"/>
          <w:sz w:val="26"/>
          <w:szCs w:val="22"/>
        </w:rPr>
        <w:t>Δαπάνες εξυπηρέτησης χρέους Κεντρικής Διοίκησης</w:t>
      </w:r>
    </w:p>
    <w:p w:rsidR="000D0A85" w:rsidRPr="0015043C" w:rsidRDefault="000D0A85" w:rsidP="000D0A85">
      <w:pPr>
        <w:jc w:val="both"/>
        <w:rPr>
          <w:sz w:val="22"/>
          <w:szCs w:val="22"/>
        </w:rPr>
      </w:pPr>
    </w:p>
    <w:p w:rsidR="000D0A85" w:rsidRPr="00F713CA" w:rsidRDefault="000D0A85" w:rsidP="000D0A85">
      <w:pPr>
        <w:autoSpaceDE w:val="0"/>
        <w:autoSpaceDN w:val="0"/>
        <w:adjustRightInd w:val="0"/>
        <w:jc w:val="both"/>
        <w:rPr>
          <w:sz w:val="22"/>
          <w:szCs w:val="22"/>
        </w:rPr>
      </w:pPr>
      <w:r w:rsidRPr="00F713CA">
        <w:rPr>
          <w:sz w:val="22"/>
          <w:szCs w:val="22"/>
        </w:rPr>
        <w:t>Οι δαπάνες εξυπηρέτησης του χρέους</w:t>
      </w:r>
      <w:r>
        <w:rPr>
          <w:sz w:val="22"/>
          <w:szCs w:val="22"/>
        </w:rPr>
        <w:t xml:space="preserve"> της Κεντρικής Διοίκησης </w:t>
      </w:r>
      <w:r w:rsidR="00C5708C">
        <w:rPr>
          <w:sz w:val="22"/>
          <w:szCs w:val="22"/>
        </w:rPr>
        <w:t>το 2017</w:t>
      </w:r>
      <w:r w:rsidR="000A55D8">
        <w:rPr>
          <w:sz w:val="22"/>
          <w:szCs w:val="22"/>
        </w:rPr>
        <w:t xml:space="preserve"> </w:t>
      </w:r>
      <w:r w:rsidRPr="00F713CA">
        <w:rPr>
          <w:sz w:val="22"/>
          <w:szCs w:val="22"/>
        </w:rPr>
        <w:t>εκτ</w:t>
      </w:r>
      <w:r>
        <w:rPr>
          <w:sz w:val="22"/>
          <w:szCs w:val="22"/>
        </w:rPr>
        <w:t xml:space="preserve">ιμάται ότι θα </w:t>
      </w:r>
      <w:r w:rsidR="007E0B64">
        <w:rPr>
          <w:sz w:val="22"/>
          <w:szCs w:val="22"/>
        </w:rPr>
        <w:t>διαμορφ</w:t>
      </w:r>
      <w:r w:rsidR="007E0B64">
        <w:rPr>
          <w:sz w:val="22"/>
          <w:szCs w:val="22"/>
        </w:rPr>
        <w:t>ω</w:t>
      </w:r>
      <w:r w:rsidR="007E0B64">
        <w:rPr>
          <w:sz w:val="22"/>
          <w:szCs w:val="22"/>
        </w:rPr>
        <w:t>θούν</w:t>
      </w:r>
      <w:r>
        <w:rPr>
          <w:sz w:val="22"/>
          <w:szCs w:val="22"/>
        </w:rPr>
        <w:t xml:space="preserve"> σε </w:t>
      </w:r>
      <w:r w:rsidR="003845B2">
        <w:rPr>
          <w:sz w:val="22"/>
          <w:szCs w:val="22"/>
        </w:rPr>
        <w:t>86</w:t>
      </w:r>
      <w:r w:rsidR="00C5708C">
        <w:rPr>
          <w:sz w:val="22"/>
          <w:szCs w:val="22"/>
        </w:rPr>
        <w:t>.075</w:t>
      </w:r>
      <w:r w:rsidR="007E0B64">
        <w:rPr>
          <w:sz w:val="22"/>
          <w:szCs w:val="22"/>
        </w:rPr>
        <w:t xml:space="preserve"> εκατ. ευρώ, έναντι </w:t>
      </w:r>
      <w:r w:rsidR="00C5708C">
        <w:rPr>
          <w:sz w:val="22"/>
          <w:szCs w:val="22"/>
        </w:rPr>
        <w:t>13.203</w:t>
      </w:r>
      <w:r w:rsidRPr="00F713CA">
        <w:rPr>
          <w:sz w:val="22"/>
          <w:szCs w:val="22"/>
        </w:rPr>
        <w:t xml:space="preserve"> εκατ. ευρώ</w:t>
      </w:r>
      <w:r>
        <w:rPr>
          <w:sz w:val="22"/>
          <w:szCs w:val="22"/>
        </w:rPr>
        <w:t xml:space="preserve"> το έτος 201</w:t>
      </w:r>
      <w:r w:rsidR="00C5708C">
        <w:rPr>
          <w:sz w:val="22"/>
          <w:szCs w:val="22"/>
        </w:rPr>
        <w:t>6 (π</w:t>
      </w:r>
      <w:r w:rsidRPr="00F713CA">
        <w:rPr>
          <w:sz w:val="22"/>
          <w:szCs w:val="22"/>
        </w:rPr>
        <w:t xml:space="preserve">ίνακας 4.6). </w:t>
      </w:r>
    </w:p>
    <w:p w:rsidR="000D0A85" w:rsidRDefault="000D0A85" w:rsidP="000D0A85">
      <w:pPr>
        <w:autoSpaceDE w:val="0"/>
        <w:autoSpaceDN w:val="0"/>
        <w:adjustRightInd w:val="0"/>
        <w:jc w:val="both"/>
        <w:rPr>
          <w:sz w:val="22"/>
          <w:szCs w:val="22"/>
        </w:rPr>
      </w:pPr>
    </w:p>
    <w:tbl>
      <w:tblPr>
        <w:tblW w:w="9138" w:type="dxa"/>
        <w:tblLayout w:type="fixed"/>
        <w:tblLook w:val="0000"/>
      </w:tblPr>
      <w:tblGrid>
        <w:gridCol w:w="600"/>
        <w:gridCol w:w="762"/>
        <w:gridCol w:w="967"/>
        <w:gridCol w:w="774"/>
        <w:gridCol w:w="783"/>
        <w:gridCol w:w="916"/>
        <w:gridCol w:w="813"/>
        <w:gridCol w:w="973"/>
        <w:gridCol w:w="1184"/>
        <w:gridCol w:w="1366"/>
      </w:tblGrid>
      <w:tr w:rsidR="000D0A85" w:rsidRPr="0015043C" w:rsidTr="00451ECA">
        <w:tc>
          <w:tcPr>
            <w:tcW w:w="9138" w:type="dxa"/>
            <w:gridSpan w:val="10"/>
            <w:tcBorders>
              <w:top w:val="single" w:sz="4" w:space="0" w:color="auto"/>
              <w:left w:val="single" w:sz="4" w:space="0" w:color="auto"/>
              <w:bottom w:val="nil"/>
              <w:right w:val="single" w:sz="4" w:space="0" w:color="auto"/>
            </w:tcBorders>
            <w:shd w:val="clear" w:color="auto" w:fill="404040" w:themeFill="text1" w:themeFillTint="BF"/>
            <w:noWrap/>
            <w:tcMar>
              <w:left w:w="28" w:type="dxa"/>
              <w:right w:w="28" w:type="dxa"/>
            </w:tcMar>
            <w:vAlign w:val="bottom"/>
          </w:tcPr>
          <w:p w:rsidR="000D0A85" w:rsidRPr="0015043C" w:rsidRDefault="000D0A85" w:rsidP="00451ECA">
            <w:pPr>
              <w:keepNext/>
              <w:spacing w:before="120"/>
              <w:jc w:val="center"/>
              <w:outlineLvl w:val="4"/>
              <w:rPr>
                <w:rFonts w:ascii="Arial Narrow" w:hAnsi="Arial Narrow"/>
                <w:b/>
                <w:bCs/>
                <w:color w:val="FFFFFF"/>
                <w:szCs w:val="16"/>
              </w:rPr>
            </w:pPr>
            <w:r w:rsidRPr="0015043C">
              <w:rPr>
                <w:rFonts w:ascii="Arial Narrow" w:hAnsi="Arial Narrow"/>
                <w:b/>
                <w:bCs/>
                <w:color w:val="FFFFFF"/>
                <w:szCs w:val="16"/>
              </w:rPr>
              <w:lastRenderedPageBreak/>
              <w:t xml:space="preserve">Πίνακας </w:t>
            </w:r>
            <w:r>
              <w:rPr>
                <w:rFonts w:ascii="Arial Narrow" w:hAnsi="Arial Narrow"/>
                <w:b/>
                <w:bCs/>
                <w:color w:val="FFFFFF"/>
                <w:szCs w:val="16"/>
              </w:rPr>
              <w:t xml:space="preserve">4.6 </w:t>
            </w:r>
            <w:r w:rsidRPr="0015043C">
              <w:rPr>
                <w:rFonts w:ascii="Arial Narrow" w:hAnsi="Arial Narrow"/>
                <w:b/>
                <w:bCs/>
                <w:color w:val="FFFFFF"/>
                <w:szCs w:val="16"/>
              </w:rPr>
              <w:t xml:space="preserve">  Δαπάνες εξυπηρέτησης χρέους Κεντρικής </w:t>
            </w:r>
            <w:r>
              <w:rPr>
                <w:rFonts w:ascii="Arial Narrow" w:hAnsi="Arial Narrow"/>
                <w:b/>
                <w:bCs/>
                <w:color w:val="FFFFFF"/>
                <w:szCs w:val="16"/>
              </w:rPr>
              <w:t>Διοίκησης</w:t>
            </w:r>
            <w:r w:rsidRPr="0015043C">
              <w:rPr>
                <w:rFonts w:ascii="Arial Narrow" w:hAnsi="Arial Narrow"/>
                <w:b/>
                <w:bCs/>
                <w:color w:val="FFFFFF"/>
                <w:szCs w:val="16"/>
              </w:rPr>
              <w:t xml:space="preserve"> </w:t>
            </w:r>
          </w:p>
          <w:p w:rsidR="000D0A85" w:rsidRPr="0015043C" w:rsidRDefault="000D0A85" w:rsidP="00451ECA">
            <w:pPr>
              <w:keepNext/>
              <w:spacing w:after="120"/>
              <w:jc w:val="center"/>
              <w:outlineLvl w:val="4"/>
              <w:rPr>
                <w:rFonts w:ascii="Arial Narrow" w:hAnsi="Arial Narrow"/>
                <w:b/>
                <w:bCs/>
                <w:color w:val="FFFFFF"/>
                <w:szCs w:val="16"/>
              </w:rPr>
            </w:pPr>
            <w:r w:rsidRPr="0015043C">
              <w:rPr>
                <w:rFonts w:ascii="Arial Narrow" w:hAnsi="Arial Narrow"/>
                <w:b/>
                <w:color w:val="FFFFFF"/>
                <w:szCs w:val="16"/>
              </w:rPr>
              <w:t>(σε εκατ. ευρώ)</w:t>
            </w:r>
          </w:p>
        </w:tc>
      </w:tr>
      <w:tr w:rsidR="000D0A85" w:rsidRPr="0015043C" w:rsidTr="00451ECA">
        <w:trPr>
          <w:trHeight w:val="172"/>
        </w:trPr>
        <w:tc>
          <w:tcPr>
            <w:tcW w:w="9138" w:type="dxa"/>
            <w:gridSpan w:val="10"/>
            <w:tcBorders>
              <w:top w:val="nil"/>
              <w:left w:val="single" w:sz="4" w:space="0" w:color="auto"/>
              <w:bottom w:val="nil"/>
              <w:right w:val="single" w:sz="4" w:space="0" w:color="auto"/>
            </w:tcBorders>
            <w:shd w:val="clear" w:color="auto" w:fill="auto"/>
            <w:noWrap/>
            <w:tcMar>
              <w:left w:w="28" w:type="dxa"/>
              <w:right w:w="28" w:type="dxa"/>
            </w:tcMar>
            <w:vAlign w:val="bottom"/>
          </w:tcPr>
          <w:p w:rsidR="000D0A85" w:rsidRPr="0015043C" w:rsidRDefault="000D0A85" w:rsidP="00451ECA">
            <w:pPr>
              <w:rPr>
                <w:rFonts w:ascii="Arial Narrow" w:hAnsi="Arial Narrow"/>
                <w:sz w:val="10"/>
                <w:szCs w:val="16"/>
              </w:rPr>
            </w:pPr>
          </w:p>
        </w:tc>
      </w:tr>
      <w:tr w:rsidR="000D0A85" w:rsidRPr="0015043C" w:rsidTr="00F10DC4">
        <w:trPr>
          <w:trHeight w:val="242"/>
        </w:trPr>
        <w:tc>
          <w:tcPr>
            <w:tcW w:w="600"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rsidR="000D0A85" w:rsidRPr="0015043C" w:rsidRDefault="000D0A85" w:rsidP="00F10DC4">
            <w:pPr>
              <w:jc w:val="center"/>
              <w:rPr>
                <w:rFonts w:ascii="Arial Narrow" w:hAnsi="Arial Narrow"/>
                <w:sz w:val="16"/>
                <w:szCs w:val="16"/>
              </w:rPr>
            </w:pPr>
          </w:p>
          <w:p w:rsidR="000D0A85" w:rsidRPr="00F10DC4" w:rsidRDefault="00F10DC4" w:rsidP="00F10DC4">
            <w:pPr>
              <w:jc w:val="center"/>
              <w:rPr>
                <w:rFonts w:ascii="Arial Narrow" w:hAnsi="Arial Narrow"/>
                <w:b/>
                <w:sz w:val="16"/>
                <w:szCs w:val="16"/>
              </w:rPr>
            </w:pPr>
            <w:r w:rsidRPr="00F10DC4">
              <w:rPr>
                <w:rFonts w:ascii="Arial Narrow" w:hAnsi="Arial Narrow"/>
                <w:b/>
                <w:sz w:val="16"/>
                <w:szCs w:val="16"/>
              </w:rPr>
              <w:t>Έτος</w:t>
            </w:r>
          </w:p>
          <w:p w:rsidR="000D0A85" w:rsidRPr="0015043C" w:rsidRDefault="000D0A85" w:rsidP="00F10DC4">
            <w:pPr>
              <w:jc w:val="center"/>
              <w:rPr>
                <w:rFonts w:ascii="Arial Narrow" w:hAnsi="Arial Narrow"/>
                <w:sz w:val="16"/>
                <w:szCs w:val="16"/>
              </w:rPr>
            </w:pPr>
          </w:p>
        </w:tc>
        <w:tc>
          <w:tcPr>
            <w:tcW w:w="2503"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D0A85" w:rsidRPr="0015043C" w:rsidRDefault="000D0A85" w:rsidP="00451ECA">
            <w:pPr>
              <w:keepNext/>
              <w:jc w:val="center"/>
              <w:outlineLvl w:val="5"/>
              <w:rPr>
                <w:rFonts w:ascii="Arial Narrow" w:hAnsi="Arial Narrow"/>
                <w:b/>
                <w:bCs/>
                <w:sz w:val="16"/>
                <w:szCs w:val="16"/>
              </w:rPr>
            </w:pPr>
            <w:r w:rsidRPr="0015043C">
              <w:rPr>
                <w:rFonts w:ascii="Arial Narrow" w:hAnsi="Arial Narrow"/>
                <w:b/>
                <w:bCs/>
                <w:sz w:val="16"/>
                <w:szCs w:val="16"/>
              </w:rPr>
              <w:t>Χρεολύσια</w:t>
            </w:r>
          </w:p>
        </w:tc>
        <w:tc>
          <w:tcPr>
            <w:tcW w:w="2512"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D0A85" w:rsidRPr="0015043C" w:rsidRDefault="000D0A85" w:rsidP="00451ECA">
            <w:pPr>
              <w:jc w:val="center"/>
              <w:rPr>
                <w:rFonts w:ascii="Arial Narrow" w:hAnsi="Arial Narrow"/>
                <w:b/>
                <w:bCs/>
                <w:sz w:val="16"/>
                <w:szCs w:val="16"/>
              </w:rPr>
            </w:pPr>
            <w:r w:rsidRPr="0015043C">
              <w:rPr>
                <w:rFonts w:ascii="Arial Narrow" w:hAnsi="Arial Narrow"/>
                <w:b/>
                <w:bCs/>
                <w:sz w:val="16"/>
                <w:szCs w:val="16"/>
              </w:rPr>
              <w:t>Τόκοι</w:t>
            </w:r>
          </w:p>
        </w:tc>
        <w:tc>
          <w:tcPr>
            <w:tcW w:w="973" w:type="dxa"/>
            <w:vMerge w:val="restart"/>
            <w:tcBorders>
              <w:top w:val="single" w:sz="4" w:space="0" w:color="auto"/>
              <w:left w:val="nil"/>
              <w:right w:val="single" w:sz="4" w:space="0" w:color="auto"/>
            </w:tcBorders>
            <w:shd w:val="clear" w:color="auto" w:fill="auto"/>
            <w:noWrap/>
            <w:tcMar>
              <w:left w:w="28" w:type="dxa"/>
              <w:right w:w="28" w:type="dxa"/>
            </w:tcMar>
            <w:vAlign w:val="center"/>
          </w:tcPr>
          <w:p w:rsidR="000D0A85" w:rsidRDefault="000D0A85" w:rsidP="00451ECA">
            <w:pPr>
              <w:jc w:val="center"/>
              <w:rPr>
                <w:rFonts w:ascii="Arial Narrow" w:hAnsi="Arial Narrow"/>
                <w:b/>
                <w:bCs/>
                <w:sz w:val="16"/>
                <w:szCs w:val="16"/>
              </w:rPr>
            </w:pPr>
            <w:r>
              <w:rPr>
                <w:rFonts w:ascii="Arial Narrow" w:hAnsi="Arial Narrow"/>
                <w:b/>
                <w:bCs/>
                <w:sz w:val="16"/>
                <w:szCs w:val="16"/>
              </w:rPr>
              <w:t>Παράλληλες</w:t>
            </w:r>
          </w:p>
          <w:p w:rsidR="000D0A85" w:rsidRPr="0015043C" w:rsidRDefault="000D0A85" w:rsidP="00451ECA">
            <w:pPr>
              <w:jc w:val="center"/>
              <w:rPr>
                <w:rFonts w:ascii="Arial Narrow" w:hAnsi="Arial Narrow"/>
                <w:b/>
                <w:bCs/>
                <w:sz w:val="16"/>
                <w:szCs w:val="16"/>
              </w:rPr>
            </w:pPr>
            <w:r>
              <w:rPr>
                <w:rFonts w:ascii="Arial Narrow" w:hAnsi="Arial Narrow"/>
                <w:b/>
                <w:bCs/>
                <w:sz w:val="16"/>
                <w:szCs w:val="16"/>
              </w:rPr>
              <w:t>δαπάνες</w:t>
            </w:r>
          </w:p>
        </w:tc>
        <w:tc>
          <w:tcPr>
            <w:tcW w:w="1184" w:type="dxa"/>
            <w:vMerge w:val="restart"/>
            <w:tcBorders>
              <w:top w:val="single" w:sz="4" w:space="0" w:color="auto"/>
              <w:left w:val="nil"/>
              <w:right w:val="single" w:sz="4" w:space="0" w:color="auto"/>
            </w:tcBorders>
            <w:shd w:val="clear" w:color="auto" w:fill="auto"/>
            <w:tcMar>
              <w:left w:w="28" w:type="dxa"/>
              <w:right w:w="28" w:type="dxa"/>
            </w:tcMar>
            <w:vAlign w:val="center"/>
          </w:tcPr>
          <w:p w:rsidR="000D0A85" w:rsidRDefault="000D0A85" w:rsidP="00451ECA">
            <w:pPr>
              <w:jc w:val="center"/>
              <w:rPr>
                <w:rFonts w:ascii="Arial Narrow" w:hAnsi="Arial Narrow"/>
                <w:b/>
                <w:bCs/>
                <w:sz w:val="16"/>
                <w:szCs w:val="16"/>
              </w:rPr>
            </w:pPr>
            <w:r>
              <w:rPr>
                <w:rFonts w:ascii="Arial Narrow" w:hAnsi="Arial Narrow"/>
                <w:b/>
                <w:bCs/>
                <w:sz w:val="16"/>
                <w:szCs w:val="16"/>
              </w:rPr>
              <w:t xml:space="preserve">Τόκοι και </w:t>
            </w:r>
          </w:p>
          <w:p w:rsidR="000D0A85" w:rsidRPr="0015043C" w:rsidRDefault="000D0A85" w:rsidP="00451ECA">
            <w:pPr>
              <w:jc w:val="center"/>
              <w:rPr>
                <w:rFonts w:ascii="Arial Narrow" w:hAnsi="Arial Narrow"/>
                <w:b/>
                <w:bCs/>
                <w:sz w:val="16"/>
                <w:szCs w:val="16"/>
              </w:rPr>
            </w:pPr>
            <w:r>
              <w:rPr>
                <w:rFonts w:ascii="Arial Narrow" w:hAnsi="Arial Narrow"/>
                <w:b/>
                <w:bCs/>
                <w:sz w:val="16"/>
                <w:szCs w:val="16"/>
              </w:rPr>
              <w:t>παραλ. δαπάνες</w:t>
            </w:r>
          </w:p>
        </w:tc>
        <w:tc>
          <w:tcPr>
            <w:tcW w:w="136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0D0A85" w:rsidRPr="0015043C" w:rsidRDefault="000D0A85" w:rsidP="00451ECA">
            <w:pPr>
              <w:jc w:val="center"/>
              <w:rPr>
                <w:rFonts w:ascii="Arial Narrow" w:hAnsi="Arial Narrow"/>
                <w:b/>
                <w:bCs/>
                <w:sz w:val="16"/>
                <w:szCs w:val="16"/>
              </w:rPr>
            </w:pPr>
            <w:r w:rsidRPr="0015043C">
              <w:rPr>
                <w:rFonts w:ascii="Arial Narrow" w:hAnsi="Arial Narrow"/>
                <w:b/>
                <w:bCs/>
                <w:sz w:val="16"/>
                <w:szCs w:val="16"/>
              </w:rPr>
              <w:t>Γενικό σύνολο</w:t>
            </w:r>
          </w:p>
        </w:tc>
      </w:tr>
      <w:tr w:rsidR="000D0A85" w:rsidRPr="0015043C" w:rsidTr="00451ECA">
        <w:trPr>
          <w:trHeight w:val="193"/>
        </w:trPr>
        <w:tc>
          <w:tcPr>
            <w:tcW w:w="600" w:type="dxa"/>
            <w:vMerge/>
            <w:tcBorders>
              <w:left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rPr>
                <w:rFonts w:ascii="Arial Narrow" w:hAnsi="Arial Narrow"/>
                <w:sz w:val="16"/>
                <w:szCs w:val="16"/>
              </w:rPr>
            </w:pPr>
          </w:p>
        </w:tc>
        <w:tc>
          <w:tcPr>
            <w:tcW w:w="762" w:type="dxa"/>
            <w:tcBorders>
              <w:top w:val="nil"/>
              <w:left w:val="nil"/>
              <w:bottom w:val="nil"/>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proofErr w:type="spellStart"/>
            <w:r w:rsidRPr="0015043C">
              <w:rPr>
                <w:rFonts w:ascii="Arial Narrow" w:hAnsi="Arial Narrow"/>
                <w:b/>
                <w:bCs/>
                <w:sz w:val="16"/>
                <w:szCs w:val="16"/>
              </w:rPr>
              <w:t>Συναλ</w:t>
            </w:r>
            <w:proofErr w:type="spellEnd"/>
            <w:r w:rsidRPr="0015043C">
              <w:rPr>
                <w:rFonts w:ascii="Arial Narrow" w:hAnsi="Arial Narrow"/>
                <w:b/>
                <w:bCs/>
                <w:sz w:val="16"/>
                <w:szCs w:val="16"/>
              </w:rPr>
              <w:t>.</w:t>
            </w:r>
          </w:p>
        </w:tc>
        <w:tc>
          <w:tcPr>
            <w:tcW w:w="967" w:type="dxa"/>
            <w:tcBorders>
              <w:top w:val="nil"/>
              <w:left w:val="nil"/>
              <w:bottom w:val="nil"/>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r w:rsidRPr="0015043C">
              <w:rPr>
                <w:rFonts w:ascii="Arial Narrow" w:hAnsi="Arial Narrow"/>
                <w:b/>
                <w:bCs/>
                <w:sz w:val="16"/>
                <w:szCs w:val="16"/>
              </w:rPr>
              <w:t>Εθν. νομ.</w:t>
            </w:r>
          </w:p>
        </w:tc>
        <w:tc>
          <w:tcPr>
            <w:tcW w:w="774" w:type="dxa"/>
            <w:tcBorders>
              <w:top w:val="nil"/>
              <w:left w:val="nil"/>
              <w:bottom w:val="nil"/>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r w:rsidRPr="0015043C">
              <w:rPr>
                <w:rFonts w:ascii="Arial Narrow" w:hAnsi="Arial Narrow"/>
                <w:b/>
                <w:bCs/>
                <w:sz w:val="16"/>
                <w:szCs w:val="16"/>
              </w:rPr>
              <w:t>Σύνολο</w:t>
            </w:r>
          </w:p>
        </w:tc>
        <w:tc>
          <w:tcPr>
            <w:tcW w:w="78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proofErr w:type="spellStart"/>
            <w:r w:rsidRPr="0015043C">
              <w:rPr>
                <w:rFonts w:ascii="Arial Narrow" w:hAnsi="Arial Narrow"/>
                <w:b/>
                <w:bCs/>
                <w:sz w:val="16"/>
                <w:szCs w:val="16"/>
              </w:rPr>
              <w:t>Συναλ</w:t>
            </w:r>
            <w:proofErr w:type="spellEnd"/>
            <w:r w:rsidRPr="0015043C">
              <w:rPr>
                <w:rFonts w:ascii="Arial Narrow" w:hAnsi="Arial Narrow"/>
                <w:b/>
                <w:bCs/>
                <w:sz w:val="16"/>
                <w:szCs w:val="16"/>
              </w:rPr>
              <w:t>.</w:t>
            </w:r>
          </w:p>
        </w:tc>
        <w:tc>
          <w:tcPr>
            <w:tcW w:w="91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r w:rsidRPr="0015043C">
              <w:rPr>
                <w:rFonts w:ascii="Arial Narrow" w:hAnsi="Arial Narrow"/>
                <w:b/>
                <w:bCs/>
                <w:sz w:val="16"/>
                <w:szCs w:val="16"/>
              </w:rPr>
              <w:t>Εθν. νομ.</w:t>
            </w:r>
          </w:p>
        </w:tc>
        <w:tc>
          <w:tcPr>
            <w:tcW w:w="81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r w:rsidRPr="0015043C">
              <w:rPr>
                <w:rFonts w:ascii="Arial Narrow" w:hAnsi="Arial Narrow"/>
                <w:b/>
                <w:bCs/>
                <w:sz w:val="16"/>
                <w:szCs w:val="16"/>
              </w:rPr>
              <w:t>Σύνολο</w:t>
            </w:r>
          </w:p>
        </w:tc>
        <w:tc>
          <w:tcPr>
            <w:tcW w:w="973" w:type="dxa"/>
            <w:vMerge/>
            <w:tcBorders>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p>
        </w:tc>
        <w:tc>
          <w:tcPr>
            <w:tcW w:w="1184" w:type="dxa"/>
            <w:vMerge/>
            <w:tcBorders>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bCs/>
                <w:sz w:val="16"/>
                <w:szCs w:val="16"/>
              </w:rPr>
            </w:pPr>
          </w:p>
        </w:tc>
        <w:tc>
          <w:tcPr>
            <w:tcW w:w="1366" w:type="dxa"/>
            <w:vMerge/>
            <w:tcBorders>
              <w:left w:val="single" w:sz="4" w:space="0" w:color="auto"/>
              <w:bottom w:val="single" w:sz="4" w:space="0" w:color="000000"/>
              <w:right w:val="single" w:sz="4" w:space="0" w:color="auto"/>
            </w:tcBorders>
            <w:tcMar>
              <w:left w:w="28" w:type="dxa"/>
              <w:right w:w="28" w:type="dxa"/>
            </w:tcMar>
            <w:vAlign w:val="center"/>
          </w:tcPr>
          <w:p w:rsidR="000D0A85" w:rsidRPr="0015043C" w:rsidRDefault="000D0A85" w:rsidP="00451ECA">
            <w:pPr>
              <w:rPr>
                <w:rFonts w:ascii="Arial Narrow" w:hAnsi="Arial Narrow"/>
                <w:b/>
                <w:bCs/>
                <w:sz w:val="16"/>
                <w:szCs w:val="16"/>
              </w:rPr>
            </w:pPr>
          </w:p>
        </w:tc>
      </w:tr>
      <w:tr w:rsidR="000D0A85" w:rsidRPr="0015043C" w:rsidTr="00451ECA">
        <w:trPr>
          <w:trHeight w:val="193"/>
        </w:trPr>
        <w:tc>
          <w:tcPr>
            <w:tcW w:w="600" w:type="dxa"/>
            <w:vMerge/>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rPr>
                <w:rFonts w:ascii="Arial Narrow" w:hAnsi="Arial Narrow"/>
                <w:b/>
                <w:sz w:val="16"/>
                <w:szCs w:val="16"/>
              </w:rPr>
            </w:pPr>
          </w:p>
        </w:tc>
        <w:tc>
          <w:tcPr>
            <w:tcW w:w="76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sidRPr="0015043C">
              <w:rPr>
                <w:rFonts w:ascii="Arial Narrow" w:hAnsi="Arial Narrow"/>
                <w:b/>
                <w:sz w:val="16"/>
                <w:szCs w:val="16"/>
              </w:rPr>
              <w:t> </w:t>
            </w:r>
          </w:p>
        </w:tc>
        <w:tc>
          <w:tcPr>
            <w:tcW w:w="9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sidRPr="0015043C">
              <w:rPr>
                <w:rFonts w:ascii="Arial Narrow" w:hAnsi="Arial Narrow"/>
                <w:b/>
                <w:sz w:val="16"/>
                <w:szCs w:val="16"/>
              </w:rPr>
              <w:t> </w:t>
            </w:r>
          </w:p>
        </w:tc>
        <w:tc>
          <w:tcPr>
            <w:tcW w:w="7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sidRPr="0015043C">
              <w:rPr>
                <w:rFonts w:ascii="Arial Narrow" w:hAnsi="Arial Narrow"/>
                <w:b/>
                <w:sz w:val="16"/>
                <w:szCs w:val="16"/>
              </w:rPr>
              <w:t>(1)</w:t>
            </w:r>
          </w:p>
        </w:tc>
        <w:tc>
          <w:tcPr>
            <w:tcW w:w="78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sidRPr="0015043C">
              <w:rPr>
                <w:rFonts w:ascii="Arial Narrow" w:hAnsi="Arial Narrow"/>
                <w:b/>
                <w:sz w:val="16"/>
                <w:szCs w:val="16"/>
              </w:rPr>
              <w:t> </w:t>
            </w:r>
          </w:p>
        </w:tc>
        <w:tc>
          <w:tcPr>
            <w:tcW w:w="91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sidRPr="0015043C">
              <w:rPr>
                <w:rFonts w:ascii="Arial Narrow" w:hAnsi="Arial Narrow"/>
                <w:b/>
                <w:sz w:val="16"/>
                <w:szCs w:val="16"/>
              </w:rPr>
              <w:t> </w:t>
            </w:r>
          </w:p>
        </w:tc>
        <w:tc>
          <w:tcPr>
            <w:tcW w:w="81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sidRPr="0015043C">
              <w:rPr>
                <w:rFonts w:ascii="Arial Narrow" w:hAnsi="Arial Narrow"/>
                <w:b/>
                <w:sz w:val="16"/>
                <w:szCs w:val="16"/>
              </w:rPr>
              <w:t>(2)</w:t>
            </w:r>
          </w:p>
        </w:tc>
        <w:tc>
          <w:tcPr>
            <w:tcW w:w="97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Pr>
                <w:rFonts w:ascii="Arial Narrow" w:hAnsi="Arial Narrow"/>
                <w:b/>
                <w:sz w:val="16"/>
                <w:szCs w:val="16"/>
              </w:rPr>
              <w:t>(3)</w:t>
            </w:r>
          </w:p>
        </w:tc>
        <w:tc>
          <w:tcPr>
            <w:tcW w:w="1184"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Pr>
                <w:rFonts w:ascii="Arial Narrow" w:hAnsi="Arial Narrow"/>
                <w:b/>
                <w:sz w:val="16"/>
                <w:szCs w:val="16"/>
              </w:rPr>
              <w:t>(2+3</w:t>
            </w:r>
            <w:r w:rsidRPr="0015043C">
              <w:rPr>
                <w:rFonts w:ascii="Arial Narrow" w:hAnsi="Arial Narrow"/>
                <w:b/>
                <w:sz w:val="16"/>
                <w:szCs w:val="16"/>
              </w:rPr>
              <w:t>)</w:t>
            </w:r>
          </w:p>
        </w:tc>
        <w:tc>
          <w:tcPr>
            <w:tcW w:w="136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0D0A85" w:rsidRPr="0015043C" w:rsidRDefault="000D0A85" w:rsidP="00451ECA">
            <w:pPr>
              <w:jc w:val="center"/>
              <w:rPr>
                <w:rFonts w:ascii="Arial Narrow" w:hAnsi="Arial Narrow"/>
                <w:b/>
                <w:sz w:val="16"/>
                <w:szCs w:val="16"/>
              </w:rPr>
            </w:pPr>
            <w:r w:rsidRPr="0015043C">
              <w:rPr>
                <w:rFonts w:ascii="Arial Narrow" w:hAnsi="Arial Narrow"/>
                <w:b/>
                <w:sz w:val="16"/>
                <w:szCs w:val="16"/>
              </w:rPr>
              <w:t>(1+2+3)</w:t>
            </w:r>
          </w:p>
        </w:tc>
      </w:tr>
      <w:tr w:rsidR="006315BE" w:rsidRPr="0015043C" w:rsidTr="00EB5D1B">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1996</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1.894</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8.369</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10.263</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1.263</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8.378</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9.641</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339</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9.980</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20.243</w:t>
            </w:r>
          </w:p>
        </w:tc>
      </w:tr>
      <w:tr w:rsidR="006315BE" w:rsidRPr="0015043C" w:rsidTr="00451ECA">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1997</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3.057</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7.088</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10.145</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1.348</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7.461</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8.809</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308</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9.117</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19.262</w:t>
            </w:r>
          </w:p>
        </w:tc>
      </w:tr>
      <w:tr w:rsidR="006315BE" w:rsidRPr="0015043C" w:rsidTr="00EB5D1B">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1998</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3.550</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6.132</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9.682</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1.625</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7.393</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9.018</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170</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9.188</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18.870</w:t>
            </w:r>
          </w:p>
        </w:tc>
      </w:tr>
      <w:tr w:rsidR="006315BE" w:rsidRPr="0015043C" w:rsidTr="00451ECA">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1999</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2.682</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6.569</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9.251</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1.532</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7.758</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9.290</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101</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9.391</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18.642</w:t>
            </w:r>
          </w:p>
        </w:tc>
      </w:tr>
      <w:tr w:rsidR="006315BE" w:rsidRPr="0015043C" w:rsidTr="00EB5D1B">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2000</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4.640</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8.491</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13.131</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1.922</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7.577</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9.499</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58</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9.557</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22.688</w:t>
            </w:r>
          </w:p>
        </w:tc>
      </w:tr>
      <w:tr w:rsidR="006315BE" w:rsidRPr="0015043C" w:rsidTr="00451ECA">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2001</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2.566</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9.052</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11.618</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719</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8.570</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9.289</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39</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9.328</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20.946</w:t>
            </w:r>
          </w:p>
        </w:tc>
      </w:tr>
      <w:tr w:rsidR="006315BE" w:rsidRPr="0015043C" w:rsidTr="00EB5D1B">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2002</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2.397</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17.883</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20.280</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391</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8.144</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8.535</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59</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8.594</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28.874</w:t>
            </w:r>
          </w:p>
        </w:tc>
      </w:tr>
      <w:tr w:rsidR="006315BE" w:rsidRPr="0015043C" w:rsidTr="00451ECA">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2003</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1.204</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19.559</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20.763</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180</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9.028</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9.208</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70</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9.278</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30.041</w:t>
            </w:r>
          </w:p>
        </w:tc>
      </w:tr>
      <w:tr w:rsidR="006315BE" w:rsidRPr="0015043C" w:rsidTr="00EB5D1B">
        <w:trPr>
          <w:trHeight w:val="20"/>
        </w:trPr>
        <w:tc>
          <w:tcPr>
            <w:tcW w:w="600" w:type="dxa"/>
            <w:tcBorders>
              <w:top w:val="nil"/>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2004</w:t>
            </w:r>
          </w:p>
        </w:tc>
        <w:tc>
          <w:tcPr>
            <w:tcW w:w="762"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667</w:t>
            </w:r>
          </w:p>
        </w:tc>
        <w:tc>
          <w:tcPr>
            <w:tcW w:w="967"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17.777</w:t>
            </w:r>
          </w:p>
        </w:tc>
        <w:tc>
          <w:tcPr>
            <w:tcW w:w="774"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18.444</w:t>
            </w:r>
          </w:p>
        </w:tc>
        <w:tc>
          <w:tcPr>
            <w:tcW w:w="783"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85</w:t>
            </w:r>
          </w:p>
        </w:tc>
        <w:tc>
          <w:tcPr>
            <w:tcW w:w="916"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9.198</w:t>
            </w:r>
          </w:p>
        </w:tc>
        <w:tc>
          <w:tcPr>
            <w:tcW w:w="813"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9.283</w:t>
            </w:r>
          </w:p>
        </w:tc>
        <w:tc>
          <w:tcPr>
            <w:tcW w:w="973" w:type="dxa"/>
            <w:tcBorders>
              <w:top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72</w:t>
            </w:r>
          </w:p>
        </w:tc>
        <w:tc>
          <w:tcPr>
            <w:tcW w:w="1184" w:type="dxa"/>
            <w:tcBorders>
              <w:top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9.355</w:t>
            </w:r>
          </w:p>
        </w:tc>
        <w:tc>
          <w:tcPr>
            <w:tcW w:w="1366" w:type="dxa"/>
            <w:tcBorders>
              <w:top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27.799</w:t>
            </w:r>
          </w:p>
        </w:tc>
      </w:tr>
      <w:tr w:rsidR="006315BE" w:rsidRPr="0015043C" w:rsidTr="00451ECA">
        <w:trPr>
          <w:trHeight w:val="20"/>
        </w:trPr>
        <w:tc>
          <w:tcPr>
            <w:tcW w:w="600" w:type="dxa"/>
            <w:tcBorders>
              <w:top w:val="nil"/>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lang w:val="en-US"/>
              </w:rPr>
            </w:pPr>
            <w:r w:rsidRPr="0015043C">
              <w:rPr>
                <w:rFonts w:ascii="Arial Narrow" w:hAnsi="Arial Narrow"/>
                <w:sz w:val="16"/>
                <w:szCs w:val="16"/>
              </w:rPr>
              <w:t>2005</w:t>
            </w:r>
          </w:p>
        </w:tc>
        <w:tc>
          <w:tcPr>
            <w:tcW w:w="762"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751</w:t>
            </w:r>
          </w:p>
        </w:tc>
        <w:tc>
          <w:tcPr>
            <w:tcW w:w="967"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19.628</w:t>
            </w:r>
          </w:p>
        </w:tc>
        <w:tc>
          <w:tcPr>
            <w:tcW w:w="774"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20.379</w:t>
            </w:r>
          </w:p>
        </w:tc>
        <w:tc>
          <w:tcPr>
            <w:tcW w:w="783"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108</w:t>
            </w:r>
          </w:p>
        </w:tc>
        <w:tc>
          <w:tcPr>
            <w:tcW w:w="916"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9.508</w:t>
            </w:r>
          </w:p>
        </w:tc>
        <w:tc>
          <w:tcPr>
            <w:tcW w:w="813" w:type="dxa"/>
            <w:tcBorders>
              <w:top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9.616</w:t>
            </w:r>
          </w:p>
        </w:tc>
        <w:tc>
          <w:tcPr>
            <w:tcW w:w="973" w:type="dxa"/>
            <w:tcBorders>
              <w:top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71</w:t>
            </w:r>
          </w:p>
        </w:tc>
        <w:tc>
          <w:tcPr>
            <w:tcW w:w="1184" w:type="dxa"/>
            <w:tcBorders>
              <w:top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9.687</w:t>
            </w:r>
          </w:p>
        </w:tc>
        <w:tc>
          <w:tcPr>
            <w:tcW w:w="1366" w:type="dxa"/>
            <w:tcBorders>
              <w:top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30.066</w:t>
            </w:r>
          </w:p>
        </w:tc>
      </w:tr>
      <w:tr w:rsidR="006315BE" w:rsidRPr="0015043C" w:rsidTr="00EB5D1B">
        <w:trPr>
          <w:trHeight w:val="20"/>
        </w:trPr>
        <w:tc>
          <w:tcPr>
            <w:tcW w:w="600" w:type="dxa"/>
            <w:tcBorders>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lang w:val="en-US"/>
              </w:rPr>
            </w:pPr>
            <w:r w:rsidRPr="0015043C">
              <w:rPr>
                <w:rFonts w:ascii="Arial Narrow" w:hAnsi="Arial Narrow"/>
                <w:sz w:val="16"/>
                <w:szCs w:val="16"/>
                <w:lang w:val="en-US"/>
              </w:rPr>
              <w:t>2006</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65</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16.524</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16.589</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92</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9.349</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9.441</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56</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9.497</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26.086</w:t>
            </w:r>
          </w:p>
        </w:tc>
      </w:tr>
      <w:tr w:rsidR="006315BE" w:rsidRPr="0015043C" w:rsidTr="00451ECA">
        <w:trPr>
          <w:trHeight w:val="20"/>
        </w:trPr>
        <w:tc>
          <w:tcPr>
            <w:tcW w:w="600" w:type="dxa"/>
            <w:tcBorders>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lang w:val="en-US"/>
              </w:rPr>
            </w:pPr>
            <w:r w:rsidRPr="0015043C">
              <w:rPr>
                <w:rFonts w:ascii="Arial Narrow" w:hAnsi="Arial Narrow"/>
                <w:sz w:val="16"/>
                <w:szCs w:val="16"/>
                <w:lang w:val="en-US"/>
              </w:rPr>
              <w:t>2007</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43</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22.152</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22.195</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74</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9.583</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9.657</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71</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9.728</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31.923</w:t>
            </w:r>
          </w:p>
        </w:tc>
      </w:tr>
      <w:tr w:rsidR="006315BE" w:rsidRPr="0015043C" w:rsidTr="00EB5D1B">
        <w:trPr>
          <w:trHeight w:val="20"/>
        </w:trPr>
        <w:tc>
          <w:tcPr>
            <w:tcW w:w="600" w:type="dxa"/>
            <w:tcBorders>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lang w:val="en-US"/>
              </w:rPr>
              <w:t>200</w:t>
            </w:r>
            <w:r w:rsidRPr="0015043C">
              <w:rPr>
                <w:rFonts w:ascii="Arial Narrow" w:hAnsi="Arial Narrow"/>
                <w:sz w:val="16"/>
                <w:szCs w:val="16"/>
              </w:rPr>
              <w:t>8</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424</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25.822</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26.246</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82</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11.052</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11.134</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72</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11.206</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37.452</w:t>
            </w:r>
          </w:p>
        </w:tc>
      </w:tr>
      <w:tr w:rsidR="006315BE" w:rsidRPr="0015043C" w:rsidTr="00451ECA">
        <w:trPr>
          <w:trHeight w:val="20"/>
        </w:trPr>
        <w:tc>
          <w:tcPr>
            <w:tcW w:w="600" w:type="dxa"/>
            <w:tcBorders>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sidRPr="0015043C">
              <w:rPr>
                <w:rFonts w:ascii="Arial Narrow" w:hAnsi="Arial Narrow"/>
                <w:sz w:val="16"/>
                <w:szCs w:val="16"/>
              </w:rPr>
              <w:t>2009</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375</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28.760</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29.135</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39</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12.145</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12.184</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141</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12.325</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41.460</w:t>
            </w:r>
          </w:p>
        </w:tc>
      </w:tr>
      <w:tr w:rsidR="006315BE" w:rsidRPr="0015043C" w:rsidTr="00EB5D1B">
        <w:trPr>
          <w:trHeight w:val="20"/>
        </w:trPr>
        <w:tc>
          <w:tcPr>
            <w:tcW w:w="600" w:type="dxa"/>
            <w:tcBorders>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Pr>
                <w:rFonts w:ascii="Arial Narrow" w:hAnsi="Arial Narrow"/>
                <w:sz w:val="16"/>
                <w:szCs w:val="16"/>
              </w:rPr>
              <w:t>2010</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159</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19.390</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19.549</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104</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12.873</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12.977</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246</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13.223</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32.772</w:t>
            </w:r>
          </w:p>
        </w:tc>
      </w:tr>
      <w:tr w:rsidR="006315BE" w:rsidRPr="0015043C" w:rsidTr="00451ECA">
        <w:trPr>
          <w:trHeight w:val="20"/>
        </w:trPr>
        <w:tc>
          <w:tcPr>
            <w:tcW w:w="600" w:type="dxa"/>
            <w:tcBorders>
              <w:left w:val="single" w:sz="4" w:space="0" w:color="auto"/>
            </w:tcBorders>
            <w:shd w:val="clear" w:color="auto" w:fill="auto"/>
            <w:noWrap/>
            <w:tcMar>
              <w:left w:w="28" w:type="dxa"/>
              <w:right w:w="28" w:type="dxa"/>
            </w:tcMar>
            <w:vAlign w:val="bottom"/>
          </w:tcPr>
          <w:p w:rsidR="006315BE" w:rsidRPr="0015043C" w:rsidRDefault="006315BE" w:rsidP="00451ECA">
            <w:pPr>
              <w:jc w:val="center"/>
              <w:rPr>
                <w:rFonts w:ascii="Arial Narrow" w:hAnsi="Arial Narrow"/>
                <w:sz w:val="16"/>
                <w:szCs w:val="16"/>
              </w:rPr>
            </w:pPr>
            <w:r>
              <w:rPr>
                <w:rFonts w:ascii="Arial Narrow" w:hAnsi="Arial Narrow"/>
                <w:sz w:val="16"/>
                <w:szCs w:val="16"/>
              </w:rPr>
              <w:t>2011</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-129</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28.976</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28.847</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372</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15.758</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16.130</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218</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16.348</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45.195</w:t>
            </w:r>
          </w:p>
        </w:tc>
      </w:tr>
      <w:tr w:rsidR="006315BE" w:rsidRPr="0015043C" w:rsidTr="00EB5D1B">
        <w:trPr>
          <w:trHeight w:val="20"/>
        </w:trPr>
        <w:tc>
          <w:tcPr>
            <w:tcW w:w="600" w:type="dxa"/>
            <w:tcBorders>
              <w:left w:val="single" w:sz="4" w:space="0" w:color="auto"/>
            </w:tcBorders>
            <w:shd w:val="clear" w:color="auto" w:fill="auto"/>
            <w:noWrap/>
            <w:tcMar>
              <w:left w:w="28" w:type="dxa"/>
              <w:right w:w="28" w:type="dxa"/>
            </w:tcMar>
            <w:vAlign w:val="bottom"/>
          </w:tcPr>
          <w:p w:rsidR="006315BE" w:rsidRDefault="006315BE" w:rsidP="00451ECA">
            <w:pPr>
              <w:jc w:val="center"/>
              <w:rPr>
                <w:rFonts w:ascii="Arial Narrow" w:hAnsi="Arial Narrow"/>
                <w:sz w:val="16"/>
                <w:szCs w:val="16"/>
              </w:rPr>
            </w:pPr>
            <w:r>
              <w:rPr>
                <w:rFonts w:ascii="Arial Narrow" w:hAnsi="Arial Narrow"/>
                <w:sz w:val="16"/>
                <w:szCs w:val="16"/>
              </w:rPr>
              <w:t>2012</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-1.353</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25.261</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23.908</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603</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11.530</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12.133</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631</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12.764</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36.672</w:t>
            </w:r>
          </w:p>
        </w:tc>
      </w:tr>
      <w:tr w:rsidR="006315BE" w:rsidRPr="0015043C" w:rsidTr="000A55D8">
        <w:trPr>
          <w:trHeight w:val="20"/>
        </w:trPr>
        <w:tc>
          <w:tcPr>
            <w:tcW w:w="600" w:type="dxa"/>
            <w:tcBorders>
              <w:left w:val="single" w:sz="4" w:space="0" w:color="auto"/>
            </w:tcBorders>
            <w:shd w:val="clear" w:color="auto" w:fill="auto"/>
            <w:noWrap/>
            <w:tcMar>
              <w:left w:w="28" w:type="dxa"/>
              <w:right w:w="28" w:type="dxa"/>
            </w:tcMar>
            <w:vAlign w:val="bottom"/>
          </w:tcPr>
          <w:p w:rsidR="006315BE" w:rsidRDefault="006315BE" w:rsidP="00451ECA">
            <w:pPr>
              <w:jc w:val="center"/>
              <w:rPr>
                <w:rFonts w:ascii="Arial Narrow" w:hAnsi="Arial Narrow"/>
                <w:sz w:val="16"/>
                <w:szCs w:val="16"/>
              </w:rPr>
            </w:pPr>
            <w:r>
              <w:rPr>
                <w:rFonts w:ascii="Arial Narrow" w:hAnsi="Arial Narrow"/>
                <w:sz w:val="16"/>
                <w:szCs w:val="16"/>
              </w:rPr>
              <w:t>2013</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2.110</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10.647</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12.757</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848</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5.173</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6.021</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150</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6.171</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18.928</w:t>
            </w:r>
          </w:p>
        </w:tc>
      </w:tr>
      <w:tr w:rsidR="006315BE" w:rsidRPr="0015043C" w:rsidTr="00EB5D1B">
        <w:trPr>
          <w:trHeight w:val="20"/>
        </w:trPr>
        <w:tc>
          <w:tcPr>
            <w:tcW w:w="600" w:type="dxa"/>
            <w:tcBorders>
              <w:left w:val="single" w:sz="4" w:space="0" w:color="auto"/>
            </w:tcBorders>
            <w:shd w:val="clear" w:color="auto" w:fill="auto"/>
            <w:noWrap/>
            <w:tcMar>
              <w:left w:w="28" w:type="dxa"/>
              <w:right w:w="28" w:type="dxa"/>
            </w:tcMar>
            <w:vAlign w:val="bottom"/>
          </w:tcPr>
          <w:p w:rsidR="006315BE" w:rsidRDefault="006315BE" w:rsidP="000A55D8">
            <w:pPr>
              <w:jc w:val="center"/>
              <w:rPr>
                <w:rFonts w:ascii="Arial Narrow" w:hAnsi="Arial Narrow"/>
                <w:sz w:val="16"/>
                <w:szCs w:val="16"/>
              </w:rPr>
            </w:pPr>
            <w:r>
              <w:rPr>
                <w:rFonts w:ascii="Arial Narrow" w:hAnsi="Arial Narrow"/>
                <w:sz w:val="16"/>
                <w:szCs w:val="16"/>
              </w:rPr>
              <w:t>2014</w:t>
            </w:r>
          </w:p>
        </w:tc>
        <w:tc>
          <w:tcPr>
            <w:tcW w:w="762"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2.367</w:t>
            </w:r>
          </w:p>
        </w:tc>
        <w:tc>
          <w:tcPr>
            <w:tcW w:w="967"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22.453</w:t>
            </w:r>
          </w:p>
        </w:tc>
        <w:tc>
          <w:tcPr>
            <w:tcW w:w="774"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24.820</w:t>
            </w:r>
          </w:p>
        </w:tc>
        <w:tc>
          <w:tcPr>
            <w:tcW w:w="78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955</w:t>
            </w:r>
          </w:p>
        </w:tc>
        <w:tc>
          <w:tcPr>
            <w:tcW w:w="916"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4.573</w:t>
            </w:r>
          </w:p>
        </w:tc>
        <w:tc>
          <w:tcPr>
            <w:tcW w:w="813" w:type="dxa"/>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5.528</w:t>
            </w:r>
          </w:p>
        </w:tc>
        <w:tc>
          <w:tcPr>
            <w:tcW w:w="973" w:type="dxa"/>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82</w:t>
            </w:r>
          </w:p>
        </w:tc>
        <w:tc>
          <w:tcPr>
            <w:tcW w:w="1184" w:type="dxa"/>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5.610</w:t>
            </w:r>
          </w:p>
        </w:tc>
        <w:tc>
          <w:tcPr>
            <w:tcW w:w="1366" w:type="dxa"/>
            <w:tcBorders>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30.430</w:t>
            </w:r>
          </w:p>
        </w:tc>
      </w:tr>
      <w:tr w:rsidR="006315BE" w:rsidRPr="0015043C" w:rsidTr="00EB5D1B">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Pr="0015043C" w:rsidRDefault="006315BE" w:rsidP="00E10A32">
            <w:pPr>
              <w:jc w:val="center"/>
              <w:rPr>
                <w:rFonts w:ascii="Arial Narrow" w:hAnsi="Arial Narrow"/>
                <w:sz w:val="16"/>
                <w:szCs w:val="16"/>
              </w:rPr>
            </w:pPr>
            <w:r>
              <w:rPr>
                <w:rFonts w:ascii="Arial Narrow" w:hAnsi="Arial Narrow"/>
                <w:sz w:val="16"/>
                <w:szCs w:val="16"/>
              </w:rPr>
              <w:t>2015</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3.242</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23.981</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27.223</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760</w:t>
            </w:r>
          </w:p>
        </w:tc>
        <w:tc>
          <w:tcPr>
            <w:tcW w:w="916"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5.040</w:t>
            </w:r>
          </w:p>
        </w:tc>
        <w:tc>
          <w:tcPr>
            <w:tcW w:w="81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5.800</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178</w:t>
            </w:r>
          </w:p>
        </w:tc>
        <w:tc>
          <w:tcPr>
            <w:tcW w:w="1184" w:type="dxa"/>
            <w:tcBorders>
              <w:top w:val="nil"/>
              <w:bottom w:val="nil"/>
            </w:tcBorders>
            <w:shd w:val="clear" w:color="auto" w:fill="auto"/>
            <w:noWrap/>
            <w:tcMar>
              <w:left w:w="28" w:type="dxa"/>
              <w:right w:w="28" w:type="dxa"/>
            </w:tcMar>
            <w:vAlign w:val="bottom"/>
          </w:tcPr>
          <w:p w:rsidR="006315BE" w:rsidRDefault="006315BE" w:rsidP="006315BE">
            <w:pPr>
              <w:ind w:right="397"/>
              <w:jc w:val="right"/>
              <w:rPr>
                <w:rFonts w:ascii="Arial Narrow" w:hAnsi="Arial Narrow" w:cs="Arial"/>
                <w:sz w:val="16"/>
                <w:szCs w:val="16"/>
              </w:rPr>
            </w:pPr>
            <w:r>
              <w:rPr>
                <w:rFonts w:ascii="Arial Narrow" w:hAnsi="Arial Narrow" w:cs="Arial"/>
                <w:sz w:val="16"/>
                <w:szCs w:val="16"/>
              </w:rPr>
              <w:t>5.978</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33.201</w:t>
            </w:r>
          </w:p>
        </w:tc>
      </w:tr>
      <w:tr w:rsidR="006315BE" w:rsidRPr="0015043C" w:rsidTr="002D1100">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6315BE" w:rsidRDefault="006315BE" w:rsidP="00E10A32">
            <w:pPr>
              <w:jc w:val="center"/>
              <w:rPr>
                <w:rFonts w:ascii="Arial Narrow" w:hAnsi="Arial Narrow"/>
                <w:sz w:val="16"/>
                <w:szCs w:val="16"/>
              </w:rPr>
            </w:pPr>
            <w:r>
              <w:rPr>
                <w:rFonts w:ascii="Arial Narrow" w:hAnsi="Arial Narrow"/>
                <w:sz w:val="16"/>
                <w:szCs w:val="16"/>
              </w:rPr>
              <w:t>2016</w:t>
            </w:r>
          </w:p>
        </w:tc>
        <w:tc>
          <w:tcPr>
            <w:tcW w:w="762"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1.1</w:t>
            </w:r>
            <w:r w:rsidR="00B11AAC">
              <w:rPr>
                <w:rFonts w:ascii="Arial Narrow" w:hAnsi="Arial Narrow" w:cs="Arial"/>
                <w:sz w:val="16"/>
                <w:szCs w:val="16"/>
              </w:rPr>
              <w:t>59</w:t>
            </w:r>
          </w:p>
        </w:tc>
        <w:tc>
          <w:tcPr>
            <w:tcW w:w="967"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6.401</w:t>
            </w:r>
          </w:p>
        </w:tc>
        <w:tc>
          <w:tcPr>
            <w:tcW w:w="774"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7.56</w:t>
            </w:r>
            <w:r w:rsidR="00B11AAC">
              <w:rPr>
                <w:rFonts w:ascii="Arial Narrow" w:hAnsi="Arial Narrow" w:cs="Arial"/>
                <w:sz w:val="16"/>
                <w:szCs w:val="16"/>
              </w:rPr>
              <w:t>0</w:t>
            </w:r>
          </w:p>
        </w:tc>
        <w:tc>
          <w:tcPr>
            <w:tcW w:w="783" w:type="dxa"/>
            <w:tcBorders>
              <w:top w:val="nil"/>
              <w:bottom w:val="nil"/>
            </w:tcBorders>
            <w:shd w:val="clear" w:color="auto" w:fill="auto"/>
            <w:noWrap/>
            <w:tcMar>
              <w:left w:w="28" w:type="dxa"/>
              <w:right w:w="28" w:type="dxa"/>
            </w:tcMar>
            <w:vAlign w:val="bottom"/>
          </w:tcPr>
          <w:p w:rsidR="006315BE" w:rsidRDefault="006315BE" w:rsidP="006315BE">
            <w:pPr>
              <w:ind w:right="170"/>
              <w:jc w:val="right"/>
              <w:rPr>
                <w:rFonts w:ascii="Arial Narrow" w:hAnsi="Arial Narrow" w:cs="Arial"/>
                <w:sz w:val="16"/>
                <w:szCs w:val="16"/>
              </w:rPr>
            </w:pPr>
            <w:r>
              <w:rPr>
                <w:rFonts w:ascii="Arial Narrow" w:hAnsi="Arial Narrow" w:cs="Arial"/>
                <w:sz w:val="16"/>
                <w:szCs w:val="16"/>
              </w:rPr>
              <w:t>4</w:t>
            </w:r>
            <w:r w:rsidR="00B11AAC">
              <w:rPr>
                <w:rFonts w:ascii="Arial Narrow" w:hAnsi="Arial Narrow" w:cs="Arial"/>
                <w:sz w:val="16"/>
                <w:szCs w:val="16"/>
              </w:rPr>
              <w:t>26</w:t>
            </w:r>
          </w:p>
        </w:tc>
        <w:tc>
          <w:tcPr>
            <w:tcW w:w="916" w:type="dxa"/>
            <w:tcBorders>
              <w:top w:val="nil"/>
              <w:bottom w:val="nil"/>
            </w:tcBorders>
            <w:shd w:val="clear" w:color="auto" w:fill="auto"/>
            <w:noWrap/>
            <w:tcMar>
              <w:left w:w="28" w:type="dxa"/>
              <w:right w:w="28" w:type="dxa"/>
            </w:tcMar>
            <w:vAlign w:val="bottom"/>
          </w:tcPr>
          <w:p w:rsidR="006315BE" w:rsidRDefault="006315BE" w:rsidP="00B11AAC">
            <w:pPr>
              <w:ind w:right="170"/>
              <w:jc w:val="right"/>
              <w:rPr>
                <w:rFonts w:ascii="Arial Narrow" w:hAnsi="Arial Narrow" w:cs="Arial"/>
                <w:sz w:val="16"/>
                <w:szCs w:val="16"/>
              </w:rPr>
            </w:pPr>
            <w:r>
              <w:rPr>
                <w:rFonts w:ascii="Arial Narrow" w:hAnsi="Arial Narrow" w:cs="Arial"/>
                <w:sz w:val="16"/>
                <w:szCs w:val="16"/>
              </w:rPr>
              <w:t>5.1</w:t>
            </w:r>
            <w:r w:rsidR="00B11AAC">
              <w:rPr>
                <w:rFonts w:ascii="Arial Narrow" w:hAnsi="Arial Narrow" w:cs="Arial"/>
                <w:sz w:val="16"/>
                <w:szCs w:val="16"/>
              </w:rPr>
              <w:t>62</w:t>
            </w:r>
          </w:p>
        </w:tc>
        <w:tc>
          <w:tcPr>
            <w:tcW w:w="813" w:type="dxa"/>
            <w:tcBorders>
              <w:top w:val="nil"/>
              <w:bottom w:val="nil"/>
            </w:tcBorders>
            <w:shd w:val="clear" w:color="auto" w:fill="auto"/>
            <w:noWrap/>
            <w:tcMar>
              <w:left w:w="28" w:type="dxa"/>
              <w:right w:w="28" w:type="dxa"/>
            </w:tcMar>
            <w:vAlign w:val="bottom"/>
          </w:tcPr>
          <w:p w:rsidR="006315BE" w:rsidRDefault="006315BE" w:rsidP="00B11AAC">
            <w:pPr>
              <w:ind w:right="170"/>
              <w:jc w:val="right"/>
              <w:rPr>
                <w:rFonts w:ascii="Arial Narrow" w:hAnsi="Arial Narrow" w:cs="Arial"/>
                <w:sz w:val="16"/>
                <w:szCs w:val="16"/>
              </w:rPr>
            </w:pPr>
            <w:r>
              <w:rPr>
                <w:rFonts w:ascii="Arial Narrow" w:hAnsi="Arial Narrow" w:cs="Arial"/>
                <w:sz w:val="16"/>
                <w:szCs w:val="16"/>
              </w:rPr>
              <w:t>5.</w:t>
            </w:r>
            <w:r w:rsidR="00B11AAC">
              <w:rPr>
                <w:rFonts w:ascii="Arial Narrow" w:hAnsi="Arial Narrow" w:cs="Arial"/>
                <w:sz w:val="16"/>
                <w:szCs w:val="16"/>
              </w:rPr>
              <w:t>588</w:t>
            </w:r>
          </w:p>
        </w:tc>
        <w:tc>
          <w:tcPr>
            <w:tcW w:w="973" w:type="dxa"/>
            <w:tcBorders>
              <w:top w:val="nil"/>
              <w:bottom w:val="nil"/>
            </w:tcBorders>
            <w:shd w:val="clear" w:color="auto" w:fill="auto"/>
            <w:noWrap/>
            <w:tcMar>
              <w:left w:w="28" w:type="dxa"/>
              <w:right w:w="28" w:type="dxa"/>
            </w:tcMar>
            <w:vAlign w:val="bottom"/>
          </w:tcPr>
          <w:p w:rsidR="006315BE" w:rsidRDefault="006315BE" w:rsidP="006315BE">
            <w:pPr>
              <w:ind w:right="340"/>
              <w:jc w:val="right"/>
              <w:rPr>
                <w:rFonts w:ascii="Arial Narrow" w:hAnsi="Arial Narrow" w:cs="Arial"/>
                <w:sz w:val="16"/>
                <w:szCs w:val="16"/>
              </w:rPr>
            </w:pPr>
            <w:r>
              <w:rPr>
                <w:rFonts w:ascii="Arial Narrow" w:hAnsi="Arial Narrow" w:cs="Arial"/>
                <w:sz w:val="16"/>
                <w:szCs w:val="16"/>
              </w:rPr>
              <w:t>55</w:t>
            </w:r>
          </w:p>
        </w:tc>
        <w:tc>
          <w:tcPr>
            <w:tcW w:w="1184" w:type="dxa"/>
            <w:tcBorders>
              <w:top w:val="nil"/>
              <w:bottom w:val="nil"/>
            </w:tcBorders>
            <w:shd w:val="clear" w:color="auto" w:fill="auto"/>
            <w:noWrap/>
            <w:tcMar>
              <w:left w:w="28" w:type="dxa"/>
              <w:right w:w="28" w:type="dxa"/>
            </w:tcMar>
            <w:vAlign w:val="bottom"/>
          </w:tcPr>
          <w:p w:rsidR="006315BE" w:rsidRDefault="006315BE" w:rsidP="00B11AAC">
            <w:pPr>
              <w:ind w:right="397"/>
              <w:jc w:val="right"/>
              <w:rPr>
                <w:rFonts w:ascii="Arial Narrow" w:hAnsi="Arial Narrow" w:cs="Arial"/>
                <w:sz w:val="16"/>
                <w:szCs w:val="16"/>
              </w:rPr>
            </w:pPr>
            <w:r>
              <w:rPr>
                <w:rFonts w:ascii="Arial Narrow" w:hAnsi="Arial Narrow" w:cs="Arial"/>
                <w:sz w:val="16"/>
                <w:szCs w:val="16"/>
              </w:rPr>
              <w:t>5.6</w:t>
            </w:r>
            <w:r w:rsidR="00B11AAC">
              <w:rPr>
                <w:rFonts w:ascii="Arial Narrow" w:hAnsi="Arial Narrow" w:cs="Arial"/>
                <w:sz w:val="16"/>
                <w:szCs w:val="16"/>
              </w:rPr>
              <w:t>43</w:t>
            </w:r>
          </w:p>
        </w:tc>
        <w:tc>
          <w:tcPr>
            <w:tcW w:w="1366" w:type="dxa"/>
            <w:tcBorders>
              <w:top w:val="nil"/>
              <w:bottom w:val="nil"/>
              <w:right w:val="single" w:sz="4" w:space="0" w:color="auto"/>
            </w:tcBorders>
            <w:shd w:val="clear" w:color="auto" w:fill="auto"/>
            <w:noWrap/>
            <w:tcMar>
              <w:left w:w="28" w:type="dxa"/>
              <w:right w:w="28" w:type="dxa"/>
            </w:tcMar>
            <w:vAlign w:val="bottom"/>
          </w:tcPr>
          <w:p w:rsidR="006315BE" w:rsidRDefault="006315BE" w:rsidP="006315BE">
            <w:pPr>
              <w:ind w:right="454"/>
              <w:jc w:val="right"/>
              <w:rPr>
                <w:rFonts w:ascii="Arial Narrow" w:hAnsi="Arial Narrow" w:cs="Arial"/>
                <w:sz w:val="16"/>
                <w:szCs w:val="16"/>
              </w:rPr>
            </w:pPr>
            <w:r>
              <w:rPr>
                <w:rFonts w:ascii="Arial Narrow" w:hAnsi="Arial Narrow" w:cs="Arial"/>
                <w:sz w:val="16"/>
                <w:szCs w:val="16"/>
              </w:rPr>
              <w:t>13.2</w:t>
            </w:r>
            <w:r w:rsidR="00B11AAC">
              <w:rPr>
                <w:rFonts w:ascii="Arial Narrow" w:hAnsi="Arial Narrow" w:cs="Arial"/>
                <w:sz w:val="16"/>
                <w:szCs w:val="16"/>
              </w:rPr>
              <w:t>03</w:t>
            </w:r>
          </w:p>
        </w:tc>
      </w:tr>
      <w:tr w:rsidR="002D1100" w:rsidRPr="0015043C" w:rsidTr="009E3990">
        <w:trPr>
          <w:trHeight w:val="20"/>
        </w:trPr>
        <w:tc>
          <w:tcPr>
            <w:tcW w:w="600" w:type="dxa"/>
            <w:tcBorders>
              <w:top w:val="nil"/>
              <w:left w:val="single" w:sz="4" w:space="0" w:color="auto"/>
              <w:bottom w:val="single" w:sz="4" w:space="0" w:color="auto"/>
            </w:tcBorders>
            <w:shd w:val="clear" w:color="auto" w:fill="auto"/>
            <w:noWrap/>
            <w:tcMar>
              <w:left w:w="28" w:type="dxa"/>
              <w:right w:w="28" w:type="dxa"/>
            </w:tcMar>
            <w:vAlign w:val="bottom"/>
          </w:tcPr>
          <w:p w:rsidR="002D1100" w:rsidRDefault="002D1100" w:rsidP="00E10A32">
            <w:pPr>
              <w:jc w:val="center"/>
              <w:rPr>
                <w:rFonts w:ascii="Arial Narrow" w:hAnsi="Arial Narrow"/>
                <w:sz w:val="16"/>
                <w:szCs w:val="16"/>
              </w:rPr>
            </w:pPr>
            <w:r>
              <w:rPr>
                <w:rFonts w:ascii="Arial Narrow" w:hAnsi="Arial Narrow"/>
                <w:sz w:val="16"/>
                <w:szCs w:val="16"/>
              </w:rPr>
              <w:t>2017*</w:t>
            </w:r>
          </w:p>
        </w:tc>
        <w:tc>
          <w:tcPr>
            <w:tcW w:w="762"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170"/>
              <w:jc w:val="right"/>
              <w:rPr>
                <w:rFonts w:ascii="Arial Narrow" w:hAnsi="Arial Narrow" w:cs="Arial"/>
                <w:sz w:val="16"/>
                <w:szCs w:val="16"/>
              </w:rPr>
            </w:pPr>
            <w:r>
              <w:rPr>
                <w:rFonts w:ascii="Arial Narrow" w:hAnsi="Arial Narrow" w:cs="Arial"/>
                <w:sz w:val="16"/>
                <w:szCs w:val="16"/>
              </w:rPr>
              <w:t>790</w:t>
            </w:r>
          </w:p>
        </w:tc>
        <w:tc>
          <w:tcPr>
            <w:tcW w:w="967"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170"/>
              <w:jc w:val="right"/>
              <w:rPr>
                <w:rFonts w:ascii="Arial Narrow" w:hAnsi="Arial Narrow" w:cs="Arial"/>
                <w:sz w:val="16"/>
                <w:szCs w:val="16"/>
              </w:rPr>
            </w:pPr>
            <w:r>
              <w:rPr>
                <w:rFonts w:ascii="Arial Narrow" w:hAnsi="Arial Narrow" w:cs="Arial"/>
                <w:sz w:val="16"/>
                <w:szCs w:val="16"/>
              </w:rPr>
              <w:t>79.210</w:t>
            </w:r>
          </w:p>
        </w:tc>
        <w:tc>
          <w:tcPr>
            <w:tcW w:w="774"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170"/>
              <w:jc w:val="right"/>
              <w:rPr>
                <w:rFonts w:ascii="Arial Narrow" w:hAnsi="Arial Narrow" w:cs="Arial"/>
                <w:sz w:val="16"/>
                <w:szCs w:val="16"/>
              </w:rPr>
            </w:pPr>
            <w:r>
              <w:rPr>
                <w:rFonts w:ascii="Arial Narrow" w:hAnsi="Arial Narrow" w:cs="Arial"/>
                <w:sz w:val="16"/>
                <w:szCs w:val="16"/>
              </w:rPr>
              <w:t>80.000</w:t>
            </w:r>
          </w:p>
        </w:tc>
        <w:tc>
          <w:tcPr>
            <w:tcW w:w="783"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170"/>
              <w:jc w:val="right"/>
              <w:rPr>
                <w:rFonts w:ascii="Arial Narrow" w:hAnsi="Arial Narrow" w:cs="Arial"/>
                <w:sz w:val="16"/>
                <w:szCs w:val="16"/>
              </w:rPr>
            </w:pPr>
            <w:r>
              <w:rPr>
                <w:rFonts w:ascii="Arial Narrow" w:hAnsi="Arial Narrow" w:cs="Arial"/>
                <w:sz w:val="16"/>
                <w:szCs w:val="16"/>
              </w:rPr>
              <w:t>370</w:t>
            </w:r>
          </w:p>
        </w:tc>
        <w:tc>
          <w:tcPr>
            <w:tcW w:w="916"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170"/>
              <w:jc w:val="right"/>
              <w:rPr>
                <w:rFonts w:ascii="Arial Narrow" w:hAnsi="Arial Narrow" w:cs="Arial"/>
                <w:sz w:val="16"/>
                <w:szCs w:val="16"/>
              </w:rPr>
            </w:pPr>
            <w:r>
              <w:rPr>
                <w:rFonts w:ascii="Arial Narrow" w:hAnsi="Arial Narrow" w:cs="Arial"/>
                <w:sz w:val="16"/>
                <w:szCs w:val="16"/>
              </w:rPr>
              <w:t>5.630</w:t>
            </w:r>
          </w:p>
        </w:tc>
        <w:tc>
          <w:tcPr>
            <w:tcW w:w="813"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170"/>
              <w:jc w:val="right"/>
              <w:rPr>
                <w:rFonts w:ascii="Arial Narrow" w:hAnsi="Arial Narrow" w:cs="Arial"/>
                <w:sz w:val="16"/>
                <w:szCs w:val="16"/>
              </w:rPr>
            </w:pPr>
            <w:r>
              <w:rPr>
                <w:rFonts w:ascii="Arial Narrow" w:hAnsi="Arial Narrow" w:cs="Arial"/>
                <w:sz w:val="16"/>
                <w:szCs w:val="16"/>
              </w:rPr>
              <w:t>6.000</w:t>
            </w:r>
          </w:p>
        </w:tc>
        <w:tc>
          <w:tcPr>
            <w:tcW w:w="973"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340"/>
              <w:jc w:val="right"/>
              <w:rPr>
                <w:rFonts w:ascii="Arial Narrow" w:hAnsi="Arial Narrow" w:cs="Arial"/>
                <w:sz w:val="16"/>
                <w:szCs w:val="16"/>
              </w:rPr>
            </w:pPr>
            <w:r>
              <w:rPr>
                <w:rFonts w:ascii="Arial Narrow" w:hAnsi="Arial Narrow" w:cs="Arial"/>
                <w:sz w:val="16"/>
                <w:szCs w:val="16"/>
              </w:rPr>
              <w:t>75</w:t>
            </w:r>
          </w:p>
        </w:tc>
        <w:tc>
          <w:tcPr>
            <w:tcW w:w="1184" w:type="dxa"/>
            <w:tcBorders>
              <w:top w:val="nil"/>
              <w:bottom w:val="single" w:sz="4" w:space="0" w:color="auto"/>
            </w:tcBorders>
            <w:shd w:val="clear" w:color="auto" w:fill="auto"/>
            <w:noWrap/>
            <w:tcMar>
              <w:left w:w="28" w:type="dxa"/>
              <w:right w:w="28" w:type="dxa"/>
            </w:tcMar>
            <w:vAlign w:val="bottom"/>
          </w:tcPr>
          <w:p w:rsidR="002D1100" w:rsidRDefault="002D1100" w:rsidP="006315BE">
            <w:pPr>
              <w:ind w:right="397"/>
              <w:jc w:val="right"/>
              <w:rPr>
                <w:rFonts w:ascii="Arial Narrow" w:hAnsi="Arial Narrow" w:cs="Arial"/>
                <w:sz w:val="16"/>
                <w:szCs w:val="16"/>
              </w:rPr>
            </w:pPr>
            <w:r>
              <w:rPr>
                <w:rFonts w:ascii="Arial Narrow" w:hAnsi="Arial Narrow" w:cs="Arial"/>
                <w:sz w:val="16"/>
                <w:szCs w:val="16"/>
              </w:rPr>
              <w:t>6.075</w:t>
            </w:r>
          </w:p>
        </w:tc>
        <w:tc>
          <w:tcPr>
            <w:tcW w:w="1366" w:type="dxa"/>
            <w:tcBorders>
              <w:top w:val="nil"/>
              <w:bottom w:val="single" w:sz="4" w:space="0" w:color="auto"/>
              <w:right w:val="single" w:sz="4" w:space="0" w:color="auto"/>
            </w:tcBorders>
            <w:shd w:val="clear" w:color="auto" w:fill="auto"/>
            <w:noWrap/>
            <w:tcMar>
              <w:left w:w="28" w:type="dxa"/>
              <w:right w:w="28" w:type="dxa"/>
            </w:tcMar>
            <w:vAlign w:val="bottom"/>
          </w:tcPr>
          <w:p w:rsidR="002D1100" w:rsidRDefault="002D1100" w:rsidP="006315BE">
            <w:pPr>
              <w:ind w:right="454"/>
              <w:jc w:val="right"/>
              <w:rPr>
                <w:rFonts w:ascii="Arial Narrow" w:hAnsi="Arial Narrow" w:cs="Arial"/>
                <w:sz w:val="16"/>
                <w:szCs w:val="16"/>
              </w:rPr>
            </w:pPr>
            <w:r>
              <w:rPr>
                <w:rFonts w:ascii="Arial Narrow" w:hAnsi="Arial Narrow" w:cs="Arial"/>
                <w:sz w:val="16"/>
                <w:szCs w:val="16"/>
              </w:rPr>
              <w:t>86.075</w:t>
            </w:r>
          </w:p>
        </w:tc>
      </w:tr>
    </w:tbl>
    <w:p w:rsidR="000D0A85" w:rsidRPr="0015043C" w:rsidRDefault="000D0A85" w:rsidP="00853FC4">
      <w:pPr>
        <w:spacing w:line="235" w:lineRule="auto"/>
        <w:jc w:val="both"/>
        <w:rPr>
          <w:rFonts w:ascii="Arial Narrow" w:hAnsi="Arial Narrow"/>
          <w:sz w:val="16"/>
          <w:szCs w:val="16"/>
        </w:rPr>
      </w:pPr>
      <w:r w:rsidRPr="0015043C">
        <w:rPr>
          <w:rFonts w:ascii="Arial Narrow" w:hAnsi="Arial Narrow"/>
          <w:sz w:val="16"/>
          <w:szCs w:val="16"/>
        </w:rPr>
        <w:t>* Εκτιμήσεις</w:t>
      </w:r>
    </w:p>
    <w:p w:rsidR="000D0A85" w:rsidRPr="0015043C" w:rsidRDefault="000D0A85" w:rsidP="00853FC4">
      <w:pPr>
        <w:tabs>
          <w:tab w:val="left" w:pos="993"/>
          <w:tab w:val="left" w:pos="1260"/>
        </w:tabs>
        <w:spacing w:line="235" w:lineRule="auto"/>
        <w:jc w:val="both"/>
        <w:rPr>
          <w:rFonts w:ascii="Arial Narrow" w:hAnsi="Arial Narrow"/>
          <w:sz w:val="16"/>
          <w:szCs w:val="16"/>
        </w:rPr>
      </w:pPr>
      <w:r w:rsidRPr="0015043C">
        <w:rPr>
          <w:rFonts w:ascii="Arial Narrow" w:hAnsi="Arial Narrow"/>
          <w:sz w:val="16"/>
          <w:szCs w:val="16"/>
        </w:rPr>
        <w:t>Σημειώσεις:</w:t>
      </w:r>
      <w:r>
        <w:rPr>
          <w:rFonts w:ascii="Arial Narrow" w:hAnsi="Arial Narrow"/>
          <w:sz w:val="16"/>
          <w:szCs w:val="16"/>
        </w:rPr>
        <w:tab/>
      </w:r>
      <w:r w:rsidRPr="0015043C">
        <w:rPr>
          <w:rFonts w:ascii="Arial Narrow" w:hAnsi="Arial Narrow"/>
          <w:sz w:val="16"/>
          <w:szCs w:val="16"/>
        </w:rPr>
        <w:t>α)</w:t>
      </w:r>
      <w:r>
        <w:rPr>
          <w:rFonts w:ascii="Arial Narrow" w:hAnsi="Arial Narrow"/>
          <w:sz w:val="16"/>
          <w:szCs w:val="16"/>
        </w:rPr>
        <w:tab/>
      </w:r>
      <w:r w:rsidRPr="0015043C">
        <w:rPr>
          <w:rFonts w:ascii="Arial Narrow" w:hAnsi="Arial Narrow"/>
          <w:sz w:val="16"/>
          <w:szCs w:val="16"/>
        </w:rPr>
        <w:t>Από το 2008 και έπειτα περιλαμβάνονται και οι δαπάνες προσαρμογών ESA 95</w:t>
      </w:r>
      <w:r>
        <w:rPr>
          <w:rFonts w:ascii="Arial Narrow" w:hAnsi="Arial Narrow"/>
          <w:sz w:val="16"/>
          <w:szCs w:val="16"/>
        </w:rPr>
        <w:t>.</w:t>
      </w:r>
      <w:r w:rsidRPr="0015043C">
        <w:rPr>
          <w:rFonts w:ascii="Arial Narrow" w:hAnsi="Arial Narrow"/>
          <w:sz w:val="16"/>
          <w:szCs w:val="16"/>
        </w:rPr>
        <w:t xml:space="preserve"> </w:t>
      </w:r>
    </w:p>
    <w:p w:rsidR="000D0A85" w:rsidRDefault="000D0A85" w:rsidP="00853FC4">
      <w:pPr>
        <w:pStyle w:val="a8"/>
        <w:tabs>
          <w:tab w:val="clear" w:pos="1080"/>
          <w:tab w:val="left" w:pos="993"/>
        </w:tabs>
        <w:spacing w:line="235" w:lineRule="auto"/>
        <w:ind w:hanging="1260"/>
        <w:jc w:val="both"/>
      </w:pPr>
      <w:r>
        <w:tab/>
      </w:r>
      <w:r w:rsidRPr="0015043C">
        <w:t>β)</w:t>
      </w:r>
      <w:r>
        <w:tab/>
      </w:r>
      <w:r w:rsidRPr="0015043C">
        <w:t>Δεν περιλαμβάνονται εξοφλήσεις βραχυπρόθεσμου χρέους (έντοκα γραμμάτια ιδιωτικού τομέα, βραχυπρόθεσμοι τίτλοι εξωτερικού</w:t>
      </w:r>
      <w:r w:rsidR="00573703">
        <w:t>,</w:t>
      </w:r>
      <w:r w:rsidRPr="0015043C">
        <w:t xml:space="preserve"> ταμειακές διευκολύνσεις</w:t>
      </w:r>
      <w:r w:rsidR="00573703">
        <w:t xml:space="preserve"> και </w:t>
      </w:r>
      <w:r w:rsidR="00573703">
        <w:rPr>
          <w:lang w:val="en-GB"/>
        </w:rPr>
        <w:t>repos</w:t>
      </w:r>
      <w:r w:rsidRPr="0015043C">
        <w:t>) οι ο</w:t>
      </w:r>
      <w:r>
        <w:t>ποίες εμφανίζονται στον Πίνακα 4.7</w:t>
      </w:r>
      <w:r w:rsidRPr="0015043C">
        <w:t>.</w:t>
      </w:r>
    </w:p>
    <w:p w:rsidR="000519B2" w:rsidRDefault="00181440" w:rsidP="00853FC4">
      <w:pPr>
        <w:pStyle w:val="a8"/>
        <w:tabs>
          <w:tab w:val="clear" w:pos="1080"/>
          <w:tab w:val="left" w:pos="993"/>
        </w:tabs>
        <w:spacing w:line="235" w:lineRule="auto"/>
        <w:ind w:hanging="1260"/>
        <w:jc w:val="both"/>
      </w:pPr>
      <w:r>
        <w:tab/>
        <w:t>γ)</w:t>
      </w:r>
      <w:r>
        <w:tab/>
        <w:t>Από το 2012 στις παράλληλες δαπάνες περιλαμβάνονται και προμήθειες εκταμίευσης δανείων από το ΕΤΧΣ</w:t>
      </w:r>
      <w:r w:rsidR="006D7885">
        <w:t xml:space="preserve"> και ΕΜΣ</w:t>
      </w:r>
    </w:p>
    <w:p w:rsidR="00181440" w:rsidRPr="0015043C" w:rsidRDefault="000519B2" w:rsidP="00853FC4">
      <w:pPr>
        <w:pStyle w:val="a8"/>
        <w:tabs>
          <w:tab w:val="clear" w:pos="1080"/>
          <w:tab w:val="left" w:pos="993"/>
        </w:tabs>
        <w:spacing w:line="235" w:lineRule="auto"/>
        <w:ind w:hanging="1260"/>
        <w:jc w:val="both"/>
      </w:pPr>
      <w:r>
        <w:tab/>
        <w:t xml:space="preserve">δ) Η αύξηση των </w:t>
      </w:r>
      <w:proofErr w:type="spellStart"/>
      <w:r>
        <w:t>χρεολύσιων</w:t>
      </w:r>
      <w:proofErr w:type="spellEnd"/>
      <w:r>
        <w:t xml:space="preserve"> το 2017 οφείλεται στην εφαρμογή των βραχυπρόθεσμων μέτρων και στις ανταλλαγές ομολόγων</w:t>
      </w:r>
      <w:r w:rsidR="006D7885">
        <w:t>.</w:t>
      </w:r>
    </w:p>
    <w:p w:rsidR="000D0A85" w:rsidRPr="00573703" w:rsidRDefault="000D0A85" w:rsidP="00853FC4">
      <w:pPr>
        <w:pStyle w:val="a8"/>
        <w:spacing w:line="235" w:lineRule="auto"/>
        <w:ind w:left="0" w:firstLine="0"/>
        <w:jc w:val="both"/>
      </w:pPr>
      <w:r w:rsidRPr="0015043C">
        <w:t xml:space="preserve">Πηγή:  </w:t>
      </w:r>
      <w:r w:rsidR="00573703">
        <w:t>ΟΔΔΗΧ</w:t>
      </w:r>
    </w:p>
    <w:p w:rsidR="000D0A85" w:rsidRDefault="000D0A85" w:rsidP="000D0A85">
      <w:pPr>
        <w:pStyle w:val="a8"/>
        <w:ind w:left="0" w:firstLine="0"/>
        <w:jc w:val="both"/>
        <w:rPr>
          <w:rFonts w:ascii="Times New Roman" w:hAnsi="Times New Roman"/>
          <w:sz w:val="22"/>
          <w:szCs w:val="22"/>
        </w:rPr>
      </w:pPr>
    </w:p>
    <w:p w:rsidR="00296AA2" w:rsidRPr="00D35205" w:rsidRDefault="00296AA2" w:rsidP="00296AA2">
      <w:pPr>
        <w:pStyle w:val="a8"/>
        <w:ind w:left="0" w:firstLine="0"/>
        <w:jc w:val="both"/>
        <w:rPr>
          <w:rFonts w:ascii="Times New Roman" w:hAnsi="Times New Roman"/>
          <w:sz w:val="22"/>
          <w:szCs w:val="22"/>
        </w:rPr>
      </w:pPr>
      <w:r w:rsidRPr="00D35205">
        <w:rPr>
          <w:rFonts w:ascii="Times New Roman" w:hAnsi="Times New Roman"/>
          <w:sz w:val="22"/>
          <w:szCs w:val="22"/>
        </w:rPr>
        <w:t>Οι δαπάνες για εξόφληση βραχυπρόθεσμων τίτλων του Ελληνικού Δημοσίου, οι οποίες από το 2011 έως το 2013 περιλαμβάνουν μόνο έντοκα γραμμάτια ιδιωτικού τομέα</w:t>
      </w:r>
      <w:r>
        <w:rPr>
          <w:rFonts w:ascii="Times New Roman" w:hAnsi="Times New Roman"/>
          <w:sz w:val="22"/>
          <w:szCs w:val="22"/>
        </w:rPr>
        <w:t>,</w:t>
      </w:r>
      <w:r w:rsidRPr="00D35205">
        <w:rPr>
          <w:rFonts w:ascii="Times New Roman" w:hAnsi="Times New Roman"/>
          <w:sz w:val="22"/>
          <w:szCs w:val="22"/>
        </w:rPr>
        <w:t xml:space="preserve"> ενώ από το 2014 περιλαμβ</w:t>
      </w:r>
      <w:r w:rsidRPr="00D35205">
        <w:rPr>
          <w:rFonts w:ascii="Times New Roman" w:hAnsi="Times New Roman"/>
          <w:sz w:val="22"/>
          <w:szCs w:val="22"/>
        </w:rPr>
        <w:t>ά</w:t>
      </w:r>
      <w:r w:rsidRPr="00D35205">
        <w:rPr>
          <w:rFonts w:ascii="Times New Roman" w:hAnsi="Times New Roman"/>
          <w:sz w:val="22"/>
          <w:szCs w:val="22"/>
        </w:rPr>
        <w:t xml:space="preserve">νουν και </w:t>
      </w:r>
      <w:r w:rsidRPr="00D35205">
        <w:rPr>
          <w:rFonts w:ascii="Times New Roman" w:hAnsi="Times New Roman"/>
          <w:sz w:val="22"/>
          <w:szCs w:val="22"/>
          <w:lang w:val="en-US"/>
        </w:rPr>
        <w:t>repos</w:t>
      </w:r>
      <w:r w:rsidR="002D1100">
        <w:rPr>
          <w:rFonts w:ascii="Times New Roman" w:hAnsi="Times New Roman"/>
          <w:sz w:val="22"/>
          <w:szCs w:val="22"/>
        </w:rPr>
        <w:t>, εκτιμάται ότι το 2017</w:t>
      </w:r>
      <w:r w:rsidRPr="00D35205">
        <w:rPr>
          <w:rFonts w:ascii="Times New Roman" w:hAnsi="Times New Roman"/>
          <w:sz w:val="22"/>
          <w:szCs w:val="22"/>
        </w:rPr>
        <w:t xml:space="preserve"> θα </w:t>
      </w:r>
      <w:r w:rsidR="008D339D">
        <w:rPr>
          <w:rFonts w:ascii="Times New Roman" w:hAnsi="Times New Roman"/>
          <w:sz w:val="22"/>
          <w:szCs w:val="22"/>
        </w:rPr>
        <w:t xml:space="preserve">διαμορφωθούν </w:t>
      </w:r>
      <w:r w:rsidRPr="00D35205">
        <w:rPr>
          <w:rFonts w:ascii="Times New Roman" w:hAnsi="Times New Roman"/>
          <w:sz w:val="22"/>
          <w:szCs w:val="22"/>
        </w:rPr>
        <w:t xml:space="preserve">σε </w:t>
      </w:r>
      <w:r w:rsidR="008D339D">
        <w:rPr>
          <w:rFonts w:ascii="Times New Roman" w:hAnsi="Times New Roman"/>
          <w:sz w:val="22"/>
          <w:szCs w:val="22"/>
        </w:rPr>
        <w:t>541</w:t>
      </w:r>
      <w:r w:rsidR="002D1100">
        <w:rPr>
          <w:rFonts w:ascii="Times New Roman" w:hAnsi="Times New Roman"/>
          <w:sz w:val="22"/>
          <w:szCs w:val="22"/>
        </w:rPr>
        <w:t>.100</w:t>
      </w:r>
      <w:r w:rsidRPr="00D35205">
        <w:rPr>
          <w:rFonts w:ascii="Times New Roman" w:hAnsi="Times New Roman"/>
          <w:sz w:val="22"/>
          <w:szCs w:val="22"/>
        </w:rPr>
        <w:t xml:space="preserve"> εκατ. ευρώ, έναντι </w:t>
      </w:r>
      <w:r w:rsidR="002D1100">
        <w:rPr>
          <w:rFonts w:ascii="Times New Roman" w:hAnsi="Times New Roman"/>
          <w:sz w:val="22"/>
          <w:szCs w:val="22"/>
        </w:rPr>
        <w:t xml:space="preserve">531.263 </w:t>
      </w:r>
      <w:r w:rsidRPr="00D35205">
        <w:rPr>
          <w:rFonts w:ascii="Times New Roman" w:hAnsi="Times New Roman"/>
          <w:sz w:val="22"/>
          <w:szCs w:val="22"/>
        </w:rPr>
        <w:t>εκατ. ευ</w:t>
      </w:r>
      <w:r w:rsidR="002D1100">
        <w:rPr>
          <w:rFonts w:ascii="Times New Roman" w:hAnsi="Times New Roman"/>
          <w:sz w:val="22"/>
          <w:szCs w:val="22"/>
        </w:rPr>
        <w:t>ρώ το 2016</w:t>
      </w:r>
      <w:r w:rsidRPr="00D35205">
        <w:rPr>
          <w:rFonts w:ascii="Times New Roman" w:hAnsi="Times New Roman"/>
          <w:sz w:val="22"/>
          <w:szCs w:val="22"/>
        </w:rPr>
        <w:t xml:space="preserve"> (πίνακας 4.7). </w:t>
      </w:r>
    </w:p>
    <w:p w:rsidR="00296AA2" w:rsidRPr="00D35205" w:rsidRDefault="00296AA2" w:rsidP="00296AA2">
      <w:pPr>
        <w:pStyle w:val="a8"/>
        <w:ind w:left="0" w:firstLine="0"/>
        <w:jc w:val="both"/>
        <w:rPr>
          <w:rFonts w:ascii="Times New Roman" w:hAnsi="Times New Roman"/>
          <w:sz w:val="22"/>
          <w:szCs w:val="22"/>
          <w:highlight w:val="yellow"/>
        </w:rPr>
      </w:pPr>
    </w:p>
    <w:p w:rsidR="00296AA2" w:rsidRPr="00D35205" w:rsidRDefault="00296AA2" w:rsidP="00296AA2">
      <w:pPr>
        <w:pStyle w:val="a8"/>
        <w:ind w:left="0" w:firstLine="0"/>
        <w:jc w:val="both"/>
        <w:rPr>
          <w:rFonts w:ascii="Times New Roman" w:hAnsi="Times New Roman"/>
          <w:sz w:val="22"/>
          <w:szCs w:val="22"/>
        </w:rPr>
      </w:pPr>
      <w:r w:rsidRPr="00D35205">
        <w:rPr>
          <w:rFonts w:ascii="Times New Roman" w:hAnsi="Times New Roman"/>
          <w:sz w:val="22"/>
          <w:szCs w:val="22"/>
        </w:rPr>
        <w:t xml:space="preserve">Σημειώνεται ότι οι δαπάνες εξόφλησης εντόκων γραμματίων και </w:t>
      </w:r>
      <w:r w:rsidRPr="00D35205">
        <w:rPr>
          <w:rFonts w:ascii="Times New Roman" w:hAnsi="Times New Roman"/>
          <w:sz w:val="22"/>
          <w:szCs w:val="22"/>
          <w:lang w:val="en-US"/>
        </w:rPr>
        <w:t>repos</w:t>
      </w:r>
      <w:r w:rsidRPr="00D35205">
        <w:rPr>
          <w:rFonts w:ascii="Times New Roman" w:hAnsi="Times New Roman"/>
          <w:sz w:val="22"/>
          <w:szCs w:val="22"/>
        </w:rPr>
        <w:t xml:space="preserve"> αφορούν τις συνολικές ετήσιες εξοφλήσεις οι οποίες αναχρηματοδοτούνται με νέες αντίστ</w:t>
      </w:r>
      <w:r w:rsidR="00647B40">
        <w:rPr>
          <w:rFonts w:ascii="Times New Roman" w:hAnsi="Times New Roman"/>
          <w:sz w:val="22"/>
          <w:szCs w:val="22"/>
        </w:rPr>
        <w:t>οιχες εκδόσεις, δεδομένου ότι τόσο το</w:t>
      </w:r>
      <w:r w:rsidRPr="00D35205">
        <w:rPr>
          <w:rFonts w:ascii="Times New Roman" w:hAnsi="Times New Roman"/>
          <w:sz w:val="22"/>
          <w:szCs w:val="22"/>
        </w:rPr>
        <w:t xml:space="preserve"> υφ</w:t>
      </w:r>
      <w:r w:rsidRPr="00D35205">
        <w:rPr>
          <w:rFonts w:ascii="Times New Roman" w:hAnsi="Times New Roman"/>
          <w:sz w:val="22"/>
          <w:szCs w:val="22"/>
        </w:rPr>
        <w:t>ι</w:t>
      </w:r>
      <w:r w:rsidRPr="00D35205">
        <w:rPr>
          <w:rFonts w:ascii="Times New Roman" w:hAnsi="Times New Roman"/>
          <w:sz w:val="22"/>
          <w:szCs w:val="22"/>
        </w:rPr>
        <w:t xml:space="preserve">στάμενο συνολικό ύψος των ΕΓΕΔ </w:t>
      </w:r>
      <w:r w:rsidR="00647B40">
        <w:rPr>
          <w:rFonts w:ascii="Times New Roman" w:hAnsi="Times New Roman"/>
          <w:sz w:val="22"/>
          <w:szCs w:val="22"/>
        </w:rPr>
        <w:t>όσο</w:t>
      </w:r>
      <w:r w:rsidRPr="00D35205">
        <w:rPr>
          <w:rFonts w:ascii="Times New Roman" w:hAnsi="Times New Roman"/>
          <w:sz w:val="22"/>
          <w:szCs w:val="22"/>
        </w:rPr>
        <w:t xml:space="preserve"> και το υφιστάμενο υπόλοιπο των </w:t>
      </w:r>
      <w:r w:rsidRPr="00D35205">
        <w:rPr>
          <w:rFonts w:ascii="Times New Roman" w:hAnsi="Times New Roman"/>
          <w:sz w:val="22"/>
          <w:szCs w:val="22"/>
          <w:lang w:val="en-US"/>
        </w:rPr>
        <w:t>repos</w:t>
      </w:r>
      <w:r w:rsidR="00647B40">
        <w:rPr>
          <w:rFonts w:ascii="Times New Roman" w:hAnsi="Times New Roman"/>
          <w:sz w:val="22"/>
          <w:szCs w:val="22"/>
        </w:rPr>
        <w:t xml:space="preserve"> δεν ξεπερνούν, έκ</w:t>
      </w:r>
      <w:r w:rsidR="00647B40">
        <w:rPr>
          <w:rFonts w:ascii="Times New Roman" w:hAnsi="Times New Roman"/>
          <w:sz w:val="22"/>
          <w:szCs w:val="22"/>
        </w:rPr>
        <w:t>α</w:t>
      </w:r>
      <w:r w:rsidR="00647B40">
        <w:rPr>
          <w:rFonts w:ascii="Times New Roman" w:hAnsi="Times New Roman"/>
          <w:sz w:val="22"/>
          <w:szCs w:val="22"/>
        </w:rPr>
        <w:t>στο, τα 15</w:t>
      </w:r>
      <w:r w:rsidRPr="00D35205">
        <w:rPr>
          <w:rFonts w:ascii="Times New Roman" w:hAnsi="Times New Roman"/>
          <w:sz w:val="22"/>
          <w:szCs w:val="22"/>
        </w:rPr>
        <w:t xml:space="preserve">.000 εκατ. ευρώ. </w:t>
      </w:r>
    </w:p>
    <w:p w:rsidR="000D0A85" w:rsidRPr="00E80743" w:rsidRDefault="000D0A85" w:rsidP="000D0A85">
      <w:pPr>
        <w:pStyle w:val="a8"/>
        <w:ind w:left="0" w:firstLine="0"/>
        <w:rPr>
          <w:sz w:val="20"/>
        </w:rPr>
      </w:pPr>
    </w:p>
    <w:tbl>
      <w:tblPr>
        <w:tblW w:w="9136" w:type="dxa"/>
        <w:tblInd w:w="108" w:type="dxa"/>
        <w:tblLook w:val="0000"/>
      </w:tblPr>
      <w:tblGrid>
        <w:gridCol w:w="2108"/>
        <w:gridCol w:w="2216"/>
        <w:gridCol w:w="2885"/>
        <w:gridCol w:w="1927"/>
      </w:tblGrid>
      <w:tr w:rsidR="000D0A85" w:rsidRPr="0015043C" w:rsidTr="00451ECA">
        <w:tc>
          <w:tcPr>
            <w:tcW w:w="9136" w:type="dxa"/>
            <w:gridSpan w:val="4"/>
            <w:tcBorders>
              <w:top w:val="single" w:sz="4" w:space="0" w:color="auto"/>
              <w:left w:val="single" w:sz="4" w:space="0" w:color="auto"/>
              <w:right w:val="single" w:sz="4" w:space="0" w:color="auto"/>
            </w:tcBorders>
            <w:shd w:val="clear" w:color="auto" w:fill="404040" w:themeFill="text1" w:themeFillTint="BF"/>
            <w:noWrap/>
            <w:tcMar>
              <w:left w:w="57" w:type="dxa"/>
              <w:right w:w="57" w:type="dxa"/>
            </w:tcMar>
            <w:vAlign w:val="bottom"/>
          </w:tcPr>
          <w:p w:rsidR="000D0A85" w:rsidRPr="0015043C" w:rsidRDefault="000D0A85" w:rsidP="00451ECA">
            <w:pPr>
              <w:spacing w:before="120"/>
              <w:jc w:val="center"/>
              <w:rPr>
                <w:rFonts w:ascii="Arial Narrow" w:hAnsi="Arial Narrow"/>
                <w:b/>
                <w:bCs/>
                <w:color w:val="FFFFFF"/>
                <w:szCs w:val="28"/>
              </w:rPr>
            </w:pPr>
            <w:r>
              <w:rPr>
                <w:rFonts w:ascii="Arial Narrow" w:hAnsi="Arial Narrow"/>
                <w:b/>
                <w:bCs/>
                <w:color w:val="FFFFFF"/>
                <w:szCs w:val="28"/>
              </w:rPr>
              <w:t xml:space="preserve">Πίνακας 4.7  </w:t>
            </w:r>
            <w:r w:rsidRPr="0015043C">
              <w:rPr>
                <w:rFonts w:ascii="Arial Narrow" w:hAnsi="Arial Narrow"/>
                <w:b/>
                <w:bCs/>
                <w:color w:val="FFFFFF"/>
                <w:szCs w:val="28"/>
              </w:rPr>
              <w:t xml:space="preserve"> Εξοφλήσεις βραχυπρόθεσ</w:t>
            </w:r>
            <w:r w:rsidR="00CA527F">
              <w:rPr>
                <w:rFonts w:ascii="Arial Narrow" w:hAnsi="Arial Narrow"/>
                <w:b/>
                <w:bCs/>
                <w:color w:val="FFFFFF"/>
                <w:szCs w:val="28"/>
              </w:rPr>
              <w:t>μου χρέους</w:t>
            </w:r>
          </w:p>
          <w:p w:rsidR="000D0A85" w:rsidRPr="0015043C" w:rsidRDefault="000D0A85" w:rsidP="00451ECA">
            <w:pPr>
              <w:spacing w:after="120"/>
              <w:jc w:val="center"/>
              <w:rPr>
                <w:rFonts w:ascii="Arial Narrow" w:hAnsi="Arial Narrow"/>
                <w:b/>
                <w:bCs/>
                <w:color w:val="000080"/>
                <w:sz w:val="28"/>
                <w:szCs w:val="28"/>
              </w:rPr>
            </w:pPr>
            <w:r w:rsidRPr="0015043C">
              <w:rPr>
                <w:rFonts w:ascii="Arial Narrow" w:hAnsi="Arial Narrow"/>
                <w:b/>
                <w:color w:val="FFFFFF"/>
                <w:szCs w:val="28"/>
              </w:rPr>
              <w:t xml:space="preserve"> (σε εκατ. ευρώ)</w:t>
            </w:r>
          </w:p>
        </w:tc>
      </w:tr>
      <w:tr w:rsidR="000D0A85" w:rsidRPr="00E80743" w:rsidTr="00451ECA">
        <w:trPr>
          <w:trHeight w:val="124"/>
        </w:trPr>
        <w:tc>
          <w:tcPr>
            <w:tcW w:w="2108" w:type="dxa"/>
            <w:tcBorders>
              <w:top w:val="nil"/>
              <w:left w:val="single" w:sz="4" w:space="0" w:color="auto"/>
              <w:bottom w:val="nil"/>
              <w:right w:val="nil"/>
            </w:tcBorders>
            <w:shd w:val="clear" w:color="auto" w:fill="auto"/>
            <w:noWrap/>
            <w:tcMar>
              <w:left w:w="57" w:type="dxa"/>
              <w:right w:w="57" w:type="dxa"/>
            </w:tcMar>
            <w:vAlign w:val="bottom"/>
          </w:tcPr>
          <w:p w:rsidR="000D0A85" w:rsidRPr="00E80743" w:rsidRDefault="000D0A85" w:rsidP="00451ECA">
            <w:pPr>
              <w:rPr>
                <w:rFonts w:ascii="Arial Narrow" w:hAnsi="Arial Narrow"/>
                <w:sz w:val="12"/>
                <w:szCs w:val="20"/>
              </w:rPr>
            </w:pPr>
          </w:p>
        </w:tc>
        <w:tc>
          <w:tcPr>
            <w:tcW w:w="2216" w:type="dxa"/>
            <w:tcBorders>
              <w:top w:val="nil"/>
              <w:left w:val="nil"/>
              <w:bottom w:val="nil"/>
              <w:right w:val="nil"/>
            </w:tcBorders>
            <w:shd w:val="clear" w:color="auto" w:fill="auto"/>
            <w:noWrap/>
            <w:tcMar>
              <w:left w:w="57" w:type="dxa"/>
              <w:right w:w="57" w:type="dxa"/>
            </w:tcMar>
            <w:vAlign w:val="bottom"/>
          </w:tcPr>
          <w:p w:rsidR="000D0A85" w:rsidRPr="00E80743" w:rsidRDefault="000D0A85" w:rsidP="00451ECA">
            <w:pPr>
              <w:rPr>
                <w:rFonts w:ascii="Arial Narrow" w:hAnsi="Arial Narrow"/>
                <w:sz w:val="12"/>
                <w:szCs w:val="20"/>
              </w:rPr>
            </w:pPr>
          </w:p>
        </w:tc>
        <w:tc>
          <w:tcPr>
            <w:tcW w:w="2885" w:type="dxa"/>
            <w:tcBorders>
              <w:top w:val="nil"/>
              <w:left w:val="nil"/>
              <w:bottom w:val="nil"/>
              <w:right w:val="nil"/>
            </w:tcBorders>
            <w:shd w:val="clear" w:color="auto" w:fill="auto"/>
            <w:noWrap/>
            <w:tcMar>
              <w:left w:w="57" w:type="dxa"/>
              <w:right w:w="57" w:type="dxa"/>
            </w:tcMar>
            <w:vAlign w:val="bottom"/>
          </w:tcPr>
          <w:p w:rsidR="000D0A85" w:rsidRPr="00E80743" w:rsidRDefault="000D0A85" w:rsidP="00451ECA">
            <w:pPr>
              <w:rPr>
                <w:rFonts w:ascii="Arial Narrow" w:hAnsi="Arial Narrow"/>
                <w:sz w:val="12"/>
                <w:szCs w:val="20"/>
              </w:rPr>
            </w:pPr>
          </w:p>
        </w:tc>
        <w:tc>
          <w:tcPr>
            <w:tcW w:w="1927" w:type="dxa"/>
            <w:tcBorders>
              <w:top w:val="nil"/>
              <w:left w:val="nil"/>
              <w:bottom w:val="nil"/>
              <w:right w:val="single" w:sz="4" w:space="0" w:color="auto"/>
            </w:tcBorders>
            <w:shd w:val="clear" w:color="auto" w:fill="auto"/>
            <w:noWrap/>
            <w:tcMar>
              <w:left w:w="57" w:type="dxa"/>
              <w:right w:w="57" w:type="dxa"/>
            </w:tcMar>
            <w:vAlign w:val="bottom"/>
          </w:tcPr>
          <w:p w:rsidR="000D0A85" w:rsidRPr="00E80743" w:rsidRDefault="000D0A85" w:rsidP="00451ECA">
            <w:pPr>
              <w:rPr>
                <w:rFonts w:ascii="Arial Narrow" w:hAnsi="Arial Narrow"/>
                <w:sz w:val="12"/>
                <w:szCs w:val="20"/>
              </w:rPr>
            </w:pPr>
          </w:p>
        </w:tc>
      </w:tr>
      <w:tr w:rsidR="000D0A85" w:rsidRPr="0015043C" w:rsidTr="00451ECA">
        <w:trPr>
          <w:trHeight w:val="20"/>
        </w:trPr>
        <w:tc>
          <w:tcPr>
            <w:tcW w:w="2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D0A85" w:rsidRPr="0015043C" w:rsidRDefault="000D0A85" w:rsidP="00451ECA">
            <w:pPr>
              <w:jc w:val="center"/>
              <w:rPr>
                <w:rFonts w:ascii="Arial Narrow" w:hAnsi="Arial Narrow"/>
                <w:b/>
                <w:bCs/>
                <w:sz w:val="16"/>
                <w:szCs w:val="20"/>
              </w:rPr>
            </w:pPr>
            <w:r w:rsidRPr="0015043C">
              <w:rPr>
                <w:rFonts w:ascii="Arial Narrow" w:hAnsi="Arial Narrow"/>
                <w:b/>
                <w:bCs/>
                <w:sz w:val="16"/>
                <w:szCs w:val="20"/>
              </w:rPr>
              <w:t>Έτος</w:t>
            </w:r>
          </w:p>
        </w:tc>
        <w:tc>
          <w:tcPr>
            <w:tcW w:w="22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0D0A85" w:rsidRPr="0015043C" w:rsidRDefault="000D0A85" w:rsidP="00451ECA">
            <w:pPr>
              <w:jc w:val="center"/>
              <w:rPr>
                <w:rFonts w:ascii="Arial Narrow" w:hAnsi="Arial Narrow"/>
                <w:b/>
                <w:bCs/>
                <w:sz w:val="16"/>
                <w:szCs w:val="20"/>
              </w:rPr>
            </w:pPr>
            <w:r w:rsidRPr="0015043C">
              <w:rPr>
                <w:rFonts w:ascii="Arial Narrow" w:hAnsi="Arial Narrow"/>
                <w:b/>
                <w:bCs/>
                <w:sz w:val="16"/>
                <w:szCs w:val="20"/>
              </w:rPr>
              <w:t>Έντοκα γραμμάτια</w:t>
            </w:r>
          </w:p>
          <w:p w:rsidR="000D0A85" w:rsidRPr="0015043C" w:rsidRDefault="000D0A85" w:rsidP="00451ECA">
            <w:pPr>
              <w:jc w:val="center"/>
              <w:rPr>
                <w:rFonts w:ascii="Arial Narrow" w:hAnsi="Arial Narrow"/>
                <w:b/>
                <w:bCs/>
                <w:sz w:val="16"/>
                <w:szCs w:val="20"/>
              </w:rPr>
            </w:pPr>
            <w:r w:rsidRPr="0015043C">
              <w:rPr>
                <w:rFonts w:ascii="Arial Narrow" w:hAnsi="Arial Narrow"/>
                <w:b/>
                <w:bCs/>
                <w:sz w:val="16"/>
                <w:szCs w:val="20"/>
              </w:rPr>
              <w:t>ιδιωτικού τομέα</w:t>
            </w:r>
          </w:p>
        </w:tc>
        <w:tc>
          <w:tcPr>
            <w:tcW w:w="288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582730" w:rsidRDefault="000D0A85" w:rsidP="002824D4">
            <w:pPr>
              <w:jc w:val="center"/>
              <w:rPr>
                <w:rFonts w:ascii="Arial Narrow" w:hAnsi="Arial Narrow"/>
                <w:b/>
                <w:bCs/>
                <w:sz w:val="16"/>
                <w:szCs w:val="20"/>
              </w:rPr>
            </w:pPr>
            <w:r w:rsidRPr="0015043C">
              <w:rPr>
                <w:rFonts w:ascii="Arial Narrow" w:hAnsi="Arial Narrow"/>
                <w:b/>
                <w:bCs/>
                <w:sz w:val="16"/>
                <w:szCs w:val="20"/>
              </w:rPr>
              <w:t>Βραχυπρόθεσμοι τίτλοι εξωτερικού</w:t>
            </w:r>
            <w:r w:rsidRPr="0015043C">
              <w:rPr>
                <w:rFonts w:ascii="Arial Narrow" w:hAnsi="Arial Narrow"/>
                <w:b/>
                <w:bCs/>
                <w:sz w:val="16"/>
                <w:szCs w:val="20"/>
                <w:vertAlign w:val="superscript"/>
              </w:rPr>
              <w:t xml:space="preserve">(1) </w:t>
            </w:r>
            <w:r w:rsidR="002824D4">
              <w:rPr>
                <w:rFonts w:ascii="Arial Narrow" w:hAnsi="Arial Narrow"/>
                <w:b/>
                <w:bCs/>
                <w:sz w:val="16"/>
                <w:szCs w:val="20"/>
              </w:rPr>
              <w:t>–</w:t>
            </w:r>
          </w:p>
          <w:p w:rsidR="000D0A85" w:rsidRPr="002824D4" w:rsidRDefault="000D0A85" w:rsidP="002824D4">
            <w:pPr>
              <w:jc w:val="center"/>
              <w:rPr>
                <w:rFonts w:ascii="Arial Narrow" w:hAnsi="Arial Narrow"/>
                <w:b/>
                <w:bCs/>
                <w:sz w:val="16"/>
                <w:szCs w:val="20"/>
                <w:vertAlign w:val="superscript"/>
              </w:rPr>
            </w:pPr>
            <w:r w:rsidRPr="0015043C">
              <w:rPr>
                <w:rFonts w:ascii="Arial Narrow" w:hAnsi="Arial Narrow"/>
                <w:b/>
                <w:bCs/>
                <w:sz w:val="16"/>
                <w:szCs w:val="20"/>
              </w:rPr>
              <w:t>Βραχυπρόθεσμ</w:t>
            </w:r>
            <w:r w:rsidR="002824D4">
              <w:rPr>
                <w:rFonts w:ascii="Arial Narrow" w:hAnsi="Arial Narrow"/>
                <w:b/>
                <w:bCs/>
                <w:sz w:val="16"/>
                <w:szCs w:val="20"/>
              </w:rPr>
              <w:t>α δάνεια</w:t>
            </w:r>
            <w:r w:rsidR="002824D4">
              <w:rPr>
                <w:rFonts w:ascii="Arial Narrow" w:hAnsi="Arial Narrow"/>
                <w:b/>
                <w:bCs/>
                <w:sz w:val="16"/>
                <w:szCs w:val="20"/>
                <w:vertAlign w:val="superscript"/>
              </w:rPr>
              <w:t>(2)</w:t>
            </w:r>
          </w:p>
        </w:tc>
        <w:tc>
          <w:tcPr>
            <w:tcW w:w="192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0D0A85" w:rsidRPr="0015043C" w:rsidRDefault="000D0A85" w:rsidP="00451ECA">
            <w:pPr>
              <w:jc w:val="center"/>
              <w:rPr>
                <w:rFonts w:ascii="Arial Narrow" w:hAnsi="Arial Narrow"/>
                <w:b/>
                <w:bCs/>
                <w:sz w:val="16"/>
                <w:szCs w:val="20"/>
              </w:rPr>
            </w:pPr>
            <w:r w:rsidRPr="0015043C">
              <w:rPr>
                <w:rFonts w:ascii="Arial Narrow" w:hAnsi="Arial Narrow"/>
                <w:b/>
                <w:bCs/>
                <w:sz w:val="16"/>
                <w:szCs w:val="20"/>
              </w:rPr>
              <w:t>Σύνολο</w:t>
            </w:r>
          </w:p>
        </w:tc>
      </w:tr>
      <w:tr w:rsidR="000D0A85" w:rsidRPr="0015043C" w:rsidTr="00451ECA">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0D0A85" w:rsidRPr="0015043C" w:rsidRDefault="000D0A85" w:rsidP="00853FC4">
            <w:pPr>
              <w:spacing w:before="20" w:after="20"/>
              <w:jc w:val="center"/>
              <w:rPr>
                <w:rFonts w:ascii="Arial Narrow" w:hAnsi="Arial Narrow"/>
                <w:sz w:val="16"/>
                <w:szCs w:val="20"/>
              </w:rPr>
            </w:pPr>
            <w:r w:rsidRPr="0015043C">
              <w:rPr>
                <w:rFonts w:ascii="Arial Narrow" w:hAnsi="Arial Narrow"/>
                <w:sz w:val="16"/>
                <w:szCs w:val="20"/>
              </w:rPr>
              <w:t>2009</w:t>
            </w:r>
          </w:p>
        </w:tc>
        <w:tc>
          <w:tcPr>
            <w:tcW w:w="2216" w:type="dxa"/>
            <w:tcBorders>
              <w:top w:val="nil"/>
              <w:bottom w:val="nil"/>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8.902</w:t>
            </w:r>
          </w:p>
        </w:tc>
        <w:tc>
          <w:tcPr>
            <w:tcW w:w="2885" w:type="dxa"/>
            <w:tcBorders>
              <w:top w:val="nil"/>
              <w:bottom w:val="nil"/>
            </w:tcBorders>
            <w:shd w:val="clear" w:color="auto" w:fill="auto"/>
            <w:noWrap/>
            <w:tcMar>
              <w:left w:w="57" w:type="dxa"/>
              <w:right w:w="57" w:type="dxa"/>
            </w:tcMar>
            <w:vAlign w:val="center"/>
          </w:tcPr>
          <w:p w:rsidR="000D0A85" w:rsidRDefault="000D0A85"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28.002</w:t>
            </w:r>
          </w:p>
        </w:tc>
        <w:tc>
          <w:tcPr>
            <w:tcW w:w="1927" w:type="dxa"/>
            <w:tcBorders>
              <w:top w:val="nil"/>
              <w:bottom w:val="nil"/>
              <w:right w:val="single" w:sz="4" w:space="0" w:color="auto"/>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36.904</w:t>
            </w:r>
          </w:p>
        </w:tc>
      </w:tr>
      <w:tr w:rsidR="000D0A85" w:rsidRPr="0015043C" w:rsidTr="00582730">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0D0A85" w:rsidRPr="0015043C" w:rsidRDefault="000D0A85" w:rsidP="00853FC4">
            <w:pPr>
              <w:spacing w:before="20" w:after="20"/>
              <w:jc w:val="center"/>
              <w:rPr>
                <w:rFonts w:ascii="Arial Narrow" w:hAnsi="Arial Narrow"/>
                <w:sz w:val="16"/>
                <w:szCs w:val="20"/>
              </w:rPr>
            </w:pPr>
            <w:r w:rsidRPr="0015043C">
              <w:rPr>
                <w:rFonts w:ascii="Arial Narrow" w:hAnsi="Arial Narrow"/>
                <w:sz w:val="16"/>
                <w:szCs w:val="20"/>
              </w:rPr>
              <w:t>2010</w:t>
            </w:r>
          </w:p>
        </w:tc>
        <w:tc>
          <w:tcPr>
            <w:tcW w:w="2216" w:type="dxa"/>
            <w:tcBorders>
              <w:top w:val="nil"/>
              <w:bottom w:val="nil"/>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17.974</w:t>
            </w:r>
          </w:p>
        </w:tc>
        <w:tc>
          <w:tcPr>
            <w:tcW w:w="2885" w:type="dxa"/>
            <w:tcBorders>
              <w:top w:val="nil"/>
              <w:bottom w:val="nil"/>
            </w:tcBorders>
            <w:shd w:val="clear" w:color="auto" w:fill="auto"/>
            <w:noWrap/>
            <w:tcMar>
              <w:left w:w="57" w:type="dxa"/>
              <w:right w:w="57" w:type="dxa"/>
            </w:tcMar>
            <w:vAlign w:val="center"/>
          </w:tcPr>
          <w:p w:rsidR="000D0A85" w:rsidRDefault="000D0A85"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4.627</w:t>
            </w:r>
          </w:p>
        </w:tc>
        <w:tc>
          <w:tcPr>
            <w:tcW w:w="1927" w:type="dxa"/>
            <w:tcBorders>
              <w:top w:val="nil"/>
              <w:bottom w:val="nil"/>
              <w:right w:val="single" w:sz="4" w:space="0" w:color="auto"/>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22.601</w:t>
            </w:r>
          </w:p>
        </w:tc>
      </w:tr>
      <w:tr w:rsidR="000D0A85" w:rsidRPr="0015043C" w:rsidTr="00451ECA">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0D0A85" w:rsidRPr="0015043C" w:rsidRDefault="000D0A85" w:rsidP="00853FC4">
            <w:pPr>
              <w:spacing w:before="20" w:after="20"/>
              <w:jc w:val="center"/>
              <w:rPr>
                <w:rFonts w:ascii="Arial Narrow" w:hAnsi="Arial Narrow"/>
                <w:sz w:val="16"/>
                <w:szCs w:val="20"/>
              </w:rPr>
            </w:pPr>
            <w:r w:rsidRPr="0015043C">
              <w:rPr>
                <w:rFonts w:ascii="Arial Narrow" w:hAnsi="Arial Narrow"/>
                <w:sz w:val="16"/>
                <w:szCs w:val="20"/>
              </w:rPr>
              <w:t>20</w:t>
            </w:r>
            <w:r>
              <w:rPr>
                <w:rFonts w:ascii="Arial Narrow" w:hAnsi="Arial Narrow"/>
                <w:sz w:val="16"/>
                <w:szCs w:val="20"/>
              </w:rPr>
              <w:t>11</w:t>
            </w:r>
          </w:p>
        </w:tc>
        <w:tc>
          <w:tcPr>
            <w:tcW w:w="2216" w:type="dxa"/>
            <w:tcBorders>
              <w:top w:val="nil"/>
              <w:bottom w:val="nil"/>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33.395</w:t>
            </w:r>
          </w:p>
        </w:tc>
        <w:tc>
          <w:tcPr>
            <w:tcW w:w="2885" w:type="dxa"/>
            <w:tcBorders>
              <w:top w:val="nil"/>
              <w:bottom w:val="nil"/>
            </w:tcBorders>
            <w:shd w:val="clear" w:color="auto" w:fill="auto"/>
            <w:noWrap/>
            <w:tcMar>
              <w:left w:w="57" w:type="dxa"/>
              <w:right w:w="57" w:type="dxa"/>
            </w:tcMar>
            <w:vAlign w:val="center"/>
          </w:tcPr>
          <w:p w:rsidR="000D0A85" w:rsidRDefault="000D0A85"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33.395</w:t>
            </w:r>
          </w:p>
        </w:tc>
      </w:tr>
      <w:tr w:rsidR="000D0A85" w:rsidRPr="0015043C" w:rsidTr="00582730">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0D0A85" w:rsidRPr="0015043C" w:rsidRDefault="000D0A85" w:rsidP="00853FC4">
            <w:pPr>
              <w:spacing w:before="20" w:after="20"/>
              <w:jc w:val="center"/>
              <w:rPr>
                <w:rFonts w:ascii="Arial Narrow" w:hAnsi="Arial Narrow"/>
                <w:sz w:val="16"/>
                <w:szCs w:val="20"/>
              </w:rPr>
            </w:pPr>
            <w:r>
              <w:rPr>
                <w:rFonts w:ascii="Arial Narrow" w:hAnsi="Arial Narrow"/>
                <w:sz w:val="16"/>
                <w:szCs w:val="20"/>
              </w:rPr>
              <w:t>2012</w:t>
            </w:r>
          </w:p>
        </w:tc>
        <w:tc>
          <w:tcPr>
            <w:tcW w:w="2216" w:type="dxa"/>
            <w:tcBorders>
              <w:top w:val="nil"/>
              <w:bottom w:val="nil"/>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47.008</w:t>
            </w:r>
          </w:p>
        </w:tc>
        <w:tc>
          <w:tcPr>
            <w:tcW w:w="2885" w:type="dxa"/>
            <w:tcBorders>
              <w:top w:val="nil"/>
              <w:bottom w:val="nil"/>
            </w:tcBorders>
            <w:shd w:val="clear" w:color="auto" w:fill="auto"/>
            <w:noWrap/>
            <w:tcMar>
              <w:left w:w="57" w:type="dxa"/>
              <w:right w:w="57" w:type="dxa"/>
            </w:tcMar>
            <w:vAlign w:val="center"/>
          </w:tcPr>
          <w:p w:rsidR="000D0A85" w:rsidRDefault="000D0A85"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47.008</w:t>
            </w:r>
          </w:p>
        </w:tc>
      </w:tr>
      <w:tr w:rsidR="000D0A85" w:rsidRPr="0015043C" w:rsidTr="00451ECA">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0D0A85" w:rsidRDefault="000D0A85" w:rsidP="00853FC4">
            <w:pPr>
              <w:spacing w:before="20" w:after="20"/>
              <w:jc w:val="center"/>
              <w:rPr>
                <w:rFonts w:ascii="Arial Narrow" w:hAnsi="Arial Narrow"/>
                <w:sz w:val="16"/>
                <w:szCs w:val="20"/>
              </w:rPr>
            </w:pPr>
            <w:r>
              <w:rPr>
                <w:rFonts w:ascii="Arial Narrow" w:hAnsi="Arial Narrow"/>
                <w:sz w:val="16"/>
                <w:szCs w:val="20"/>
              </w:rPr>
              <w:t>2013</w:t>
            </w:r>
          </w:p>
        </w:tc>
        <w:tc>
          <w:tcPr>
            <w:tcW w:w="2216" w:type="dxa"/>
            <w:tcBorders>
              <w:top w:val="nil"/>
              <w:bottom w:val="nil"/>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44.703</w:t>
            </w:r>
          </w:p>
        </w:tc>
        <w:tc>
          <w:tcPr>
            <w:tcW w:w="2885" w:type="dxa"/>
            <w:tcBorders>
              <w:top w:val="nil"/>
              <w:bottom w:val="nil"/>
            </w:tcBorders>
            <w:shd w:val="clear" w:color="auto" w:fill="auto"/>
            <w:noWrap/>
            <w:tcMar>
              <w:left w:w="57" w:type="dxa"/>
              <w:right w:w="57" w:type="dxa"/>
            </w:tcMar>
            <w:vAlign w:val="center"/>
          </w:tcPr>
          <w:p w:rsidR="000D0A85" w:rsidRDefault="000D0A85"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44.703</w:t>
            </w:r>
          </w:p>
        </w:tc>
      </w:tr>
      <w:tr w:rsidR="000D0A85" w:rsidRPr="0015043C" w:rsidTr="00582730">
        <w:trPr>
          <w:trHeight w:val="20"/>
        </w:trPr>
        <w:tc>
          <w:tcPr>
            <w:tcW w:w="2108" w:type="dxa"/>
            <w:tcBorders>
              <w:top w:val="nil"/>
              <w:left w:val="single" w:sz="4" w:space="0" w:color="auto"/>
            </w:tcBorders>
            <w:shd w:val="clear" w:color="auto" w:fill="auto"/>
            <w:noWrap/>
            <w:tcMar>
              <w:left w:w="57" w:type="dxa"/>
              <w:right w:w="57" w:type="dxa"/>
            </w:tcMar>
            <w:vAlign w:val="bottom"/>
          </w:tcPr>
          <w:p w:rsidR="000D0A85" w:rsidRDefault="000D0A85" w:rsidP="00853FC4">
            <w:pPr>
              <w:spacing w:before="20" w:after="20"/>
              <w:jc w:val="center"/>
              <w:rPr>
                <w:rFonts w:ascii="Arial Narrow" w:hAnsi="Arial Narrow"/>
                <w:sz w:val="16"/>
                <w:szCs w:val="20"/>
              </w:rPr>
            </w:pPr>
            <w:r>
              <w:rPr>
                <w:rFonts w:ascii="Arial Narrow" w:hAnsi="Arial Narrow"/>
                <w:sz w:val="16"/>
                <w:szCs w:val="20"/>
              </w:rPr>
              <w:t>2014</w:t>
            </w:r>
          </w:p>
        </w:tc>
        <w:tc>
          <w:tcPr>
            <w:tcW w:w="2216" w:type="dxa"/>
            <w:tcBorders>
              <w:top w:val="nil"/>
            </w:tcBorders>
            <w:shd w:val="clear" w:color="auto" w:fill="auto"/>
            <w:noWrap/>
            <w:tcMar>
              <w:left w:w="57" w:type="dxa"/>
              <w:right w:w="57" w:type="dxa"/>
            </w:tcMar>
            <w:vAlign w:val="center"/>
          </w:tcPr>
          <w:p w:rsidR="000D0A85" w:rsidRDefault="000D0A85"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40.</w:t>
            </w:r>
            <w:r w:rsidR="00296AA2">
              <w:rPr>
                <w:rFonts w:ascii="Arial Narrow" w:hAnsi="Arial Narrow" w:cs="Arial"/>
                <w:sz w:val="16"/>
                <w:szCs w:val="16"/>
              </w:rPr>
              <w:t>558</w:t>
            </w:r>
          </w:p>
        </w:tc>
        <w:tc>
          <w:tcPr>
            <w:tcW w:w="2885" w:type="dxa"/>
            <w:tcBorders>
              <w:top w:val="nil"/>
            </w:tcBorders>
            <w:shd w:val="clear" w:color="auto" w:fill="auto"/>
            <w:noWrap/>
            <w:tcMar>
              <w:left w:w="57" w:type="dxa"/>
              <w:right w:w="57" w:type="dxa"/>
            </w:tcMar>
            <w:vAlign w:val="center"/>
          </w:tcPr>
          <w:p w:rsidR="000D0A85" w:rsidRDefault="00296AA2"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88.549</w:t>
            </w:r>
          </w:p>
        </w:tc>
        <w:tc>
          <w:tcPr>
            <w:tcW w:w="1927" w:type="dxa"/>
            <w:tcBorders>
              <w:top w:val="nil"/>
              <w:right w:val="single" w:sz="4" w:space="0" w:color="auto"/>
            </w:tcBorders>
            <w:shd w:val="clear" w:color="auto" w:fill="auto"/>
            <w:noWrap/>
            <w:tcMar>
              <w:left w:w="57" w:type="dxa"/>
              <w:right w:w="57" w:type="dxa"/>
            </w:tcMar>
            <w:vAlign w:val="center"/>
          </w:tcPr>
          <w:p w:rsidR="000D0A85" w:rsidRDefault="00C83AD1"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12</w:t>
            </w:r>
            <w:r w:rsidR="002824D4">
              <w:rPr>
                <w:rFonts w:ascii="Arial Narrow" w:hAnsi="Arial Narrow" w:cs="Arial"/>
                <w:sz w:val="16"/>
                <w:szCs w:val="16"/>
              </w:rPr>
              <w:t>9.107</w:t>
            </w:r>
          </w:p>
        </w:tc>
      </w:tr>
      <w:tr w:rsidR="00C83AD1" w:rsidRPr="0015043C" w:rsidTr="00582730">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C83AD1" w:rsidRPr="00C83AD1" w:rsidRDefault="00C83AD1" w:rsidP="00853FC4">
            <w:pPr>
              <w:spacing w:before="20" w:after="20"/>
              <w:jc w:val="center"/>
              <w:rPr>
                <w:rFonts w:ascii="Arial Narrow" w:hAnsi="Arial Narrow"/>
                <w:sz w:val="16"/>
                <w:szCs w:val="20"/>
              </w:rPr>
            </w:pPr>
            <w:r>
              <w:rPr>
                <w:rFonts w:ascii="Arial Narrow" w:hAnsi="Arial Narrow"/>
                <w:sz w:val="16"/>
                <w:szCs w:val="20"/>
                <w:lang w:val="en-GB"/>
              </w:rPr>
              <w:t>20</w:t>
            </w:r>
            <w:r>
              <w:rPr>
                <w:rFonts w:ascii="Arial Narrow" w:hAnsi="Arial Narrow"/>
                <w:sz w:val="16"/>
                <w:szCs w:val="20"/>
              </w:rPr>
              <w:t>1</w:t>
            </w:r>
            <w:r w:rsidRPr="0015043C">
              <w:rPr>
                <w:rFonts w:ascii="Arial Narrow" w:hAnsi="Arial Narrow"/>
                <w:sz w:val="16"/>
                <w:szCs w:val="20"/>
                <w:lang w:val="en-GB"/>
              </w:rPr>
              <w:t>5</w:t>
            </w:r>
          </w:p>
        </w:tc>
        <w:tc>
          <w:tcPr>
            <w:tcW w:w="2216" w:type="dxa"/>
            <w:tcBorders>
              <w:top w:val="nil"/>
              <w:bottom w:val="nil"/>
            </w:tcBorders>
            <w:shd w:val="clear" w:color="auto" w:fill="auto"/>
            <w:noWrap/>
            <w:tcMar>
              <w:left w:w="57" w:type="dxa"/>
              <w:right w:w="57" w:type="dxa"/>
            </w:tcMar>
            <w:vAlign w:val="center"/>
          </w:tcPr>
          <w:p w:rsidR="00C83AD1" w:rsidRDefault="00582730"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40.457</w:t>
            </w:r>
          </w:p>
        </w:tc>
        <w:tc>
          <w:tcPr>
            <w:tcW w:w="2885" w:type="dxa"/>
            <w:tcBorders>
              <w:top w:val="nil"/>
              <w:bottom w:val="nil"/>
            </w:tcBorders>
            <w:shd w:val="clear" w:color="auto" w:fill="auto"/>
            <w:noWrap/>
            <w:tcMar>
              <w:left w:w="57" w:type="dxa"/>
              <w:right w:w="57" w:type="dxa"/>
            </w:tcMar>
            <w:vAlign w:val="center"/>
          </w:tcPr>
          <w:p w:rsidR="00C83AD1" w:rsidRDefault="00582730"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699.971</w:t>
            </w:r>
          </w:p>
        </w:tc>
        <w:tc>
          <w:tcPr>
            <w:tcW w:w="1927" w:type="dxa"/>
            <w:tcBorders>
              <w:top w:val="nil"/>
              <w:bottom w:val="nil"/>
              <w:right w:val="single" w:sz="4" w:space="0" w:color="auto"/>
            </w:tcBorders>
            <w:shd w:val="clear" w:color="auto" w:fill="auto"/>
            <w:noWrap/>
            <w:tcMar>
              <w:left w:w="57" w:type="dxa"/>
              <w:right w:w="57" w:type="dxa"/>
            </w:tcMar>
            <w:vAlign w:val="center"/>
          </w:tcPr>
          <w:p w:rsidR="00C83AD1" w:rsidRDefault="00582730"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740.428</w:t>
            </w:r>
          </w:p>
        </w:tc>
      </w:tr>
      <w:tr w:rsidR="00582730" w:rsidRPr="0015043C" w:rsidTr="000107A3">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582730" w:rsidRPr="00582730" w:rsidRDefault="00582730" w:rsidP="00853FC4">
            <w:pPr>
              <w:spacing w:before="20" w:after="20"/>
              <w:jc w:val="center"/>
              <w:rPr>
                <w:rFonts w:ascii="Arial Narrow" w:hAnsi="Arial Narrow"/>
                <w:sz w:val="16"/>
                <w:szCs w:val="20"/>
              </w:rPr>
            </w:pPr>
            <w:r>
              <w:rPr>
                <w:rFonts w:ascii="Arial Narrow" w:hAnsi="Arial Narrow"/>
                <w:sz w:val="16"/>
                <w:szCs w:val="20"/>
              </w:rPr>
              <w:t>2016</w:t>
            </w:r>
          </w:p>
        </w:tc>
        <w:tc>
          <w:tcPr>
            <w:tcW w:w="2216" w:type="dxa"/>
            <w:tcBorders>
              <w:top w:val="nil"/>
              <w:bottom w:val="nil"/>
            </w:tcBorders>
            <w:shd w:val="clear" w:color="auto" w:fill="auto"/>
            <w:noWrap/>
            <w:tcMar>
              <w:left w:w="57" w:type="dxa"/>
              <w:right w:w="57" w:type="dxa"/>
            </w:tcMar>
            <w:vAlign w:val="center"/>
          </w:tcPr>
          <w:p w:rsidR="00582730" w:rsidRDefault="00582730"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40.941</w:t>
            </w:r>
          </w:p>
        </w:tc>
        <w:tc>
          <w:tcPr>
            <w:tcW w:w="2885" w:type="dxa"/>
            <w:tcBorders>
              <w:top w:val="nil"/>
              <w:bottom w:val="nil"/>
            </w:tcBorders>
            <w:shd w:val="clear" w:color="auto" w:fill="auto"/>
            <w:noWrap/>
            <w:tcMar>
              <w:left w:w="57" w:type="dxa"/>
              <w:right w:w="57" w:type="dxa"/>
            </w:tcMar>
            <w:vAlign w:val="center"/>
          </w:tcPr>
          <w:p w:rsidR="00582730" w:rsidRDefault="000107A3"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490.322</w:t>
            </w:r>
          </w:p>
        </w:tc>
        <w:tc>
          <w:tcPr>
            <w:tcW w:w="1927" w:type="dxa"/>
            <w:tcBorders>
              <w:top w:val="nil"/>
              <w:bottom w:val="nil"/>
              <w:right w:val="single" w:sz="4" w:space="0" w:color="auto"/>
            </w:tcBorders>
            <w:shd w:val="clear" w:color="auto" w:fill="auto"/>
            <w:noWrap/>
            <w:tcMar>
              <w:left w:w="57" w:type="dxa"/>
              <w:right w:w="57" w:type="dxa"/>
            </w:tcMar>
            <w:vAlign w:val="center"/>
          </w:tcPr>
          <w:p w:rsidR="00582730" w:rsidRDefault="00DC0F96"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531.263</w:t>
            </w:r>
          </w:p>
        </w:tc>
      </w:tr>
      <w:tr w:rsidR="000107A3" w:rsidRPr="0015043C" w:rsidTr="00C83AD1">
        <w:trPr>
          <w:trHeight w:val="20"/>
        </w:trPr>
        <w:tc>
          <w:tcPr>
            <w:tcW w:w="2108" w:type="dxa"/>
            <w:tcBorders>
              <w:top w:val="nil"/>
              <w:left w:val="single" w:sz="4" w:space="0" w:color="auto"/>
              <w:bottom w:val="single" w:sz="4" w:space="0" w:color="auto"/>
            </w:tcBorders>
            <w:shd w:val="clear" w:color="auto" w:fill="auto"/>
            <w:noWrap/>
            <w:tcMar>
              <w:left w:w="57" w:type="dxa"/>
              <w:right w:w="57" w:type="dxa"/>
            </w:tcMar>
            <w:vAlign w:val="bottom"/>
          </w:tcPr>
          <w:p w:rsidR="000107A3" w:rsidRDefault="000107A3" w:rsidP="00853FC4">
            <w:pPr>
              <w:spacing w:before="20" w:after="20"/>
              <w:jc w:val="center"/>
              <w:rPr>
                <w:rFonts w:ascii="Arial Narrow" w:hAnsi="Arial Narrow"/>
                <w:sz w:val="16"/>
                <w:szCs w:val="20"/>
              </w:rPr>
            </w:pPr>
            <w:r>
              <w:rPr>
                <w:rFonts w:ascii="Arial Narrow" w:hAnsi="Arial Narrow"/>
                <w:sz w:val="16"/>
                <w:szCs w:val="20"/>
              </w:rPr>
              <w:t>2017</w:t>
            </w:r>
          </w:p>
        </w:tc>
        <w:tc>
          <w:tcPr>
            <w:tcW w:w="2216" w:type="dxa"/>
            <w:tcBorders>
              <w:top w:val="nil"/>
              <w:bottom w:val="single" w:sz="4" w:space="0" w:color="auto"/>
            </w:tcBorders>
            <w:shd w:val="clear" w:color="auto" w:fill="auto"/>
            <w:noWrap/>
            <w:tcMar>
              <w:left w:w="57" w:type="dxa"/>
              <w:right w:w="57" w:type="dxa"/>
            </w:tcMar>
            <w:vAlign w:val="center"/>
          </w:tcPr>
          <w:p w:rsidR="000107A3" w:rsidRDefault="000107A3"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41.100</w:t>
            </w:r>
          </w:p>
        </w:tc>
        <w:tc>
          <w:tcPr>
            <w:tcW w:w="2885" w:type="dxa"/>
            <w:tcBorders>
              <w:top w:val="nil"/>
              <w:bottom w:val="single" w:sz="4" w:space="0" w:color="auto"/>
            </w:tcBorders>
            <w:shd w:val="clear" w:color="auto" w:fill="auto"/>
            <w:noWrap/>
            <w:tcMar>
              <w:left w:w="57" w:type="dxa"/>
              <w:right w:w="57" w:type="dxa"/>
            </w:tcMar>
            <w:vAlign w:val="center"/>
          </w:tcPr>
          <w:p w:rsidR="000107A3" w:rsidRDefault="000107A3" w:rsidP="00853FC4">
            <w:pPr>
              <w:tabs>
                <w:tab w:val="decimal" w:pos="1522"/>
              </w:tabs>
              <w:spacing w:before="20" w:after="20"/>
              <w:jc w:val="both"/>
              <w:rPr>
                <w:rFonts w:ascii="Arial Narrow" w:hAnsi="Arial Narrow" w:cs="Arial"/>
                <w:sz w:val="16"/>
                <w:szCs w:val="16"/>
              </w:rPr>
            </w:pPr>
            <w:r>
              <w:rPr>
                <w:rFonts w:ascii="Arial Narrow" w:hAnsi="Arial Narrow" w:cs="Arial"/>
                <w:sz w:val="16"/>
                <w:szCs w:val="16"/>
              </w:rPr>
              <w:t>500.000</w:t>
            </w:r>
          </w:p>
        </w:tc>
        <w:tc>
          <w:tcPr>
            <w:tcW w:w="1927" w:type="dxa"/>
            <w:tcBorders>
              <w:top w:val="nil"/>
              <w:bottom w:val="single" w:sz="4" w:space="0" w:color="auto"/>
              <w:right w:val="single" w:sz="4" w:space="0" w:color="auto"/>
            </w:tcBorders>
            <w:shd w:val="clear" w:color="auto" w:fill="auto"/>
            <w:noWrap/>
            <w:tcMar>
              <w:left w:w="57" w:type="dxa"/>
              <w:right w:w="57" w:type="dxa"/>
            </w:tcMar>
            <w:vAlign w:val="center"/>
          </w:tcPr>
          <w:p w:rsidR="000107A3" w:rsidRDefault="00DC0F96" w:rsidP="00853FC4">
            <w:pPr>
              <w:tabs>
                <w:tab w:val="decimal" w:pos="1281"/>
              </w:tabs>
              <w:spacing w:before="20" w:after="20"/>
              <w:jc w:val="both"/>
              <w:rPr>
                <w:rFonts w:ascii="Arial Narrow" w:hAnsi="Arial Narrow" w:cs="Arial"/>
                <w:sz w:val="16"/>
                <w:szCs w:val="16"/>
              </w:rPr>
            </w:pPr>
            <w:r>
              <w:rPr>
                <w:rFonts w:ascii="Arial Narrow" w:hAnsi="Arial Narrow" w:cs="Arial"/>
                <w:sz w:val="16"/>
                <w:szCs w:val="16"/>
              </w:rPr>
              <w:t>541.100</w:t>
            </w:r>
          </w:p>
        </w:tc>
      </w:tr>
    </w:tbl>
    <w:p w:rsidR="000D0A85" w:rsidRPr="000107A3" w:rsidRDefault="000D0A85" w:rsidP="000D0A85">
      <w:pPr>
        <w:tabs>
          <w:tab w:val="left" w:pos="2216"/>
          <w:tab w:val="left" w:pos="4432"/>
          <w:tab w:val="left" w:pos="7317"/>
        </w:tabs>
        <w:ind w:left="108"/>
        <w:rPr>
          <w:rFonts w:ascii="Arial Narrow" w:hAnsi="Arial Narrow"/>
          <w:sz w:val="16"/>
          <w:szCs w:val="20"/>
          <w:lang w:val="en-US"/>
        </w:rPr>
      </w:pPr>
      <w:r w:rsidRPr="0015043C">
        <w:rPr>
          <w:rFonts w:ascii="Arial Narrow" w:hAnsi="Arial Narrow"/>
          <w:sz w:val="16"/>
          <w:szCs w:val="20"/>
          <w:lang w:val="en-GB"/>
        </w:rPr>
        <w:t xml:space="preserve">*    </w:t>
      </w:r>
      <w:r w:rsidRPr="0015043C">
        <w:rPr>
          <w:rFonts w:ascii="Arial Narrow" w:hAnsi="Arial Narrow"/>
          <w:sz w:val="16"/>
          <w:szCs w:val="20"/>
        </w:rPr>
        <w:t>Εκτιμήσεις</w:t>
      </w:r>
      <w:r w:rsidRPr="0015043C">
        <w:rPr>
          <w:rFonts w:ascii="Arial Narrow" w:hAnsi="Arial Narrow"/>
          <w:sz w:val="16"/>
          <w:szCs w:val="20"/>
          <w:lang w:val="en-GB"/>
        </w:rPr>
        <w:t xml:space="preserve">    </w:t>
      </w:r>
    </w:p>
    <w:p w:rsidR="000D0A85" w:rsidRPr="0015043C" w:rsidRDefault="000D0A85" w:rsidP="000D0A85">
      <w:pPr>
        <w:tabs>
          <w:tab w:val="left" w:pos="2216"/>
          <w:tab w:val="left" w:pos="4432"/>
          <w:tab w:val="left" w:pos="7317"/>
        </w:tabs>
        <w:ind w:left="108"/>
        <w:rPr>
          <w:rFonts w:ascii="Arial Narrow" w:hAnsi="Arial Narrow"/>
          <w:sz w:val="16"/>
          <w:szCs w:val="20"/>
          <w:lang w:val="en-GB"/>
        </w:rPr>
      </w:pPr>
      <w:r w:rsidRPr="0015043C">
        <w:rPr>
          <w:rFonts w:ascii="Arial Narrow" w:hAnsi="Arial Narrow"/>
          <w:sz w:val="16"/>
          <w:szCs w:val="20"/>
          <w:vertAlign w:val="superscript"/>
          <w:lang w:val="en-GB"/>
        </w:rPr>
        <w:t xml:space="preserve">(1) </w:t>
      </w:r>
      <w:r w:rsidRPr="0015043C">
        <w:rPr>
          <w:rFonts w:ascii="Arial Narrow" w:hAnsi="Arial Narrow"/>
          <w:sz w:val="16"/>
          <w:szCs w:val="20"/>
          <w:lang w:val="en-GB"/>
        </w:rPr>
        <w:t xml:space="preserve">  Euro Commercial Paper (ECP)</w:t>
      </w:r>
      <w:r w:rsidRPr="0015043C">
        <w:rPr>
          <w:rFonts w:ascii="Arial Narrow" w:hAnsi="Arial Narrow"/>
          <w:sz w:val="16"/>
          <w:szCs w:val="20"/>
          <w:lang w:val="en-GB"/>
        </w:rPr>
        <w:tab/>
      </w:r>
    </w:p>
    <w:p w:rsidR="000D0A85" w:rsidRPr="00C83AD1" w:rsidRDefault="000D0A85" w:rsidP="000D0A85">
      <w:pPr>
        <w:tabs>
          <w:tab w:val="left" w:pos="2216"/>
          <w:tab w:val="left" w:pos="4432"/>
          <w:tab w:val="left" w:pos="7317"/>
        </w:tabs>
        <w:ind w:left="108"/>
        <w:rPr>
          <w:rFonts w:ascii="Arial Narrow" w:hAnsi="Arial Narrow"/>
          <w:sz w:val="16"/>
          <w:szCs w:val="20"/>
        </w:rPr>
      </w:pPr>
      <w:r w:rsidRPr="0015043C">
        <w:rPr>
          <w:rFonts w:ascii="Arial Narrow" w:hAnsi="Arial Narrow"/>
          <w:sz w:val="16"/>
          <w:szCs w:val="20"/>
          <w:vertAlign w:val="superscript"/>
        </w:rPr>
        <w:t xml:space="preserve">(2) </w:t>
      </w:r>
      <w:r w:rsidRPr="0015043C">
        <w:rPr>
          <w:rFonts w:ascii="Arial Narrow" w:hAnsi="Arial Narrow"/>
          <w:sz w:val="16"/>
          <w:szCs w:val="20"/>
        </w:rPr>
        <w:t xml:space="preserve">  Από το 2008 περιλαμβάνονται οι βραχυπρ</w:t>
      </w:r>
      <w:r w:rsidR="00C83AD1">
        <w:rPr>
          <w:rFonts w:ascii="Arial Narrow" w:hAnsi="Arial Narrow"/>
          <w:sz w:val="16"/>
          <w:szCs w:val="20"/>
        </w:rPr>
        <w:t xml:space="preserve">όθεσμες ταμειακές διευκολύνσεις και από </w:t>
      </w:r>
      <w:r w:rsidR="00592629">
        <w:rPr>
          <w:rFonts w:ascii="Arial Narrow" w:hAnsi="Arial Narrow"/>
          <w:sz w:val="16"/>
          <w:szCs w:val="20"/>
        </w:rPr>
        <w:t xml:space="preserve">το </w:t>
      </w:r>
      <w:r w:rsidR="00C83AD1">
        <w:rPr>
          <w:rFonts w:ascii="Arial Narrow" w:hAnsi="Arial Narrow"/>
          <w:sz w:val="16"/>
          <w:szCs w:val="20"/>
        </w:rPr>
        <w:t xml:space="preserve">2014 </w:t>
      </w:r>
      <w:r w:rsidR="00C83AD1">
        <w:rPr>
          <w:rFonts w:ascii="Arial Narrow" w:hAnsi="Arial Narrow"/>
          <w:sz w:val="16"/>
          <w:szCs w:val="20"/>
          <w:lang w:val="en-GB"/>
        </w:rPr>
        <w:t>repos</w:t>
      </w:r>
      <w:r w:rsidR="00C83AD1" w:rsidRPr="00C83AD1">
        <w:rPr>
          <w:rFonts w:ascii="Arial Narrow" w:hAnsi="Arial Narrow"/>
          <w:sz w:val="16"/>
          <w:szCs w:val="20"/>
        </w:rPr>
        <w:t>.</w:t>
      </w:r>
    </w:p>
    <w:p w:rsidR="000D0A85" w:rsidRPr="0015043C" w:rsidRDefault="000D0A85" w:rsidP="000D0A85">
      <w:pPr>
        <w:tabs>
          <w:tab w:val="left" w:pos="180"/>
        </w:tabs>
        <w:jc w:val="both"/>
        <w:rPr>
          <w:rFonts w:ascii="Arial Narrow" w:hAnsi="Arial Narrow"/>
          <w:sz w:val="16"/>
          <w:szCs w:val="16"/>
        </w:rPr>
      </w:pPr>
      <w:r w:rsidRPr="0015043C">
        <w:rPr>
          <w:rFonts w:ascii="Arial Narrow" w:hAnsi="Arial Narrow"/>
          <w:sz w:val="16"/>
          <w:szCs w:val="16"/>
        </w:rPr>
        <w:t xml:space="preserve">   Πηγή:  </w:t>
      </w:r>
      <w:r w:rsidR="00296AA2">
        <w:rPr>
          <w:rFonts w:ascii="Arial Narrow" w:hAnsi="Arial Narrow"/>
          <w:sz w:val="16"/>
          <w:szCs w:val="16"/>
        </w:rPr>
        <w:t>ΟΔΔΗΧ</w:t>
      </w:r>
    </w:p>
    <w:p w:rsidR="000D0A85" w:rsidRPr="00E80743" w:rsidRDefault="000D0A85" w:rsidP="000D0A85">
      <w:pPr>
        <w:jc w:val="both"/>
        <w:rPr>
          <w:sz w:val="20"/>
        </w:rPr>
      </w:pPr>
    </w:p>
    <w:p w:rsidR="00973914" w:rsidRPr="00683A95" w:rsidRDefault="00973914" w:rsidP="00973914">
      <w:pPr>
        <w:jc w:val="both"/>
        <w:rPr>
          <w:sz w:val="22"/>
          <w:szCs w:val="22"/>
        </w:rPr>
      </w:pPr>
      <w:r w:rsidRPr="00683A95">
        <w:rPr>
          <w:sz w:val="22"/>
          <w:szCs w:val="22"/>
        </w:rPr>
        <w:t>Όπως φαίνεται στον πίνακα, οι δαπάνες για τόκους του χρέους της Κεντρικής Διοίκησης, μετά το 2012, διαμορφώνονται στα επίπεδα των 5.500-6.000 εκατ. ευρώ, ενώ το ύψος των δαπανών για τ</w:t>
      </w:r>
      <w:r w:rsidRPr="00683A95">
        <w:rPr>
          <w:sz w:val="22"/>
          <w:szCs w:val="22"/>
        </w:rPr>
        <w:t>ό</w:t>
      </w:r>
      <w:r w:rsidRPr="00683A95">
        <w:rPr>
          <w:sz w:val="22"/>
          <w:szCs w:val="22"/>
        </w:rPr>
        <w:t xml:space="preserve">κους διαμορφώνεται </w:t>
      </w:r>
      <w:r w:rsidR="00E01755">
        <w:rPr>
          <w:sz w:val="22"/>
          <w:szCs w:val="22"/>
        </w:rPr>
        <w:t xml:space="preserve">περίπου </w:t>
      </w:r>
      <w:r w:rsidRPr="00683A95">
        <w:rPr>
          <w:sz w:val="22"/>
          <w:szCs w:val="22"/>
        </w:rPr>
        <w:t>στο 3% ως ποσοστό του ΑΕΠ. Η μείωση αυτή οφείλεται στη μείωση του ύψους του δημόσιου χρέους μετά την ανταλλαγή των ομολόγων (PSI) του Μαρτίου 2012 και την επαναγορά του Δεκεμβρίου 2012, τη μείωση των επιτοκίων των δανείων του μηχανισμού στήριξης και την αναβολή καταβολής τόκων για τα δάνεια που χορηγήθηκαν από το Ευρωπαϊκό Ταμείο Χρ</w:t>
      </w:r>
      <w:r w:rsidRPr="00683A95">
        <w:rPr>
          <w:sz w:val="22"/>
          <w:szCs w:val="22"/>
        </w:rPr>
        <w:t>η</w:t>
      </w:r>
      <w:r w:rsidRPr="00683A95">
        <w:rPr>
          <w:sz w:val="22"/>
          <w:szCs w:val="22"/>
        </w:rPr>
        <w:t>ματο</w:t>
      </w:r>
      <w:r>
        <w:rPr>
          <w:sz w:val="22"/>
          <w:szCs w:val="22"/>
        </w:rPr>
        <w:t>πιστωτικής Σταθερότητας (πίνακας 4.8, δ</w:t>
      </w:r>
      <w:r w:rsidRPr="00683A95">
        <w:rPr>
          <w:sz w:val="22"/>
          <w:szCs w:val="22"/>
        </w:rPr>
        <w:t>ιάγραμμα 4.3).</w:t>
      </w:r>
    </w:p>
    <w:p w:rsidR="000D0A85" w:rsidRDefault="000D0A85" w:rsidP="000D0A85">
      <w:pPr>
        <w:jc w:val="both"/>
        <w:rPr>
          <w:sz w:val="22"/>
        </w:rPr>
      </w:pPr>
    </w:p>
    <w:p w:rsidR="006754C5" w:rsidRPr="00E80743" w:rsidRDefault="006754C5" w:rsidP="000D0A85">
      <w:pPr>
        <w:jc w:val="both"/>
        <w:rPr>
          <w:sz w:val="22"/>
        </w:rPr>
      </w:pPr>
    </w:p>
    <w:tbl>
      <w:tblPr>
        <w:tblW w:w="9225" w:type="dxa"/>
        <w:jc w:val="center"/>
        <w:tblLayout w:type="fixed"/>
        <w:tblCellMar>
          <w:left w:w="0" w:type="dxa"/>
          <w:right w:w="0" w:type="dxa"/>
        </w:tblCellMar>
        <w:tblLook w:val="0000"/>
      </w:tblPr>
      <w:tblGrid>
        <w:gridCol w:w="2885"/>
        <w:gridCol w:w="1152"/>
        <w:gridCol w:w="1080"/>
        <w:gridCol w:w="1080"/>
        <w:gridCol w:w="1080"/>
        <w:gridCol w:w="1080"/>
        <w:gridCol w:w="868"/>
      </w:tblGrid>
      <w:tr w:rsidR="000D0A85" w:rsidRPr="0015043C" w:rsidTr="00451ECA">
        <w:trPr>
          <w:jc w:val="center"/>
        </w:trPr>
        <w:tc>
          <w:tcPr>
            <w:tcW w:w="9225" w:type="dxa"/>
            <w:gridSpan w:val="7"/>
            <w:tcBorders>
              <w:top w:val="single" w:sz="4" w:space="0" w:color="auto"/>
              <w:left w:val="single" w:sz="4" w:space="0" w:color="auto"/>
              <w:right w:val="single" w:sz="4" w:space="0" w:color="auto"/>
            </w:tcBorders>
            <w:shd w:val="clear" w:color="auto" w:fill="404040" w:themeFill="text1" w:themeFillTint="BF"/>
            <w:noWrap/>
            <w:tcMar>
              <w:top w:w="15" w:type="dxa"/>
              <w:left w:w="15" w:type="dxa"/>
              <w:bottom w:w="0" w:type="dxa"/>
              <w:right w:w="15" w:type="dxa"/>
            </w:tcMar>
            <w:vAlign w:val="bottom"/>
          </w:tcPr>
          <w:p w:rsidR="000D0A85" w:rsidRPr="0015043C" w:rsidRDefault="000D0A85" w:rsidP="00451ECA">
            <w:pPr>
              <w:autoSpaceDE w:val="0"/>
              <w:autoSpaceDN w:val="0"/>
              <w:adjustRightInd w:val="0"/>
              <w:spacing w:before="120"/>
              <w:jc w:val="center"/>
              <w:rPr>
                <w:rFonts w:ascii="Arial Narrow" w:hAnsi="Arial Narrow" w:cs="TimesNewRoman,Bold+1"/>
                <w:b/>
                <w:bCs/>
                <w:color w:val="FFFFFF"/>
              </w:rPr>
            </w:pPr>
            <w:r>
              <w:rPr>
                <w:rFonts w:ascii="Arial Narrow" w:hAnsi="Arial Narrow" w:cs="TimesNewRoman,Bold+1"/>
                <w:b/>
                <w:bCs/>
                <w:color w:val="FFFFFF"/>
              </w:rPr>
              <w:t>Πίνακας 4.8</w:t>
            </w:r>
            <w:r w:rsidRPr="0015043C">
              <w:rPr>
                <w:rFonts w:ascii="Arial Narrow" w:hAnsi="Arial Narrow" w:cs="TimesNewRoman,Bold+1"/>
                <w:b/>
                <w:bCs/>
                <w:color w:val="FFFFFF"/>
              </w:rPr>
              <w:t xml:space="preserve">  Ύψος δαπανών για τόκους χρέους Κεντρικής </w:t>
            </w:r>
            <w:r>
              <w:rPr>
                <w:rFonts w:ascii="Arial Narrow" w:hAnsi="Arial Narrow" w:cs="TimesNewRoman,Bold+1"/>
                <w:b/>
                <w:bCs/>
                <w:color w:val="FFFFFF"/>
              </w:rPr>
              <w:t>Διοίκησης</w:t>
            </w:r>
          </w:p>
          <w:p w:rsidR="000D0A85" w:rsidRPr="0015043C" w:rsidRDefault="000D0A85" w:rsidP="00451ECA">
            <w:pPr>
              <w:autoSpaceDE w:val="0"/>
              <w:autoSpaceDN w:val="0"/>
              <w:adjustRightInd w:val="0"/>
              <w:spacing w:after="120"/>
              <w:jc w:val="center"/>
              <w:rPr>
                <w:rFonts w:ascii="Arial Narrow" w:hAnsi="Arial Narrow" w:cs="TimesNewRoman,Bold+1"/>
                <w:b/>
                <w:bCs/>
                <w:color w:val="FFFFFF"/>
              </w:rPr>
            </w:pPr>
            <w:r w:rsidRPr="0015043C">
              <w:rPr>
                <w:rFonts w:ascii="Arial Narrow" w:hAnsi="Arial Narrow" w:cs="TimesNewRoman,Bold"/>
                <w:b/>
                <w:bCs/>
                <w:color w:val="FFFFFF"/>
              </w:rPr>
              <w:t>(</w:t>
            </w:r>
            <w:r w:rsidRPr="0015043C">
              <w:rPr>
                <w:rFonts w:ascii="Arial Narrow" w:hAnsi="Arial Narrow" w:cs="TimesNewRoman,Bold+1"/>
                <w:b/>
                <w:bCs/>
                <w:color w:val="FFFFFF"/>
              </w:rPr>
              <w:t>ποσά σε εκατ</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ευρώ</w:t>
            </w:r>
            <w:r w:rsidRPr="0015043C">
              <w:rPr>
                <w:rFonts w:ascii="Arial Narrow" w:hAnsi="Arial Narrow" w:cs="TimesNewRoman,Bold"/>
                <w:b/>
                <w:bCs/>
                <w:color w:val="FFFFFF"/>
              </w:rPr>
              <w:t>)</w:t>
            </w:r>
          </w:p>
        </w:tc>
      </w:tr>
      <w:tr w:rsidR="000D0A85" w:rsidRPr="00E80743" w:rsidTr="00451ECA">
        <w:trPr>
          <w:jc w:val="center"/>
        </w:trPr>
        <w:tc>
          <w:tcPr>
            <w:tcW w:w="9225" w:type="dxa"/>
            <w:gridSpan w:val="7"/>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0D0A85" w:rsidRPr="00E80743" w:rsidRDefault="000D0A85" w:rsidP="00451ECA">
            <w:pPr>
              <w:jc w:val="center"/>
              <w:rPr>
                <w:rFonts w:ascii="Arial Narrow" w:hAnsi="Arial Narrow"/>
                <w:b/>
                <w:bCs/>
                <w:sz w:val="10"/>
              </w:rPr>
            </w:pPr>
          </w:p>
        </w:tc>
      </w:tr>
      <w:tr w:rsidR="00973914" w:rsidRPr="0015043C" w:rsidTr="00451ECA">
        <w:trPr>
          <w:jc w:val="center"/>
        </w:trPr>
        <w:tc>
          <w:tcPr>
            <w:tcW w:w="28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73914" w:rsidRPr="0015043C" w:rsidRDefault="00973914" w:rsidP="00451ECA">
            <w:pPr>
              <w:spacing w:before="60" w:after="60"/>
              <w:jc w:val="center"/>
              <w:rPr>
                <w:rFonts w:ascii="Arial Narrow" w:hAnsi="Arial Narrow"/>
                <w:b/>
                <w:bCs/>
                <w:sz w:val="16"/>
              </w:rPr>
            </w:pPr>
          </w:p>
        </w:tc>
        <w:tc>
          <w:tcPr>
            <w:tcW w:w="11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73914" w:rsidRPr="0015043C" w:rsidRDefault="00973914" w:rsidP="003F7B07">
            <w:pPr>
              <w:spacing w:before="60" w:after="60"/>
              <w:jc w:val="center"/>
              <w:rPr>
                <w:rFonts w:ascii="Arial Narrow" w:hAnsi="Arial Narrow"/>
                <w:b/>
                <w:bCs/>
                <w:sz w:val="16"/>
              </w:rPr>
            </w:pPr>
            <w:r>
              <w:rPr>
                <w:rFonts w:ascii="Arial Narrow" w:hAnsi="Arial Narrow"/>
                <w:b/>
                <w:bCs/>
                <w:sz w:val="16"/>
              </w:rPr>
              <w:t>2013</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73914" w:rsidRPr="0015043C" w:rsidRDefault="00973914" w:rsidP="003F7B07">
            <w:pPr>
              <w:spacing w:before="60" w:after="60"/>
              <w:jc w:val="center"/>
              <w:rPr>
                <w:rFonts w:ascii="Arial Narrow" w:hAnsi="Arial Narrow"/>
                <w:b/>
                <w:bCs/>
                <w:sz w:val="16"/>
              </w:rPr>
            </w:pPr>
            <w:r>
              <w:rPr>
                <w:rFonts w:ascii="Arial Narrow" w:hAnsi="Arial Narrow"/>
                <w:b/>
                <w:bCs/>
                <w:sz w:val="16"/>
              </w:rPr>
              <w:t>2014</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73914" w:rsidRPr="0015043C" w:rsidRDefault="00973914" w:rsidP="003F7B07">
            <w:pPr>
              <w:spacing w:before="60" w:after="60"/>
              <w:jc w:val="center"/>
              <w:rPr>
                <w:rFonts w:ascii="Arial Narrow" w:hAnsi="Arial Narrow"/>
                <w:b/>
                <w:bCs/>
                <w:sz w:val="16"/>
              </w:rPr>
            </w:pPr>
            <w:r>
              <w:rPr>
                <w:rFonts w:ascii="Arial Narrow" w:hAnsi="Arial Narrow"/>
                <w:b/>
                <w:bCs/>
                <w:sz w:val="16"/>
              </w:rPr>
              <w:t>2015</w:t>
            </w:r>
          </w:p>
        </w:tc>
        <w:tc>
          <w:tcPr>
            <w:tcW w:w="1080" w:type="dxa"/>
            <w:tcBorders>
              <w:top w:val="single" w:sz="4" w:space="0" w:color="auto"/>
              <w:left w:val="single" w:sz="4" w:space="0" w:color="auto"/>
              <w:bottom w:val="single" w:sz="4" w:space="0" w:color="auto"/>
              <w:right w:val="single" w:sz="4" w:space="0" w:color="auto"/>
            </w:tcBorders>
            <w:vAlign w:val="bottom"/>
          </w:tcPr>
          <w:p w:rsidR="00973914" w:rsidRPr="0015043C" w:rsidRDefault="00973914" w:rsidP="003F7B07">
            <w:pPr>
              <w:spacing w:before="60" w:after="60"/>
              <w:jc w:val="center"/>
              <w:rPr>
                <w:rFonts w:ascii="Arial Narrow" w:hAnsi="Arial Narrow"/>
                <w:b/>
                <w:bCs/>
                <w:sz w:val="16"/>
              </w:rPr>
            </w:pPr>
            <w:r>
              <w:rPr>
                <w:rFonts w:ascii="Arial Narrow" w:hAnsi="Arial Narrow"/>
                <w:b/>
                <w:bCs/>
                <w:sz w:val="16"/>
              </w:rPr>
              <w:t>2016</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73914" w:rsidRPr="0015043C" w:rsidRDefault="00973914" w:rsidP="003F7B07">
            <w:pPr>
              <w:spacing w:before="60" w:after="60"/>
              <w:jc w:val="center"/>
              <w:rPr>
                <w:rFonts w:ascii="Arial Narrow" w:hAnsi="Arial Narrow"/>
                <w:b/>
                <w:bCs/>
                <w:sz w:val="16"/>
              </w:rPr>
            </w:pPr>
            <w:r>
              <w:rPr>
                <w:rFonts w:ascii="Arial Narrow" w:hAnsi="Arial Narrow"/>
                <w:b/>
                <w:bCs/>
                <w:sz w:val="16"/>
              </w:rPr>
              <w:t>2017*</w:t>
            </w:r>
          </w:p>
        </w:tc>
        <w:tc>
          <w:tcPr>
            <w:tcW w:w="868" w:type="dxa"/>
            <w:tcBorders>
              <w:top w:val="single" w:sz="4" w:space="0" w:color="auto"/>
              <w:left w:val="single" w:sz="4" w:space="0" w:color="auto"/>
              <w:bottom w:val="single" w:sz="4" w:space="0" w:color="auto"/>
              <w:right w:val="single" w:sz="4" w:space="0" w:color="auto"/>
            </w:tcBorders>
            <w:vAlign w:val="bottom"/>
          </w:tcPr>
          <w:p w:rsidR="00973914" w:rsidRPr="0015043C" w:rsidRDefault="00973914" w:rsidP="00451ECA">
            <w:pPr>
              <w:spacing w:before="60" w:after="60"/>
              <w:jc w:val="center"/>
              <w:rPr>
                <w:rFonts w:ascii="Arial Narrow" w:hAnsi="Arial Narrow"/>
                <w:b/>
                <w:bCs/>
                <w:sz w:val="16"/>
              </w:rPr>
            </w:pPr>
            <w:r>
              <w:rPr>
                <w:rFonts w:ascii="Arial Narrow" w:hAnsi="Arial Narrow"/>
                <w:b/>
                <w:bCs/>
                <w:sz w:val="16"/>
              </w:rPr>
              <w:t>2018**</w:t>
            </w:r>
          </w:p>
        </w:tc>
      </w:tr>
      <w:tr w:rsidR="00973914" w:rsidRPr="0015043C" w:rsidTr="004667A7">
        <w:trPr>
          <w:trHeight w:val="170"/>
          <w:jc w:val="center"/>
        </w:trPr>
        <w:tc>
          <w:tcPr>
            <w:tcW w:w="2885" w:type="dxa"/>
            <w:tcBorders>
              <w:left w:val="single" w:sz="4" w:space="0" w:color="auto"/>
            </w:tcBorders>
            <w:noWrap/>
            <w:tcMar>
              <w:top w:w="15" w:type="dxa"/>
              <w:left w:w="15" w:type="dxa"/>
              <w:bottom w:w="0" w:type="dxa"/>
              <w:right w:w="15" w:type="dxa"/>
            </w:tcMar>
            <w:vAlign w:val="bottom"/>
          </w:tcPr>
          <w:p w:rsidR="00973914" w:rsidRPr="00286FEA" w:rsidRDefault="00973914" w:rsidP="00451ECA">
            <w:pPr>
              <w:spacing w:before="40" w:after="40"/>
              <w:jc w:val="both"/>
              <w:rPr>
                <w:rFonts w:ascii="Arial Narrow" w:hAnsi="Arial Narrow"/>
                <w:bCs/>
                <w:sz w:val="16"/>
              </w:rPr>
            </w:pPr>
            <w:r>
              <w:rPr>
                <w:rFonts w:ascii="Arial Narrow" w:hAnsi="Arial Narrow"/>
                <w:bCs/>
                <w:sz w:val="16"/>
              </w:rPr>
              <w:t>Τόκοι</w:t>
            </w:r>
          </w:p>
        </w:tc>
        <w:tc>
          <w:tcPr>
            <w:tcW w:w="1152" w:type="dxa"/>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6.021</w:t>
            </w:r>
          </w:p>
        </w:tc>
        <w:tc>
          <w:tcPr>
            <w:tcW w:w="1080" w:type="dxa"/>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5.528</w:t>
            </w:r>
          </w:p>
        </w:tc>
        <w:tc>
          <w:tcPr>
            <w:tcW w:w="1080" w:type="dxa"/>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5.800</w:t>
            </w:r>
          </w:p>
        </w:tc>
        <w:tc>
          <w:tcPr>
            <w:tcW w:w="1080" w:type="dxa"/>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5.588</w:t>
            </w:r>
          </w:p>
        </w:tc>
        <w:tc>
          <w:tcPr>
            <w:tcW w:w="1080" w:type="dxa"/>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6.000</w:t>
            </w:r>
          </w:p>
        </w:tc>
        <w:tc>
          <w:tcPr>
            <w:tcW w:w="868" w:type="dxa"/>
            <w:tcBorders>
              <w:right w:val="single" w:sz="4" w:space="0" w:color="auto"/>
            </w:tcBorders>
            <w:vAlign w:val="center"/>
          </w:tcPr>
          <w:p w:rsidR="00973914" w:rsidRDefault="00973914" w:rsidP="004667A7">
            <w:pPr>
              <w:jc w:val="center"/>
              <w:rPr>
                <w:rFonts w:ascii="Arial Narrow" w:hAnsi="Arial Narrow" w:cs="Arial"/>
                <w:sz w:val="16"/>
                <w:szCs w:val="16"/>
              </w:rPr>
            </w:pPr>
            <w:r>
              <w:rPr>
                <w:rFonts w:ascii="Arial Narrow" w:hAnsi="Arial Narrow" w:cs="Arial"/>
                <w:sz w:val="16"/>
                <w:szCs w:val="16"/>
              </w:rPr>
              <w:t>5.200</w:t>
            </w:r>
          </w:p>
        </w:tc>
      </w:tr>
      <w:tr w:rsidR="00973914" w:rsidRPr="0015043C" w:rsidTr="004667A7">
        <w:trPr>
          <w:trHeight w:val="170"/>
          <w:jc w:val="center"/>
        </w:trPr>
        <w:tc>
          <w:tcPr>
            <w:tcW w:w="2885" w:type="dxa"/>
            <w:tcBorders>
              <w:left w:val="single" w:sz="4" w:space="0" w:color="auto"/>
              <w:bottom w:val="single" w:sz="4" w:space="0" w:color="auto"/>
            </w:tcBorders>
            <w:noWrap/>
            <w:tcMar>
              <w:top w:w="15" w:type="dxa"/>
              <w:left w:w="15" w:type="dxa"/>
              <w:bottom w:w="0" w:type="dxa"/>
              <w:right w:w="15" w:type="dxa"/>
            </w:tcMar>
            <w:vAlign w:val="bottom"/>
          </w:tcPr>
          <w:p w:rsidR="00973914" w:rsidRPr="00286FEA" w:rsidRDefault="00973914" w:rsidP="00451ECA">
            <w:pPr>
              <w:spacing w:before="40" w:after="40"/>
              <w:jc w:val="both"/>
              <w:rPr>
                <w:rFonts w:ascii="Arial Narrow" w:hAnsi="Arial Narrow"/>
                <w:sz w:val="16"/>
              </w:rPr>
            </w:pPr>
            <w:r>
              <w:rPr>
                <w:rFonts w:ascii="Arial Narrow" w:hAnsi="Arial Narrow"/>
                <w:sz w:val="16"/>
              </w:rPr>
              <w:t>ως % του ΑΕΠ</w:t>
            </w:r>
          </w:p>
        </w:tc>
        <w:tc>
          <w:tcPr>
            <w:tcW w:w="1152" w:type="dxa"/>
            <w:tcBorders>
              <w:bottom w:val="single" w:sz="4" w:space="0" w:color="auto"/>
            </w:tcBorders>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3,3%</w:t>
            </w:r>
          </w:p>
        </w:tc>
        <w:tc>
          <w:tcPr>
            <w:tcW w:w="1080" w:type="dxa"/>
            <w:tcBorders>
              <w:bottom w:val="single" w:sz="4" w:space="0" w:color="auto"/>
            </w:tcBorders>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3,1%</w:t>
            </w:r>
          </w:p>
        </w:tc>
        <w:tc>
          <w:tcPr>
            <w:tcW w:w="1080" w:type="dxa"/>
            <w:tcBorders>
              <w:bottom w:val="single" w:sz="4" w:space="0" w:color="auto"/>
            </w:tcBorders>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3,3%</w:t>
            </w:r>
          </w:p>
        </w:tc>
        <w:tc>
          <w:tcPr>
            <w:tcW w:w="1080" w:type="dxa"/>
            <w:tcBorders>
              <w:bottom w:val="single" w:sz="4" w:space="0" w:color="auto"/>
            </w:tcBorders>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3,2%</w:t>
            </w:r>
          </w:p>
        </w:tc>
        <w:tc>
          <w:tcPr>
            <w:tcW w:w="1080" w:type="dxa"/>
            <w:tcBorders>
              <w:bottom w:val="single" w:sz="4" w:space="0" w:color="auto"/>
            </w:tcBorders>
            <w:noWrap/>
            <w:tcMar>
              <w:top w:w="15" w:type="dxa"/>
              <w:left w:w="15" w:type="dxa"/>
              <w:bottom w:w="0" w:type="dxa"/>
              <w:right w:w="15" w:type="dxa"/>
            </w:tcMar>
            <w:vAlign w:val="center"/>
          </w:tcPr>
          <w:p w:rsidR="00973914" w:rsidRDefault="00973914" w:rsidP="003F7B07">
            <w:pPr>
              <w:jc w:val="center"/>
              <w:rPr>
                <w:rFonts w:ascii="Arial Narrow" w:hAnsi="Arial Narrow" w:cs="Arial"/>
                <w:sz w:val="16"/>
                <w:szCs w:val="16"/>
              </w:rPr>
            </w:pPr>
            <w:r>
              <w:rPr>
                <w:rFonts w:ascii="Arial Narrow" w:hAnsi="Arial Narrow" w:cs="Arial"/>
                <w:sz w:val="16"/>
                <w:szCs w:val="16"/>
              </w:rPr>
              <w:t>3,4%</w:t>
            </w:r>
          </w:p>
        </w:tc>
        <w:tc>
          <w:tcPr>
            <w:tcW w:w="868" w:type="dxa"/>
            <w:tcBorders>
              <w:bottom w:val="single" w:sz="4" w:space="0" w:color="auto"/>
              <w:right w:val="single" w:sz="4" w:space="0" w:color="auto"/>
            </w:tcBorders>
            <w:vAlign w:val="center"/>
          </w:tcPr>
          <w:p w:rsidR="00973914" w:rsidRDefault="00973914" w:rsidP="004667A7">
            <w:pPr>
              <w:jc w:val="center"/>
              <w:rPr>
                <w:rFonts w:ascii="Arial Narrow" w:hAnsi="Arial Narrow" w:cs="Arial"/>
                <w:sz w:val="16"/>
                <w:szCs w:val="16"/>
              </w:rPr>
            </w:pPr>
            <w:r>
              <w:rPr>
                <w:rFonts w:ascii="Arial Narrow" w:hAnsi="Arial Narrow" w:cs="Arial"/>
                <w:sz w:val="16"/>
                <w:szCs w:val="16"/>
              </w:rPr>
              <w:t>2,8%</w:t>
            </w:r>
          </w:p>
        </w:tc>
      </w:tr>
    </w:tbl>
    <w:p w:rsidR="000D0A85" w:rsidRPr="0015043C" w:rsidRDefault="000D0A85" w:rsidP="000D0A85">
      <w:pPr>
        <w:tabs>
          <w:tab w:val="left" w:pos="1660"/>
          <w:tab w:val="left" w:pos="2740"/>
          <w:tab w:val="left" w:pos="3820"/>
          <w:tab w:val="left" w:pos="4900"/>
          <w:tab w:val="left" w:pos="5980"/>
          <w:tab w:val="left" w:pos="7060"/>
        </w:tabs>
        <w:rPr>
          <w:rFonts w:ascii="Arial Narrow" w:hAnsi="Arial Narrow"/>
          <w:sz w:val="16"/>
          <w:szCs w:val="16"/>
        </w:rPr>
      </w:pPr>
      <w:r w:rsidRPr="0015043C">
        <w:rPr>
          <w:rFonts w:ascii="Arial Narrow" w:hAnsi="Arial Narrow"/>
          <w:sz w:val="16"/>
          <w:szCs w:val="16"/>
        </w:rPr>
        <w:t xml:space="preserve"> *  Εκτιμήσεις     **  Προβλέψεις</w:t>
      </w:r>
    </w:p>
    <w:p w:rsidR="000D0A85" w:rsidRDefault="000D0A85" w:rsidP="000D0A85">
      <w:pPr>
        <w:tabs>
          <w:tab w:val="left" w:pos="180"/>
        </w:tabs>
        <w:jc w:val="both"/>
        <w:rPr>
          <w:rFonts w:ascii="Arial Narrow" w:hAnsi="Arial Narrow"/>
          <w:sz w:val="16"/>
          <w:szCs w:val="16"/>
        </w:rPr>
      </w:pPr>
      <w:bookmarkStart w:id="0" w:name="OLE_LINK1"/>
      <w:bookmarkStart w:id="1" w:name="OLE_LINK2"/>
      <w:r w:rsidRPr="0015043C">
        <w:rPr>
          <w:rFonts w:ascii="Arial Narrow" w:hAnsi="Arial Narrow"/>
          <w:sz w:val="16"/>
          <w:szCs w:val="16"/>
        </w:rPr>
        <w:t xml:space="preserve">Πηγή:  </w:t>
      </w:r>
      <w:r w:rsidR="004667A7">
        <w:rPr>
          <w:rFonts w:ascii="Arial Narrow" w:hAnsi="Arial Narrow"/>
          <w:sz w:val="16"/>
          <w:szCs w:val="16"/>
        </w:rPr>
        <w:t>ΟΔΔΗΧ</w:t>
      </w:r>
    </w:p>
    <w:p w:rsidR="000D0A85" w:rsidRDefault="000D0A85" w:rsidP="000D0A85">
      <w:pPr>
        <w:tabs>
          <w:tab w:val="left" w:pos="180"/>
        </w:tabs>
        <w:jc w:val="both"/>
        <w:rPr>
          <w:rFonts w:ascii="Arial Narrow" w:hAnsi="Arial Narrow"/>
          <w:sz w:val="16"/>
          <w:szCs w:val="16"/>
        </w:rPr>
      </w:pPr>
    </w:p>
    <w:p w:rsidR="000D0A85" w:rsidRDefault="000D0A85" w:rsidP="000D0A85">
      <w:pPr>
        <w:tabs>
          <w:tab w:val="left" w:pos="180"/>
        </w:tabs>
        <w:jc w:val="both"/>
        <w:rPr>
          <w:rFonts w:ascii="Arial Narrow" w:hAnsi="Arial Narrow"/>
          <w:sz w:val="16"/>
          <w:szCs w:val="16"/>
        </w:rPr>
      </w:pPr>
    </w:p>
    <w:tbl>
      <w:tblPr>
        <w:tblW w:w="7989" w:type="dxa"/>
        <w:jc w:val="center"/>
        <w:tblLayout w:type="fixed"/>
        <w:tblLook w:val="00A0"/>
      </w:tblPr>
      <w:tblGrid>
        <w:gridCol w:w="7989"/>
      </w:tblGrid>
      <w:tr w:rsidR="000D0A85" w:rsidRPr="0015043C" w:rsidTr="00451ECA">
        <w:trPr>
          <w:jc w:val="center"/>
        </w:trPr>
        <w:tc>
          <w:tcPr>
            <w:tcW w:w="7989" w:type="dxa"/>
            <w:shd w:val="clear" w:color="auto" w:fill="404040" w:themeFill="text1" w:themeFillTint="BF"/>
          </w:tcPr>
          <w:bookmarkEnd w:id="0"/>
          <w:bookmarkEnd w:id="1"/>
          <w:p w:rsidR="000D0A85" w:rsidRPr="0015043C" w:rsidRDefault="000D0A85" w:rsidP="00451ECA">
            <w:pPr>
              <w:pStyle w:val="6"/>
              <w:spacing w:before="120"/>
              <w:rPr>
                <w:color w:val="FFFFFF"/>
                <w:sz w:val="24"/>
                <w:szCs w:val="24"/>
              </w:rPr>
            </w:pPr>
            <w:r>
              <w:rPr>
                <w:color w:val="FFFFFF"/>
                <w:sz w:val="24"/>
                <w:szCs w:val="24"/>
              </w:rPr>
              <w:t>Διάγραμμα 4.3</w:t>
            </w:r>
            <w:r w:rsidRPr="0015043C">
              <w:rPr>
                <w:color w:val="FFFFFF"/>
                <w:sz w:val="24"/>
                <w:szCs w:val="24"/>
              </w:rPr>
              <w:t xml:space="preserve">  Δαπάνες για τόκους χρέους Κεντρικής </w:t>
            </w:r>
            <w:r>
              <w:rPr>
                <w:color w:val="FFFFFF"/>
                <w:sz w:val="24"/>
                <w:szCs w:val="24"/>
              </w:rPr>
              <w:t>Διοίκησης</w:t>
            </w:r>
          </w:p>
          <w:p w:rsidR="000D0A85" w:rsidRPr="0015043C" w:rsidRDefault="000D0A85" w:rsidP="00451ECA">
            <w:pPr>
              <w:spacing w:after="120"/>
              <w:jc w:val="center"/>
              <w:rPr>
                <w:rFonts w:ascii="Arial Narrow" w:hAnsi="Arial Narrow"/>
                <w:color w:val="FFFFFF"/>
              </w:rPr>
            </w:pPr>
            <w:r w:rsidRPr="0015043C">
              <w:rPr>
                <w:rFonts w:ascii="Arial Narrow" w:hAnsi="Arial Narrow"/>
                <w:b/>
                <w:color w:val="FFFFFF"/>
              </w:rPr>
              <w:t>(% του ΑΕΠ)</w:t>
            </w:r>
          </w:p>
        </w:tc>
      </w:tr>
      <w:tr w:rsidR="000D0A85" w:rsidRPr="0015043C" w:rsidTr="00451ECA">
        <w:trPr>
          <w:jc w:val="center"/>
        </w:trPr>
        <w:tc>
          <w:tcPr>
            <w:tcW w:w="7989" w:type="dxa"/>
            <w:shd w:val="clear" w:color="auto" w:fill="auto"/>
          </w:tcPr>
          <w:p w:rsidR="000D0A85" w:rsidRPr="0015043C" w:rsidRDefault="003B282D" w:rsidP="00451ECA">
            <w:pPr>
              <w:jc w:val="center"/>
            </w:pPr>
            <w:r w:rsidRPr="003B282D">
              <w:rPr>
                <w:noProof/>
              </w:rPr>
              <w:drawing>
                <wp:inline distT="0" distB="0" distL="0" distR="0">
                  <wp:extent cx="4821767" cy="3255433"/>
                  <wp:effectExtent l="0" t="0" r="0" b="0"/>
                  <wp:docPr id="1"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0D0A85" w:rsidRPr="0015043C" w:rsidRDefault="000D0A85" w:rsidP="000D0A85">
      <w:pPr>
        <w:tabs>
          <w:tab w:val="left" w:pos="1660"/>
          <w:tab w:val="left" w:pos="2740"/>
          <w:tab w:val="left" w:pos="3820"/>
          <w:tab w:val="left" w:pos="4900"/>
          <w:tab w:val="left" w:pos="5980"/>
          <w:tab w:val="left" w:pos="7060"/>
        </w:tabs>
        <w:ind w:firstLine="180"/>
        <w:rPr>
          <w:rFonts w:ascii="Arial Narrow" w:hAnsi="Arial Narrow"/>
          <w:sz w:val="16"/>
          <w:szCs w:val="16"/>
        </w:rPr>
      </w:pPr>
      <w:r w:rsidRPr="0015043C">
        <w:rPr>
          <w:rFonts w:ascii="Arial Narrow" w:hAnsi="Arial Narrow"/>
          <w:sz w:val="16"/>
          <w:szCs w:val="16"/>
        </w:rPr>
        <w:t xml:space="preserve">         *  Εκτιμήσεις    **  Προβλέψεις</w:t>
      </w:r>
    </w:p>
    <w:p w:rsidR="000D0A85" w:rsidRPr="00D36E90" w:rsidRDefault="000D0A85" w:rsidP="000D0A85">
      <w:pPr>
        <w:tabs>
          <w:tab w:val="left" w:pos="180"/>
        </w:tabs>
        <w:jc w:val="both"/>
        <w:rPr>
          <w:rFonts w:ascii="Arial Narrow" w:hAnsi="Arial Narrow"/>
          <w:sz w:val="16"/>
          <w:szCs w:val="16"/>
        </w:rPr>
      </w:pPr>
      <w:r w:rsidRPr="00D36E90">
        <w:rPr>
          <w:rFonts w:ascii="Arial Narrow" w:hAnsi="Arial Narrow"/>
          <w:sz w:val="16"/>
          <w:szCs w:val="16"/>
        </w:rPr>
        <w:t xml:space="preserve">             Πηγή:  </w:t>
      </w:r>
      <w:r w:rsidR="00412F33">
        <w:rPr>
          <w:rFonts w:ascii="Arial Narrow" w:hAnsi="Arial Narrow"/>
          <w:sz w:val="16"/>
          <w:szCs w:val="16"/>
        </w:rPr>
        <w:t>ΟΔΔΗΧ</w:t>
      </w:r>
    </w:p>
    <w:p w:rsidR="000D0A85" w:rsidRDefault="000D0A85" w:rsidP="000D0A85">
      <w:pPr>
        <w:tabs>
          <w:tab w:val="left" w:pos="180"/>
        </w:tabs>
        <w:jc w:val="both"/>
        <w:rPr>
          <w:sz w:val="16"/>
          <w:szCs w:val="16"/>
        </w:rPr>
      </w:pPr>
    </w:p>
    <w:p w:rsidR="001B0B9D" w:rsidRDefault="001B0B9D" w:rsidP="000D0A85">
      <w:pPr>
        <w:tabs>
          <w:tab w:val="left" w:pos="180"/>
        </w:tabs>
        <w:jc w:val="both"/>
        <w:rPr>
          <w:sz w:val="16"/>
          <w:szCs w:val="16"/>
        </w:rPr>
      </w:pPr>
    </w:p>
    <w:p w:rsidR="006E6670" w:rsidRPr="009C2F54" w:rsidRDefault="006E6670" w:rsidP="006E6670">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5</w:t>
      </w:r>
      <w:r w:rsidRPr="009C2F54">
        <w:rPr>
          <w:rFonts w:ascii="Arial Narrow" w:hAnsi="Arial Narrow"/>
          <w:b/>
          <w:bCs/>
          <w:color w:val="FFFFFF"/>
          <w:sz w:val="26"/>
          <w:szCs w:val="22"/>
        </w:rPr>
        <w:t>.</w:t>
      </w:r>
      <w:r w:rsidRPr="009C2F54">
        <w:rPr>
          <w:rFonts w:ascii="Arial Narrow" w:hAnsi="Arial Narrow"/>
          <w:b/>
          <w:bCs/>
          <w:color w:val="FFFFFF"/>
          <w:sz w:val="26"/>
          <w:szCs w:val="22"/>
        </w:rPr>
        <w:tab/>
      </w:r>
      <w:r>
        <w:rPr>
          <w:rFonts w:ascii="Arial Narrow" w:hAnsi="Arial Narrow"/>
          <w:b/>
          <w:bCs/>
          <w:color w:val="FFFFFF"/>
          <w:sz w:val="26"/>
          <w:szCs w:val="22"/>
        </w:rPr>
        <w:t>Η ενοποιημένη αγορά ευρωομολόγων</w:t>
      </w:r>
    </w:p>
    <w:p w:rsidR="006E6670" w:rsidRPr="006E6670" w:rsidRDefault="006E6670" w:rsidP="000D0A85">
      <w:pPr>
        <w:tabs>
          <w:tab w:val="left" w:pos="180"/>
        </w:tabs>
        <w:jc w:val="both"/>
        <w:rPr>
          <w:sz w:val="22"/>
          <w:szCs w:val="22"/>
        </w:rPr>
      </w:pPr>
    </w:p>
    <w:p w:rsidR="00492CB8" w:rsidRPr="00492CB8" w:rsidRDefault="00492CB8" w:rsidP="00492CB8">
      <w:pPr>
        <w:jc w:val="both"/>
        <w:rPr>
          <w:bCs/>
          <w:sz w:val="22"/>
          <w:szCs w:val="22"/>
        </w:rPr>
      </w:pPr>
      <w:proofErr w:type="gramStart"/>
      <w:r w:rsidRPr="00492CB8">
        <w:rPr>
          <w:bCs/>
          <w:sz w:val="22"/>
          <w:szCs w:val="22"/>
          <w:lang w:val="en-US"/>
        </w:rPr>
        <w:t>To</w:t>
      </w:r>
      <w:r w:rsidRPr="00492CB8">
        <w:rPr>
          <w:bCs/>
          <w:sz w:val="22"/>
          <w:szCs w:val="22"/>
        </w:rPr>
        <w:t xml:space="preserve"> πρόγραμμα ποσοτικής χαλάρωσης (</w:t>
      </w:r>
      <w:r w:rsidRPr="00492CB8">
        <w:rPr>
          <w:bCs/>
          <w:sz w:val="22"/>
          <w:szCs w:val="22"/>
          <w:lang w:val="en-US"/>
        </w:rPr>
        <w:t>quantitative</w:t>
      </w:r>
      <w:r w:rsidRPr="00492CB8">
        <w:rPr>
          <w:bCs/>
          <w:sz w:val="22"/>
          <w:szCs w:val="22"/>
        </w:rPr>
        <w:t xml:space="preserve"> </w:t>
      </w:r>
      <w:r w:rsidRPr="00492CB8">
        <w:rPr>
          <w:bCs/>
          <w:sz w:val="22"/>
          <w:szCs w:val="22"/>
          <w:lang w:val="en-US"/>
        </w:rPr>
        <w:t>easing</w:t>
      </w:r>
      <w:r w:rsidRPr="00492CB8">
        <w:rPr>
          <w:bCs/>
          <w:sz w:val="22"/>
          <w:szCs w:val="22"/>
        </w:rPr>
        <w:t>) της Ευρωπαϊκής Κεντρικής Τράπεζας σ</w:t>
      </w:r>
      <w:r w:rsidRPr="00492CB8">
        <w:rPr>
          <w:bCs/>
          <w:sz w:val="22"/>
          <w:szCs w:val="22"/>
        </w:rPr>
        <w:t>υ</w:t>
      </w:r>
      <w:r>
        <w:rPr>
          <w:bCs/>
          <w:sz w:val="22"/>
          <w:szCs w:val="22"/>
        </w:rPr>
        <w:t>νεχίζεται καθ</w:t>
      </w:r>
      <w:r w:rsidR="00E203C9">
        <w:rPr>
          <w:bCs/>
          <w:sz w:val="22"/>
          <w:szCs w:val="22"/>
        </w:rPr>
        <w:t xml:space="preserve">’ </w:t>
      </w:r>
      <w:r w:rsidRPr="00492CB8">
        <w:rPr>
          <w:bCs/>
          <w:sz w:val="22"/>
          <w:szCs w:val="22"/>
        </w:rPr>
        <w:t>όλη τη διάρκεια του 2017 με μηνιαίες αγορές ομολόγων ύψους 60 δισ.</w:t>
      </w:r>
      <w:proofErr w:type="gramEnd"/>
      <w:r w:rsidRPr="00492CB8">
        <w:rPr>
          <w:bCs/>
          <w:sz w:val="22"/>
          <w:szCs w:val="22"/>
        </w:rPr>
        <w:t xml:space="preserve"> ευρώ, ενώ οι συνολικές αγορές κρατικών χρεογράφων από την έναρξη του προγράμματος, τον Μάρτιο του 2015, έχουν ήδη ξεπεράσει τα 2 </w:t>
      </w:r>
      <w:proofErr w:type="spellStart"/>
      <w:r w:rsidRPr="00492CB8">
        <w:rPr>
          <w:bCs/>
          <w:sz w:val="22"/>
          <w:szCs w:val="22"/>
        </w:rPr>
        <w:t>τρισ</w:t>
      </w:r>
      <w:proofErr w:type="spellEnd"/>
      <w:r w:rsidRPr="00492CB8">
        <w:rPr>
          <w:bCs/>
          <w:sz w:val="22"/>
          <w:szCs w:val="22"/>
        </w:rPr>
        <w:t>. ευρώ. Αξιοσημείωτο είναι ότι για τις χώρες του στενού πυρήνα της ευρωζώνης οι αποδόσεις των δεκαετών ομολόγων διαμορφώνονται κάτω του 1%, ενώ το σύνολο σχ</w:t>
      </w:r>
      <w:r w:rsidRPr="00492CB8">
        <w:rPr>
          <w:bCs/>
          <w:sz w:val="22"/>
          <w:szCs w:val="22"/>
        </w:rPr>
        <w:t>ε</w:t>
      </w:r>
      <w:r w:rsidRPr="00492CB8">
        <w:rPr>
          <w:bCs/>
          <w:sz w:val="22"/>
          <w:szCs w:val="22"/>
        </w:rPr>
        <w:t>δόν του βραχυπρόθεσμου και μεσοπρόθεσμου χρέους τους παρουσιάζει αρνητικές αποδόσεις.</w:t>
      </w:r>
    </w:p>
    <w:p w:rsidR="000D0A85" w:rsidRPr="006E6670" w:rsidRDefault="000D0A85" w:rsidP="000D0A85">
      <w:pPr>
        <w:jc w:val="both"/>
        <w:rPr>
          <w:sz w:val="22"/>
          <w:szCs w:val="22"/>
        </w:rPr>
      </w:pPr>
    </w:p>
    <w:p w:rsidR="000D0A85" w:rsidRPr="009C2F54" w:rsidRDefault="00434FB2" w:rsidP="000D0A85">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6</w:t>
      </w:r>
      <w:r w:rsidR="000D0A85" w:rsidRPr="009C2F54">
        <w:rPr>
          <w:rFonts w:ascii="Arial Narrow" w:hAnsi="Arial Narrow"/>
          <w:b/>
          <w:bCs/>
          <w:color w:val="FFFFFF"/>
          <w:sz w:val="26"/>
          <w:szCs w:val="22"/>
        </w:rPr>
        <w:t>.</w:t>
      </w:r>
      <w:r w:rsidR="000D0A85" w:rsidRPr="009C2F54">
        <w:rPr>
          <w:rFonts w:ascii="Arial Narrow" w:hAnsi="Arial Narrow"/>
          <w:b/>
          <w:bCs/>
          <w:color w:val="FFFFFF"/>
          <w:sz w:val="26"/>
          <w:szCs w:val="22"/>
        </w:rPr>
        <w:tab/>
      </w:r>
      <w:r w:rsidR="000D0A85">
        <w:rPr>
          <w:rFonts w:ascii="Arial Narrow" w:hAnsi="Arial Narrow"/>
          <w:b/>
          <w:bCs/>
          <w:color w:val="FFFFFF"/>
          <w:sz w:val="26"/>
          <w:szCs w:val="22"/>
        </w:rPr>
        <w:t xml:space="preserve">Αγορά </w:t>
      </w:r>
      <w:r w:rsidR="000D0A85" w:rsidRPr="009C2F54">
        <w:rPr>
          <w:rFonts w:ascii="Arial Narrow" w:hAnsi="Arial Narrow"/>
          <w:b/>
          <w:bCs/>
          <w:color w:val="FFFFFF"/>
          <w:sz w:val="26"/>
          <w:szCs w:val="22"/>
        </w:rPr>
        <w:t>τίτλων του Ελληνικού Δημοσίου</w:t>
      </w:r>
    </w:p>
    <w:p w:rsidR="000D0A85" w:rsidRDefault="000D0A85" w:rsidP="000D0A85">
      <w:pPr>
        <w:jc w:val="both"/>
        <w:rPr>
          <w:sz w:val="20"/>
          <w:szCs w:val="22"/>
        </w:rPr>
      </w:pPr>
    </w:p>
    <w:p w:rsidR="00492CB8" w:rsidRPr="00492CB8" w:rsidRDefault="00492CB8" w:rsidP="00492CB8">
      <w:pPr>
        <w:pStyle w:val="a9"/>
        <w:tabs>
          <w:tab w:val="left" w:pos="9355"/>
        </w:tabs>
        <w:jc w:val="both"/>
        <w:rPr>
          <w:bCs/>
          <w:sz w:val="22"/>
          <w:szCs w:val="22"/>
        </w:rPr>
      </w:pPr>
      <w:r w:rsidRPr="00492CB8">
        <w:rPr>
          <w:bCs/>
          <w:sz w:val="22"/>
          <w:szCs w:val="22"/>
        </w:rPr>
        <w:t>Βελτιωμένο παρουσιάζεται το βραχυχρόνιο κόστος δανεισμού του Ελληνικού Δημοσίου, όπως αυτό αποτυπώνεται στις δημοπρασίες εντόκων γραμματίων 13 και 26 εβδομάδων. Στις δημοπρασίες του Νοεμβρίου του 2017 αυτό διαμορφώθηκε στο 2,30% για τα εξάμηνα και 1,80% για τα τρίμηνα έντοκα γραμμάτια, γεγονός που οφείλεται στη βελτίωση του επενδυτικού κλίματος μετά την ολοκλήρωση της δεύτερης αξιολόγησης και την εκταμίευση της δόσης από τον ESM, καθώς επίσης και στη βελτίωση του σχήματος της ελληνικής καμπύλης αποδόσεων μετά την πρόσφατη έξοδο της χώρας στις αγορές. Τα επιτόκια των εντόκων γραμματίων αναμένεται να υποχωρήσουν περαιτέρω το προσεχές διάστημα.</w:t>
      </w:r>
    </w:p>
    <w:p w:rsidR="00492CB8" w:rsidRPr="00492CB8" w:rsidRDefault="00492CB8" w:rsidP="00492CB8">
      <w:pPr>
        <w:pStyle w:val="a9"/>
        <w:tabs>
          <w:tab w:val="left" w:pos="9355"/>
        </w:tabs>
        <w:jc w:val="both"/>
        <w:rPr>
          <w:bCs/>
          <w:sz w:val="22"/>
          <w:szCs w:val="22"/>
        </w:rPr>
      </w:pPr>
      <w:r w:rsidRPr="00492CB8">
        <w:rPr>
          <w:bCs/>
          <w:sz w:val="22"/>
          <w:szCs w:val="22"/>
        </w:rPr>
        <w:t>Η καμπύλη αποδόσεων του Ελληνικού Δημοσίου έχει θετική κλίση (</w:t>
      </w:r>
      <w:proofErr w:type="spellStart"/>
      <w:r w:rsidRPr="00492CB8">
        <w:rPr>
          <w:bCs/>
          <w:sz w:val="22"/>
          <w:szCs w:val="22"/>
        </w:rPr>
        <w:t>steepening</w:t>
      </w:r>
      <w:proofErr w:type="spellEnd"/>
      <w:r w:rsidRPr="00492CB8">
        <w:rPr>
          <w:bCs/>
          <w:sz w:val="22"/>
          <w:szCs w:val="22"/>
        </w:rPr>
        <w:t xml:space="preserve"> </w:t>
      </w:r>
      <w:proofErr w:type="spellStart"/>
      <w:r w:rsidRPr="00492CB8">
        <w:rPr>
          <w:bCs/>
          <w:sz w:val="22"/>
          <w:szCs w:val="22"/>
        </w:rPr>
        <w:t>curve</w:t>
      </w:r>
      <w:proofErr w:type="spellEnd"/>
      <w:r w:rsidRPr="00492CB8">
        <w:rPr>
          <w:bCs/>
          <w:sz w:val="22"/>
          <w:szCs w:val="22"/>
        </w:rPr>
        <w:t>) για μεσοπρ</w:t>
      </w:r>
      <w:r w:rsidRPr="00492CB8">
        <w:rPr>
          <w:bCs/>
          <w:sz w:val="22"/>
          <w:szCs w:val="22"/>
        </w:rPr>
        <w:t>ό</w:t>
      </w:r>
      <w:r w:rsidRPr="00492CB8">
        <w:rPr>
          <w:bCs/>
          <w:sz w:val="22"/>
          <w:szCs w:val="22"/>
        </w:rPr>
        <w:t>θεσμες διάρκειες, καθώς και για μακροπρόθεσμες διάρκειες μέχρι 20 έτη, ενώ στη συνέχεια παρο</w:t>
      </w:r>
      <w:r w:rsidRPr="00492CB8">
        <w:rPr>
          <w:bCs/>
          <w:sz w:val="22"/>
          <w:szCs w:val="22"/>
        </w:rPr>
        <w:t>υ</w:t>
      </w:r>
      <w:r w:rsidRPr="00492CB8">
        <w:rPr>
          <w:bCs/>
          <w:sz w:val="22"/>
          <w:szCs w:val="22"/>
        </w:rPr>
        <w:t>σιάζει ελαφρά καθοδική κλίση (διάγραμμα 4.4).</w:t>
      </w:r>
    </w:p>
    <w:p w:rsidR="00A338EA" w:rsidRPr="009D29B2" w:rsidRDefault="00A338EA" w:rsidP="000D0A85">
      <w:pPr>
        <w:pStyle w:val="a9"/>
        <w:tabs>
          <w:tab w:val="left" w:pos="9355"/>
        </w:tabs>
        <w:jc w:val="both"/>
        <w:rPr>
          <w:sz w:val="22"/>
          <w:szCs w:val="22"/>
        </w:rPr>
      </w:pPr>
    </w:p>
    <w:tbl>
      <w:tblPr>
        <w:tblW w:w="0" w:type="auto"/>
        <w:tblLook w:val="01E0"/>
      </w:tblPr>
      <w:tblGrid>
        <w:gridCol w:w="9287"/>
      </w:tblGrid>
      <w:tr w:rsidR="000D0A85" w:rsidRPr="0015043C" w:rsidTr="00451ECA">
        <w:tc>
          <w:tcPr>
            <w:tcW w:w="9287" w:type="dxa"/>
            <w:shd w:val="clear" w:color="auto" w:fill="404040" w:themeFill="text1" w:themeFillTint="BF"/>
          </w:tcPr>
          <w:p w:rsidR="000D0A85" w:rsidRPr="0015043C" w:rsidRDefault="000D0A85" w:rsidP="00E43AFA">
            <w:pPr>
              <w:pStyle w:val="a9"/>
              <w:tabs>
                <w:tab w:val="left" w:pos="9355"/>
              </w:tabs>
              <w:spacing w:before="120"/>
              <w:jc w:val="center"/>
            </w:pPr>
            <w:r>
              <w:rPr>
                <w:rFonts w:ascii="Arial Narrow" w:hAnsi="Arial Narrow"/>
                <w:b/>
                <w:color w:val="FFFFFF"/>
                <w:szCs w:val="22"/>
              </w:rPr>
              <w:t>Διάγραμμα 4.4</w:t>
            </w:r>
            <w:r w:rsidRPr="0015043C">
              <w:rPr>
                <w:rFonts w:ascii="Arial Narrow" w:hAnsi="Arial Narrow"/>
                <w:b/>
                <w:color w:val="FFFFFF"/>
                <w:szCs w:val="22"/>
              </w:rPr>
              <w:t xml:space="preserve">   Καμπύλη αποδόσεων τίτλων Ελληνικού Δημοσίου</w:t>
            </w:r>
          </w:p>
        </w:tc>
      </w:tr>
      <w:tr w:rsidR="000D0A85" w:rsidRPr="0015043C" w:rsidTr="00451ECA">
        <w:tc>
          <w:tcPr>
            <w:tcW w:w="9287" w:type="dxa"/>
          </w:tcPr>
          <w:p w:rsidR="000D0A85" w:rsidRPr="0015043C" w:rsidRDefault="00492CB8" w:rsidP="00451ECA">
            <w:pPr>
              <w:pStyle w:val="a9"/>
              <w:tabs>
                <w:tab w:val="left" w:pos="9355"/>
              </w:tabs>
              <w:spacing w:before="120" w:after="0"/>
              <w:jc w:val="center"/>
            </w:pPr>
            <w:r w:rsidRPr="00492CB8">
              <w:rPr>
                <w:noProof/>
              </w:rPr>
              <w:drawing>
                <wp:inline distT="0" distB="0" distL="0" distR="0">
                  <wp:extent cx="4714875" cy="2533650"/>
                  <wp:effectExtent l="0" t="0" r="0" b="0"/>
                  <wp:docPr id="4"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0D0A85" w:rsidRPr="0015043C" w:rsidRDefault="000D0A85" w:rsidP="000D0A85">
      <w:pPr>
        <w:tabs>
          <w:tab w:val="left" w:pos="180"/>
        </w:tabs>
        <w:jc w:val="both"/>
        <w:rPr>
          <w:rFonts w:ascii="Arial Narrow" w:hAnsi="Arial Narrow"/>
          <w:sz w:val="16"/>
          <w:szCs w:val="16"/>
        </w:rPr>
      </w:pPr>
      <w:bookmarkStart w:id="2" w:name="OLE_LINK5"/>
      <w:bookmarkStart w:id="3" w:name="OLE_LINK6"/>
      <w:r>
        <w:rPr>
          <w:rFonts w:ascii="Arial Narrow" w:hAnsi="Arial Narrow"/>
          <w:sz w:val="16"/>
          <w:szCs w:val="16"/>
        </w:rPr>
        <w:t xml:space="preserve">                   </w:t>
      </w:r>
      <w:r w:rsidRPr="0015043C">
        <w:rPr>
          <w:rFonts w:ascii="Arial Narrow" w:hAnsi="Arial Narrow"/>
          <w:sz w:val="16"/>
          <w:szCs w:val="16"/>
        </w:rPr>
        <w:t xml:space="preserve">Πηγή:  </w:t>
      </w:r>
      <w:r w:rsidR="004F7A1F">
        <w:rPr>
          <w:rFonts w:ascii="Arial Narrow" w:hAnsi="Arial Narrow"/>
          <w:sz w:val="16"/>
          <w:szCs w:val="16"/>
        </w:rPr>
        <w:t>ΟΔΔΗΧ</w:t>
      </w:r>
    </w:p>
    <w:bookmarkEnd w:id="2"/>
    <w:bookmarkEnd w:id="3"/>
    <w:p w:rsidR="001B0B9D" w:rsidRDefault="001B0B9D" w:rsidP="00962E66">
      <w:pPr>
        <w:jc w:val="both"/>
        <w:rPr>
          <w:bCs/>
          <w:sz w:val="22"/>
          <w:szCs w:val="22"/>
        </w:rPr>
      </w:pPr>
    </w:p>
    <w:p w:rsidR="00963FE1" w:rsidRDefault="00963FE1" w:rsidP="00962E66">
      <w:pPr>
        <w:jc w:val="both"/>
        <w:rPr>
          <w:bCs/>
          <w:sz w:val="22"/>
          <w:szCs w:val="22"/>
        </w:rPr>
      </w:pPr>
    </w:p>
    <w:p w:rsidR="00492CB8" w:rsidRPr="00492CB8" w:rsidRDefault="00492CB8" w:rsidP="00492CB8">
      <w:pPr>
        <w:jc w:val="both"/>
        <w:rPr>
          <w:bCs/>
          <w:sz w:val="22"/>
          <w:szCs w:val="22"/>
        </w:rPr>
      </w:pPr>
      <w:r w:rsidRPr="00492CB8">
        <w:rPr>
          <w:bCs/>
          <w:sz w:val="22"/>
          <w:szCs w:val="22"/>
        </w:rPr>
        <w:t>Η διαφορά απόδοσης (</w:t>
      </w:r>
      <w:proofErr w:type="spellStart"/>
      <w:r w:rsidRPr="00492CB8">
        <w:rPr>
          <w:bCs/>
          <w:sz w:val="22"/>
          <w:szCs w:val="22"/>
        </w:rPr>
        <w:t>yield</w:t>
      </w:r>
      <w:proofErr w:type="spellEnd"/>
      <w:r w:rsidRPr="00492CB8">
        <w:rPr>
          <w:bCs/>
          <w:sz w:val="22"/>
          <w:szCs w:val="22"/>
        </w:rPr>
        <w:t xml:space="preserve"> </w:t>
      </w:r>
      <w:proofErr w:type="spellStart"/>
      <w:r w:rsidRPr="00492CB8">
        <w:rPr>
          <w:bCs/>
          <w:sz w:val="22"/>
          <w:szCs w:val="22"/>
        </w:rPr>
        <w:t>spread</w:t>
      </w:r>
      <w:proofErr w:type="spellEnd"/>
      <w:r w:rsidRPr="00492CB8">
        <w:rPr>
          <w:bCs/>
          <w:sz w:val="22"/>
          <w:szCs w:val="22"/>
        </w:rPr>
        <w:t>) μεταξύ του 10-ετούς ελληνικού και του αντίστοιχου γερμανικού ομολόγου αναφοράς, κατά το πρώτο τετράμηνο του 2017, κινήθηκε στα επίπεδα των 600-700 μον</w:t>
      </w:r>
      <w:r w:rsidRPr="00492CB8">
        <w:rPr>
          <w:bCs/>
          <w:sz w:val="22"/>
          <w:szCs w:val="22"/>
        </w:rPr>
        <w:t>ά</w:t>
      </w:r>
      <w:r w:rsidRPr="00492CB8">
        <w:rPr>
          <w:bCs/>
          <w:sz w:val="22"/>
          <w:szCs w:val="22"/>
        </w:rPr>
        <w:t>δων βάσης. Στη συνέχεια το περιθώριο απόδοσης υποχώρησε σταδιακά έναντι του γερμανικού κάτω από τις 600 μονάδες και διαμορφώνεται στα τρέχοντα επίπεδα των 460 μονάδων βάσης, με την τρ</w:t>
      </w:r>
      <w:r w:rsidRPr="00492CB8">
        <w:rPr>
          <w:bCs/>
          <w:sz w:val="22"/>
          <w:szCs w:val="22"/>
        </w:rPr>
        <w:t>έ</w:t>
      </w:r>
      <w:r w:rsidRPr="00492CB8">
        <w:rPr>
          <w:bCs/>
          <w:sz w:val="22"/>
          <w:szCs w:val="22"/>
        </w:rPr>
        <w:t xml:space="preserve">χουσα απόδοση του δεκαετούς ομολόγου να διαμορφώνεται γύρω στο 5,03%. </w:t>
      </w:r>
    </w:p>
    <w:p w:rsidR="00492CB8" w:rsidRPr="00492CB8" w:rsidRDefault="00492CB8" w:rsidP="00492CB8">
      <w:pPr>
        <w:jc w:val="both"/>
        <w:rPr>
          <w:bCs/>
          <w:sz w:val="22"/>
          <w:szCs w:val="22"/>
        </w:rPr>
      </w:pPr>
    </w:p>
    <w:p w:rsidR="00492CB8" w:rsidRPr="00492CB8" w:rsidRDefault="00492CB8" w:rsidP="00492CB8">
      <w:pPr>
        <w:jc w:val="both"/>
        <w:rPr>
          <w:bCs/>
          <w:sz w:val="22"/>
          <w:szCs w:val="22"/>
        </w:rPr>
      </w:pPr>
      <w:r w:rsidRPr="00492CB8">
        <w:rPr>
          <w:bCs/>
          <w:sz w:val="22"/>
          <w:szCs w:val="22"/>
        </w:rPr>
        <w:t>Κατά τη διάρκεια του 2017 οι αποδόσεις των 10</w:t>
      </w:r>
      <w:r w:rsidR="005F31A2">
        <w:rPr>
          <w:bCs/>
          <w:sz w:val="22"/>
          <w:szCs w:val="22"/>
        </w:rPr>
        <w:t>-</w:t>
      </w:r>
      <w:r w:rsidRPr="00492CB8">
        <w:rPr>
          <w:bCs/>
          <w:sz w:val="22"/>
          <w:szCs w:val="22"/>
        </w:rPr>
        <w:t>ετών κρατικών τίτλων των υπόλοιπων χωρών του ν</w:t>
      </w:r>
      <w:r w:rsidRPr="00492CB8">
        <w:rPr>
          <w:bCs/>
          <w:sz w:val="22"/>
          <w:szCs w:val="22"/>
        </w:rPr>
        <w:t>ό</w:t>
      </w:r>
      <w:r w:rsidRPr="00492CB8">
        <w:rPr>
          <w:bCs/>
          <w:sz w:val="22"/>
          <w:szCs w:val="22"/>
        </w:rPr>
        <w:t>του της ευρωζώνης, όπως η Ιταλία, η Πορτογαλία</w:t>
      </w:r>
      <w:r w:rsidR="005F31A2">
        <w:rPr>
          <w:bCs/>
          <w:sz w:val="22"/>
          <w:szCs w:val="22"/>
        </w:rPr>
        <w:t xml:space="preserve"> και</w:t>
      </w:r>
      <w:r w:rsidRPr="00492CB8">
        <w:rPr>
          <w:bCs/>
          <w:sz w:val="22"/>
          <w:szCs w:val="22"/>
        </w:rPr>
        <w:t xml:space="preserve"> η Ισπανία,</w:t>
      </w:r>
      <w:r w:rsidR="005F31A2">
        <w:rPr>
          <w:bCs/>
          <w:sz w:val="22"/>
          <w:szCs w:val="22"/>
        </w:rPr>
        <w:t xml:space="preserve"> καθώς και χωρών όπως το Βέλγιο,</w:t>
      </w:r>
      <w:r w:rsidRPr="00492CB8">
        <w:rPr>
          <w:bCs/>
          <w:sz w:val="22"/>
          <w:szCs w:val="22"/>
        </w:rPr>
        <w:t xml:space="preserve"> η Ιρλανδία και η Γαλλία, εξακολούθησαν να διαμορφώνονται κοντά στα ιστορικά χαμηλά τους επίπεδα (διάγραμμα 4.5).</w:t>
      </w:r>
    </w:p>
    <w:p w:rsidR="00A338EA" w:rsidRDefault="00A338EA" w:rsidP="00267829">
      <w:pPr>
        <w:jc w:val="both"/>
        <w:rPr>
          <w:bCs/>
          <w:sz w:val="22"/>
          <w:szCs w:val="22"/>
        </w:rPr>
      </w:pPr>
    </w:p>
    <w:p w:rsidR="00A338EA" w:rsidRDefault="00A338EA" w:rsidP="00267829">
      <w:pPr>
        <w:jc w:val="both"/>
        <w:rPr>
          <w:bCs/>
          <w:sz w:val="22"/>
          <w:szCs w:val="22"/>
        </w:rPr>
      </w:pPr>
    </w:p>
    <w:p w:rsidR="00A338EA" w:rsidRDefault="00A338EA" w:rsidP="00267829">
      <w:pPr>
        <w:jc w:val="both"/>
        <w:rPr>
          <w:bCs/>
          <w:sz w:val="22"/>
          <w:szCs w:val="22"/>
        </w:rPr>
      </w:pPr>
    </w:p>
    <w:p w:rsidR="00A338EA" w:rsidRDefault="00A338EA" w:rsidP="00267829">
      <w:pPr>
        <w:jc w:val="both"/>
        <w:rPr>
          <w:bCs/>
          <w:sz w:val="22"/>
          <w:szCs w:val="22"/>
        </w:rPr>
      </w:pPr>
    </w:p>
    <w:p w:rsidR="00A338EA" w:rsidRDefault="00A338EA" w:rsidP="00267829">
      <w:pPr>
        <w:jc w:val="both"/>
        <w:rPr>
          <w:bCs/>
          <w:sz w:val="22"/>
          <w:szCs w:val="22"/>
        </w:rPr>
      </w:pPr>
    </w:p>
    <w:p w:rsidR="00A338EA" w:rsidRDefault="00A338EA" w:rsidP="00267829">
      <w:pPr>
        <w:jc w:val="both"/>
        <w:rPr>
          <w:bCs/>
          <w:sz w:val="22"/>
          <w:szCs w:val="22"/>
        </w:rPr>
      </w:pPr>
    </w:p>
    <w:p w:rsidR="00A338EA" w:rsidRDefault="00A338EA" w:rsidP="00267829">
      <w:pPr>
        <w:jc w:val="both"/>
        <w:rPr>
          <w:bCs/>
          <w:sz w:val="22"/>
          <w:szCs w:val="22"/>
        </w:rPr>
      </w:pPr>
    </w:p>
    <w:p w:rsidR="00A338EA" w:rsidRDefault="00A338EA" w:rsidP="00267829">
      <w:pPr>
        <w:jc w:val="both"/>
        <w:rPr>
          <w:bCs/>
          <w:sz w:val="22"/>
          <w:szCs w:val="22"/>
        </w:rPr>
      </w:pPr>
    </w:p>
    <w:p w:rsidR="001B0B9D" w:rsidRDefault="001B0B9D" w:rsidP="00267829">
      <w:pPr>
        <w:jc w:val="both"/>
        <w:rPr>
          <w:bCs/>
          <w:sz w:val="22"/>
          <w:szCs w:val="22"/>
        </w:rPr>
      </w:pPr>
    </w:p>
    <w:tbl>
      <w:tblPr>
        <w:tblW w:w="0" w:type="auto"/>
        <w:tblLook w:val="01E0"/>
      </w:tblPr>
      <w:tblGrid>
        <w:gridCol w:w="9287"/>
      </w:tblGrid>
      <w:tr w:rsidR="00962E66" w:rsidRPr="0015043C" w:rsidTr="00E10A32">
        <w:tc>
          <w:tcPr>
            <w:tcW w:w="9287" w:type="dxa"/>
            <w:shd w:val="clear" w:color="auto" w:fill="404040" w:themeFill="text1" w:themeFillTint="BF"/>
          </w:tcPr>
          <w:p w:rsidR="00962E66" w:rsidRDefault="00962E66" w:rsidP="00962E66">
            <w:pPr>
              <w:pStyle w:val="a9"/>
              <w:tabs>
                <w:tab w:val="left" w:pos="9355"/>
              </w:tabs>
              <w:spacing w:before="120" w:after="0"/>
              <w:jc w:val="center"/>
              <w:rPr>
                <w:rFonts w:ascii="Arial Narrow" w:hAnsi="Arial Narrow"/>
                <w:b/>
                <w:color w:val="FFFFFF"/>
                <w:szCs w:val="22"/>
              </w:rPr>
            </w:pPr>
            <w:r>
              <w:rPr>
                <w:rFonts w:ascii="Arial Narrow" w:hAnsi="Arial Narrow"/>
                <w:b/>
                <w:color w:val="FFFFFF"/>
                <w:szCs w:val="22"/>
              </w:rPr>
              <w:t>Διάγραμμα 4.5</w:t>
            </w:r>
            <w:r w:rsidRPr="0015043C">
              <w:rPr>
                <w:rFonts w:ascii="Arial Narrow" w:hAnsi="Arial Narrow"/>
                <w:b/>
                <w:color w:val="FFFFFF"/>
                <w:szCs w:val="22"/>
              </w:rPr>
              <w:t xml:space="preserve">   </w:t>
            </w:r>
            <w:r>
              <w:rPr>
                <w:rFonts w:ascii="Arial Narrow" w:hAnsi="Arial Narrow"/>
                <w:b/>
                <w:color w:val="FFFFFF"/>
                <w:szCs w:val="22"/>
              </w:rPr>
              <w:t>Αποδόσεις 10ετών κρατικών τίτλων</w:t>
            </w:r>
          </w:p>
          <w:p w:rsidR="00962E66" w:rsidRPr="0015043C" w:rsidRDefault="00962E66" w:rsidP="00962E66">
            <w:pPr>
              <w:pStyle w:val="a9"/>
              <w:tabs>
                <w:tab w:val="left" w:pos="9355"/>
              </w:tabs>
              <w:jc w:val="center"/>
            </w:pPr>
            <w:r>
              <w:rPr>
                <w:rFonts w:ascii="Arial Narrow" w:hAnsi="Arial Narrow"/>
                <w:b/>
                <w:color w:val="FFFFFF"/>
                <w:szCs w:val="22"/>
              </w:rPr>
              <w:t>(ημερήσια στοιχεία – αποδόσεις)</w:t>
            </w:r>
          </w:p>
        </w:tc>
      </w:tr>
      <w:tr w:rsidR="00962E66" w:rsidRPr="0015043C" w:rsidTr="00E10A32">
        <w:tc>
          <w:tcPr>
            <w:tcW w:w="9287" w:type="dxa"/>
          </w:tcPr>
          <w:p w:rsidR="00962E66" w:rsidRPr="0015043C" w:rsidRDefault="00AC1E44" w:rsidP="00E10A32">
            <w:pPr>
              <w:pStyle w:val="a9"/>
              <w:tabs>
                <w:tab w:val="left" w:pos="9355"/>
              </w:tabs>
              <w:spacing w:before="120" w:after="0"/>
              <w:jc w:val="center"/>
            </w:pPr>
            <w:r w:rsidRPr="00AC1E44">
              <w:rPr>
                <w:noProof/>
              </w:rPr>
              <w:drawing>
                <wp:inline distT="0" distB="0" distL="0" distR="0">
                  <wp:extent cx="5450840" cy="3327400"/>
                  <wp:effectExtent l="0" t="0" r="0" b="0"/>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962E66" w:rsidRPr="0015043C" w:rsidRDefault="00962E66" w:rsidP="00962E66">
      <w:pPr>
        <w:tabs>
          <w:tab w:val="left" w:pos="180"/>
        </w:tabs>
        <w:jc w:val="both"/>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p w:rsidR="00962E66" w:rsidRDefault="00962E66" w:rsidP="00267829">
      <w:pPr>
        <w:jc w:val="both"/>
        <w:rPr>
          <w:bCs/>
          <w:sz w:val="22"/>
          <w:szCs w:val="22"/>
        </w:rPr>
      </w:pPr>
    </w:p>
    <w:p w:rsidR="00F150E3" w:rsidRDefault="00F150E3" w:rsidP="000D0A85">
      <w:pPr>
        <w:jc w:val="both"/>
        <w:outlineLvl w:val="7"/>
        <w:rPr>
          <w:rFonts w:ascii="Arial Narrow" w:hAnsi="Arial Narrow"/>
          <w:b/>
          <w:bCs/>
          <w:color w:val="000080"/>
          <w:szCs w:val="22"/>
        </w:rPr>
      </w:pPr>
    </w:p>
    <w:p w:rsidR="000D0A85" w:rsidRDefault="000D0A85" w:rsidP="000D0A85">
      <w:pPr>
        <w:jc w:val="both"/>
        <w:outlineLvl w:val="7"/>
        <w:rPr>
          <w:rFonts w:ascii="Arial Narrow" w:hAnsi="Arial Narrow"/>
          <w:b/>
          <w:bCs/>
          <w:color w:val="000080"/>
          <w:szCs w:val="22"/>
        </w:rPr>
      </w:pPr>
      <w:r w:rsidRPr="00B82B6C">
        <w:rPr>
          <w:rFonts w:ascii="Arial Narrow" w:hAnsi="Arial Narrow"/>
          <w:b/>
          <w:bCs/>
          <w:color w:val="000080"/>
          <w:szCs w:val="22"/>
        </w:rPr>
        <w:t>Πρωτογενής αγορά τίτλων</w:t>
      </w:r>
    </w:p>
    <w:p w:rsidR="000D0A85" w:rsidRPr="001B72B3" w:rsidRDefault="000D0A85" w:rsidP="000D0A85">
      <w:pPr>
        <w:jc w:val="both"/>
        <w:outlineLvl w:val="7"/>
        <w:rPr>
          <w:rFonts w:ascii="Arial Narrow" w:hAnsi="Arial Narrow"/>
          <w:b/>
          <w:bCs/>
          <w:sz w:val="22"/>
          <w:szCs w:val="22"/>
        </w:rPr>
      </w:pPr>
    </w:p>
    <w:p w:rsidR="00D2257E" w:rsidRPr="00683A95" w:rsidRDefault="00D2257E" w:rsidP="00D2257E">
      <w:pPr>
        <w:jc w:val="both"/>
        <w:rPr>
          <w:bCs/>
          <w:sz w:val="22"/>
          <w:szCs w:val="22"/>
        </w:rPr>
      </w:pPr>
      <w:r w:rsidRPr="00683A95">
        <w:rPr>
          <w:bCs/>
          <w:sz w:val="22"/>
          <w:szCs w:val="22"/>
        </w:rPr>
        <w:t xml:space="preserve">Το Ελληνικό Δημόσιο, τρία περίπου έτη μετά την τελευταία έκδοση ομολόγων τον Ιούλιο του 2014, πραγματοποίησε τον Αύγουστο του 2017 νέα κοινοπρακτική έκδοση πενταετούς ομολόγου ύψους 3.000 εκατ. ευρώ με σταθερό επιτόκιο 4,375%, μέρος της οποίας χρησιμοποιήθηκε για την επαναγορά του ομολόγου λήξεως 17/04/2019, επιτοκίου 4,75%. </w:t>
      </w:r>
    </w:p>
    <w:p w:rsidR="00D2257E" w:rsidRPr="00683A95" w:rsidRDefault="00D2257E" w:rsidP="00D2257E">
      <w:pPr>
        <w:jc w:val="both"/>
        <w:rPr>
          <w:bCs/>
          <w:sz w:val="22"/>
          <w:szCs w:val="22"/>
        </w:rPr>
      </w:pPr>
    </w:p>
    <w:p w:rsidR="00D2257E" w:rsidRPr="00683A95" w:rsidRDefault="00D2257E" w:rsidP="00D2257E">
      <w:pPr>
        <w:jc w:val="both"/>
        <w:rPr>
          <w:bCs/>
          <w:sz w:val="22"/>
          <w:szCs w:val="22"/>
        </w:rPr>
      </w:pPr>
      <w:r w:rsidRPr="00683A95">
        <w:rPr>
          <w:bCs/>
          <w:sz w:val="22"/>
          <w:szCs w:val="22"/>
        </w:rPr>
        <w:t>Κατά τη διάρκεια του έτους το Ελληνικό Δημόσιο συνέχισε να εκδίδει τίτλους βραχυπρόθεσμης διά</w:t>
      </w:r>
      <w:r w:rsidRPr="00683A95">
        <w:rPr>
          <w:bCs/>
          <w:sz w:val="22"/>
          <w:szCs w:val="22"/>
        </w:rPr>
        <w:t>ρ</w:t>
      </w:r>
      <w:r w:rsidRPr="00683A95">
        <w:rPr>
          <w:bCs/>
          <w:sz w:val="22"/>
          <w:szCs w:val="22"/>
        </w:rPr>
        <w:t>κειας. Η βραχυπρόθεσμη χρηματοδότηση πραγματοποιήθηκε με μηνιαίες εκδόσεις εντόκων γραμμ</w:t>
      </w:r>
      <w:r w:rsidRPr="00683A95">
        <w:rPr>
          <w:bCs/>
          <w:sz w:val="22"/>
          <w:szCs w:val="22"/>
        </w:rPr>
        <w:t>α</w:t>
      </w:r>
      <w:r w:rsidRPr="00683A95">
        <w:rPr>
          <w:bCs/>
          <w:sz w:val="22"/>
          <w:szCs w:val="22"/>
        </w:rPr>
        <w:t xml:space="preserve">τίων διάρκειας 13 και 26 εβδομάδων και σύναψη συμφωνιών </w:t>
      </w:r>
      <w:proofErr w:type="spellStart"/>
      <w:r w:rsidRPr="00683A95">
        <w:rPr>
          <w:bCs/>
          <w:sz w:val="22"/>
          <w:szCs w:val="22"/>
        </w:rPr>
        <w:t>repos</w:t>
      </w:r>
      <w:proofErr w:type="spellEnd"/>
      <w:r w:rsidRPr="00683A95">
        <w:rPr>
          <w:bCs/>
          <w:sz w:val="22"/>
          <w:szCs w:val="22"/>
        </w:rPr>
        <w:t xml:space="preserve"> κυρίως με τους φορείς της Γενικής Κυβέρνησης. Στις 30/09/2017 το ανεξόφλητο υπόλοιπο των ΕΓΕΔ ανερχόταν σε 14.934,3 εκατ. ευρώ, ενώ τα </w:t>
      </w:r>
      <w:proofErr w:type="spellStart"/>
      <w:r w:rsidRPr="00683A95">
        <w:rPr>
          <w:bCs/>
          <w:sz w:val="22"/>
          <w:szCs w:val="22"/>
        </w:rPr>
        <w:t>repos</w:t>
      </w:r>
      <w:proofErr w:type="spellEnd"/>
      <w:r w:rsidRPr="00683A95">
        <w:rPr>
          <w:bCs/>
          <w:sz w:val="22"/>
          <w:szCs w:val="22"/>
        </w:rPr>
        <w:t xml:space="preserve"> ανήλθαν σε 13.873,0 εκατ. ευρώ. Μέρος των ΕΓΕΔ και των </w:t>
      </w:r>
      <w:proofErr w:type="spellStart"/>
      <w:r w:rsidRPr="00683A95">
        <w:rPr>
          <w:bCs/>
          <w:sz w:val="22"/>
          <w:szCs w:val="22"/>
        </w:rPr>
        <w:t>repos</w:t>
      </w:r>
      <w:proofErr w:type="spellEnd"/>
      <w:r w:rsidRPr="00683A95">
        <w:rPr>
          <w:bCs/>
          <w:sz w:val="22"/>
          <w:szCs w:val="22"/>
        </w:rPr>
        <w:t xml:space="preserve"> αναμένεται να αντικ</w:t>
      </w:r>
      <w:r w:rsidRPr="00683A95">
        <w:rPr>
          <w:bCs/>
          <w:sz w:val="22"/>
          <w:szCs w:val="22"/>
        </w:rPr>
        <w:t>α</w:t>
      </w:r>
      <w:r w:rsidRPr="00683A95">
        <w:rPr>
          <w:bCs/>
          <w:sz w:val="22"/>
          <w:szCs w:val="22"/>
        </w:rPr>
        <w:t xml:space="preserve">τασταθεί είτε με ομόλογα είτε με δάνεια του ESM το επόμενο έτος. Ο </w:t>
      </w:r>
      <w:proofErr w:type="spellStart"/>
      <w:r w:rsidRPr="00683A95">
        <w:rPr>
          <w:bCs/>
          <w:sz w:val="22"/>
          <w:szCs w:val="22"/>
        </w:rPr>
        <w:t>μεσοσταθμικός</w:t>
      </w:r>
      <w:proofErr w:type="spellEnd"/>
      <w:r w:rsidRPr="00683A95">
        <w:rPr>
          <w:bCs/>
          <w:sz w:val="22"/>
          <w:szCs w:val="22"/>
        </w:rPr>
        <w:t xml:space="preserve"> συντελεστής κάλυψης των δημοπρασιών ΕΓΕΔ διαμορφώθηκε στο 1,40.</w:t>
      </w:r>
      <w:r w:rsidR="004516EE">
        <w:rPr>
          <w:bCs/>
          <w:sz w:val="22"/>
          <w:szCs w:val="22"/>
        </w:rPr>
        <w:t xml:space="preserve"> </w:t>
      </w:r>
      <w:r w:rsidRPr="00683A95">
        <w:rPr>
          <w:bCs/>
          <w:sz w:val="22"/>
          <w:szCs w:val="22"/>
        </w:rPr>
        <w:t>Το μέσο σταθμικό επιτόκιο νέου δανε</w:t>
      </w:r>
      <w:r w:rsidRPr="00683A95">
        <w:rPr>
          <w:bCs/>
          <w:sz w:val="22"/>
          <w:szCs w:val="22"/>
        </w:rPr>
        <w:t>ι</w:t>
      </w:r>
      <w:r w:rsidRPr="00683A95">
        <w:rPr>
          <w:bCs/>
          <w:sz w:val="22"/>
          <w:szCs w:val="22"/>
        </w:rPr>
        <w:t>σμού, το οποίο διαμορφώθηκε από τις εκδόσεις εντόκων γραμματίων, του νέου πενταετούς ομολόγου και των δανείων που χορηγήθηκαν από τον Ευρωπαϊκό Μηχανισμό Σταθερότητας (ESM), έως 30/09/2017 διαμορφώθηκε στο 2,38%, ενώ η μέση φυσική διάρκεια του νέου δανεισμού διαμορφ</w:t>
      </w:r>
      <w:r w:rsidRPr="00683A95">
        <w:rPr>
          <w:bCs/>
          <w:sz w:val="22"/>
          <w:szCs w:val="22"/>
        </w:rPr>
        <w:t>ώ</w:t>
      </w:r>
      <w:r w:rsidRPr="00683A95">
        <w:rPr>
          <w:bCs/>
          <w:sz w:val="22"/>
          <w:szCs w:val="22"/>
        </w:rPr>
        <w:t>θηκε σε 9,95 έτη έναντι 10,79 έτη την αντίστοιχη περσινή περίοδο.</w:t>
      </w:r>
    </w:p>
    <w:p w:rsidR="00E448E7" w:rsidRDefault="00E448E7" w:rsidP="00E448E7">
      <w:pPr>
        <w:jc w:val="both"/>
        <w:outlineLvl w:val="8"/>
        <w:rPr>
          <w:bCs/>
          <w:sz w:val="22"/>
        </w:rPr>
      </w:pPr>
    </w:p>
    <w:p w:rsidR="000D0A85" w:rsidRPr="0015043C" w:rsidRDefault="000D0A85" w:rsidP="000D0A85">
      <w:pPr>
        <w:jc w:val="both"/>
        <w:outlineLvl w:val="8"/>
        <w:rPr>
          <w:rFonts w:ascii="Arial Narrow" w:hAnsi="Arial Narrow"/>
          <w:b/>
          <w:bCs/>
          <w:color w:val="000080"/>
          <w:szCs w:val="22"/>
        </w:rPr>
      </w:pPr>
      <w:r w:rsidRPr="0015043C">
        <w:rPr>
          <w:rFonts w:ascii="Arial Narrow" w:hAnsi="Arial Narrow"/>
          <w:b/>
          <w:bCs/>
          <w:color w:val="000080"/>
          <w:szCs w:val="22"/>
        </w:rPr>
        <w:t>Δευτερογενής αγορά τίτλων</w:t>
      </w:r>
    </w:p>
    <w:p w:rsidR="000D0A85" w:rsidRPr="0015043C" w:rsidRDefault="000D0A85" w:rsidP="000D0A85">
      <w:pPr>
        <w:jc w:val="both"/>
        <w:outlineLvl w:val="8"/>
        <w:rPr>
          <w:rFonts w:ascii="Arial Narrow" w:hAnsi="Arial Narrow"/>
          <w:b/>
          <w:bCs/>
          <w:color w:val="000080"/>
          <w:szCs w:val="22"/>
        </w:rPr>
      </w:pPr>
    </w:p>
    <w:p w:rsidR="00C81DB9" w:rsidRPr="00C81DB9" w:rsidRDefault="00C81DB9" w:rsidP="00C81DB9">
      <w:pPr>
        <w:jc w:val="both"/>
        <w:rPr>
          <w:sz w:val="22"/>
          <w:szCs w:val="22"/>
        </w:rPr>
      </w:pPr>
      <w:r w:rsidRPr="00C81DB9">
        <w:rPr>
          <w:sz w:val="22"/>
          <w:szCs w:val="22"/>
        </w:rPr>
        <w:t xml:space="preserve">Η συνολική αξία των συναλλαγών που καταγράφηκε στο Σύστημα Άυλων Τίτλων της Τράπεζας της Ελλάδος, η οποία περιλαμβάνει τις αγοραπωλησίες τίτλων και τις συμφωνίες επαναγοράς στην </w:t>
      </w:r>
      <w:proofErr w:type="spellStart"/>
      <w:r w:rsidRPr="00C81DB9">
        <w:rPr>
          <w:sz w:val="22"/>
          <w:szCs w:val="22"/>
        </w:rPr>
        <w:t>εξ</w:t>
      </w:r>
      <w:r w:rsidRPr="00C81DB9">
        <w:rPr>
          <w:sz w:val="22"/>
          <w:szCs w:val="22"/>
        </w:rPr>
        <w:t>ω</w:t>
      </w:r>
      <w:r w:rsidRPr="00C81DB9">
        <w:rPr>
          <w:sz w:val="22"/>
          <w:szCs w:val="22"/>
        </w:rPr>
        <w:t>χρηματιστηριακή</w:t>
      </w:r>
      <w:proofErr w:type="spellEnd"/>
      <w:r w:rsidRPr="00C81DB9">
        <w:rPr>
          <w:sz w:val="22"/>
          <w:szCs w:val="22"/>
        </w:rPr>
        <w:t xml:space="preserve"> αγορά (</w:t>
      </w:r>
      <w:proofErr w:type="spellStart"/>
      <w:r w:rsidRPr="00C81DB9">
        <w:rPr>
          <w:sz w:val="22"/>
          <w:szCs w:val="22"/>
        </w:rPr>
        <w:t>over</w:t>
      </w:r>
      <w:proofErr w:type="spellEnd"/>
      <w:r w:rsidRPr="00C81DB9">
        <w:rPr>
          <w:sz w:val="22"/>
          <w:szCs w:val="22"/>
        </w:rPr>
        <w:t>-</w:t>
      </w:r>
      <w:proofErr w:type="spellStart"/>
      <w:r w:rsidRPr="00C81DB9">
        <w:rPr>
          <w:sz w:val="22"/>
          <w:szCs w:val="22"/>
        </w:rPr>
        <w:t>the</w:t>
      </w:r>
      <w:proofErr w:type="spellEnd"/>
      <w:r w:rsidRPr="00C81DB9">
        <w:rPr>
          <w:sz w:val="22"/>
          <w:szCs w:val="22"/>
        </w:rPr>
        <w:t>-</w:t>
      </w:r>
      <w:proofErr w:type="spellStart"/>
      <w:r w:rsidRPr="00C81DB9">
        <w:rPr>
          <w:sz w:val="22"/>
          <w:szCs w:val="22"/>
        </w:rPr>
        <w:t>counter</w:t>
      </w:r>
      <w:proofErr w:type="spellEnd"/>
      <w:r w:rsidRPr="00C81DB9">
        <w:rPr>
          <w:sz w:val="22"/>
          <w:szCs w:val="22"/>
        </w:rPr>
        <w:t>) και τις ηλεκτρονικές πλατφόρμες διαπραγμάτευσης, δι</w:t>
      </w:r>
      <w:r w:rsidRPr="00C81DB9">
        <w:rPr>
          <w:sz w:val="22"/>
          <w:szCs w:val="22"/>
        </w:rPr>
        <w:t>α</w:t>
      </w:r>
      <w:r w:rsidRPr="00C81DB9">
        <w:rPr>
          <w:sz w:val="22"/>
          <w:szCs w:val="22"/>
        </w:rPr>
        <w:t xml:space="preserve">μορφώθηκε σε 361,08 δισ. ευρώ το γ’ τρίμηνο του 2017 έναντι 419,33 δισ. ευρώ το β’ τρίμηνο του 2017, ενώ το α’ τρίμηνο του 2017 είχε διαμορφωθεί σε 433,40 δισ. ευρώ. </w:t>
      </w:r>
    </w:p>
    <w:p w:rsidR="00C81DB9" w:rsidRPr="00C81DB9" w:rsidRDefault="00C81DB9" w:rsidP="00C81DB9">
      <w:pPr>
        <w:jc w:val="both"/>
        <w:rPr>
          <w:sz w:val="22"/>
          <w:szCs w:val="22"/>
        </w:rPr>
      </w:pPr>
    </w:p>
    <w:p w:rsidR="00C81DB9" w:rsidRPr="00C81DB9" w:rsidRDefault="00C81DB9" w:rsidP="00C81DB9">
      <w:pPr>
        <w:jc w:val="both"/>
        <w:rPr>
          <w:sz w:val="22"/>
          <w:szCs w:val="22"/>
        </w:rPr>
      </w:pPr>
      <w:r w:rsidRPr="00C81DB9">
        <w:rPr>
          <w:sz w:val="22"/>
          <w:szCs w:val="22"/>
        </w:rPr>
        <w:t>Κατά το τρίτο τρίμηνο του 2017, το 36% της συναλλακτικής δραστηριότητας στην Ηλεκτρονική Δε</w:t>
      </w:r>
      <w:r w:rsidRPr="00C81DB9">
        <w:rPr>
          <w:sz w:val="22"/>
          <w:szCs w:val="22"/>
        </w:rPr>
        <w:t>υ</w:t>
      </w:r>
      <w:r w:rsidRPr="00C81DB9">
        <w:rPr>
          <w:sz w:val="22"/>
          <w:szCs w:val="22"/>
        </w:rPr>
        <w:t>τερογενή Αγορά Τίτλων (ΗΔΑΤ) επικεντρώθηκε στους μακροπρόθεσμους τίτλους με διάρκεια από 15 έως 30 έτη, το 19% στους μεσοπρόθεσμους τίτλους με διάρκεια από 3 έως 5 έτη και το 16% σε τί</w:t>
      </w:r>
      <w:r w:rsidRPr="00C81DB9">
        <w:rPr>
          <w:sz w:val="22"/>
          <w:szCs w:val="22"/>
        </w:rPr>
        <w:t>τ</w:t>
      </w:r>
      <w:r w:rsidRPr="00C81DB9">
        <w:rPr>
          <w:sz w:val="22"/>
          <w:szCs w:val="22"/>
        </w:rPr>
        <w:t>λους εντόκων γραμματίων.</w:t>
      </w:r>
    </w:p>
    <w:p w:rsidR="00C81DB9" w:rsidRPr="00C81DB9" w:rsidRDefault="00C81DB9" w:rsidP="00C81DB9">
      <w:pPr>
        <w:jc w:val="both"/>
        <w:rPr>
          <w:sz w:val="22"/>
          <w:szCs w:val="22"/>
        </w:rPr>
      </w:pPr>
    </w:p>
    <w:p w:rsidR="00C81DB9" w:rsidRPr="00C81DB9" w:rsidRDefault="00C81DB9" w:rsidP="00C81DB9">
      <w:pPr>
        <w:jc w:val="both"/>
        <w:rPr>
          <w:sz w:val="22"/>
          <w:szCs w:val="22"/>
        </w:rPr>
      </w:pPr>
      <w:r w:rsidRPr="00C81DB9">
        <w:rPr>
          <w:sz w:val="22"/>
          <w:szCs w:val="22"/>
        </w:rPr>
        <w:t>Η κατανομή της αξίας των συναλλαγών της ΗΔΑΤ ανάλογα με την εναπομένουσα διάρκεια των τί</w:t>
      </w:r>
      <w:r w:rsidRPr="00C81DB9">
        <w:rPr>
          <w:sz w:val="22"/>
          <w:szCs w:val="22"/>
        </w:rPr>
        <w:t>τ</w:t>
      </w:r>
      <w:r w:rsidRPr="00C81DB9">
        <w:rPr>
          <w:sz w:val="22"/>
          <w:szCs w:val="22"/>
        </w:rPr>
        <w:t>λων, κατά το τρίτο τρίμηνο του 2017, παρουσιάζεται στο διάγραμμα 4.6.</w:t>
      </w:r>
    </w:p>
    <w:p w:rsidR="000D0A85" w:rsidRPr="0015043C" w:rsidRDefault="000D0A85" w:rsidP="000D0A85">
      <w:pPr>
        <w:rPr>
          <w:sz w:val="22"/>
        </w:rPr>
      </w:pPr>
    </w:p>
    <w:tbl>
      <w:tblPr>
        <w:tblW w:w="90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070"/>
      </w:tblGrid>
      <w:tr w:rsidR="000D0A85" w:rsidRPr="0015043C" w:rsidTr="00451ECA">
        <w:trPr>
          <w:cantSplit/>
        </w:trPr>
        <w:tc>
          <w:tcPr>
            <w:tcW w:w="9070" w:type="dxa"/>
            <w:tcBorders>
              <w:top w:val="nil"/>
              <w:left w:val="nil"/>
              <w:bottom w:val="nil"/>
              <w:right w:val="nil"/>
            </w:tcBorders>
            <w:shd w:val="clear" w:color="auto" w:fill="404040" w:themeFill="text1" w:themeFillTint="BF"/>
            <w:vAlign w:val="center"/>
          </w:tcPr>
          <w:p w:rsidR="000D0A85" w:rsidRPr="0015043C" w:rsidRDefault="005E0887" w:rsidP="00451ECA">
            <w:pPr>
              <w:spacing w:before="120"/>
              <w:jc w:val="center"/>
              <w:rPr>
                <w:rFonts w:ascii="Arial Narrow" w:hAnsi="Arial Narrow"/>
                <w:b/>
                <w:color w:val="FFFFFF"/>
              </w:rPr>
            </w:pPr>
            <w:r>
              <w:rPr>
                <w:rFonts w:ascii="Arial Narrow" w:hAnsi="Arial Narrow"/>
                <w:b/>
                <w:color w:val="FFFFFF"/>
              </w:rPr>
              <w:t>Διάγραμμα 4.6</w:t>
            </w:r>
            <w:r w:rsidR="000D0A85" w:rsidRPr="0015043C">
              <w:rPr>
                <w:rFonts w:ascii="Arial Narrow" w:hAnsi="Arial Narrow"/>
                <w:b/>
                <w:color w:val="FFFFFF"/>
              </w:rPr>
              <w:t xml:space="preserve">  Αξία συνα</w:t>
            </w:r>
            <w:r w:rsidR="000D0A85">
              <w:rPr>
                <w:rFonts w:ascii="Arial Narrow" w:hAnsi="Arial Narrow"/>
                <w:b/>
                <w:color w:val="FFFFFF"/>
              </w:rPr>
              <w:t>λλαγώ</w:t>
            </w:r>
            <w:r w:rsidR="00990623">
              <w:rPr>
                <w:rFonts w:ascii="Arial Narrow" w:hAnsi="Arial Narrow"/>
                <w:b/>
                <w:color w:val="FFFFFF"/>
              </w:rPr>
              <w:t xml:space="preserve">ν στην ΗΔΑΤ </w:t>
            </w:r>
            <w:proofErr w:type="spellStart"/>
            <w:r w:rsidR="0095123C">
              <w:rPr>
                <w:rFonts w:ascii="Arial Narrow" w:hAnsi="Arial Narrow"/>
                <w:b/>
                <w:color w:val="FFFFFF"/>
              </w:rPr>
              <w:t>γ΄</w:t>
            </w:r>
            <w:proofErr w:type="spellEnd"/>
            <w:r w:rsidR="0095123C">
              <w:rPr>
                <w:rFonts w:ascii="Arial Narrow" w:hAnsi="Arial Narrow"/>
                <w:b/>
                <w:color w:val="FFFFFF"/>
              </w:rPr>
              <w:t xml:space="preserve"> τρίμηνο</w:t>
            </w:r>
            <w:r w:rsidR="00C81DB9">
              <w:rPr>
                <w:rFonts w:ascii="Arial Narrow" w:hAnsi="Arial Narrow"/>
                <w:b/>
                <w:color w:val="FFFFFF"/>
              </w:rPr>
              <w:t xml:space="preserve"> 2017</w:t>
            </w:r>
          </w:p>
          <w:p w:rsidR="000D0A85" w:rsidRPr="0015043C" w:rsidRDefault="000D0A85" w:rsidP="00451ECA">
            <w:pPr>
              <w:spacing w:after="120"/>
              <w:jc w:val="center"/>
              <w:rPr>
                <w:rFonts w:ascii="Arial Narrow" w:hAnsi="Arial Narrow"/>
                <w:b/>
                <w:color w:val="FFFFFF"/>
              </w:rPr>
            </w:pPr>
            <w:r w:rsidRPr="0015043C">
              <w:rPr>
                <w:rFonts w:ascii="Arial Narrow" w:hAnsi="Arial Narrow"/>
                <w:b/>
                <w:color w:val="FFFFFF"/>
              </w:rPr>
              <w:t>(με βάση την εναπομένουσα διάρκεια των τίτλων)</w:t>
            </w:r>
          </w:p>
        </w:tc>
      </w:tr>
      <w:tr w:rsidR="000D0A85" w:rsidRPr="0015043C" w:rsidTr="00451ECA">
        <w:trPr>
          <w:cantSplit/>
        </w:trPr>
        <w:tc>
          <w:tcPr>
            <w:tcW w:w="9070" w:type="dxa"/>
            <w:tcBorders>
              <w:top w:val="nil"/>
              <w:left w:val="nil"/>
              <w:bottom w:val="nil"/>
              <w:right w:val="nil"/>
            </w:tcBorders>
            <w:shd w:val="clear" w:color="auto" w:fill="auto"/>
            <w:vAlign w:val="center"/>
          </w:tcPr>
          <w:p w:rsidR="000D0A85" w:rsidRPr="00EE3A46" w:rsidRDefault="004C7DD9" w:rsidP="00451ECA">
            <w:pPr>
              <w:spacing w:before="120"/>
              <w:jc w:val="center"/>
              <w:rPr>
                <w:rFonts w:ascii="Arial Narrow" w:hAnsi="Arial Narrow"/>
                <w:b/>
                <w:color w:val="FFFFFF"/>
              </w:rPr>
            </w:pPr>
            <w:r w:rsidRPr="004C7DD9">
              <w:rPr>
                <w:rFonts w:ascii="Arial Narrow" w:hAnsi="Arial Narrow"/>
                <w:b/>
                <w:noProof/>
                <w:color w:val="FFFFFF"/>
              </w:rPr>
              <w:drawing>
                <wp:inline distT="0" distB="0" distL="0" distR="0">
                  <wp:extent cx="4410075" cy="2038350"/>
                  <wp:effectExtent l="19050" t="0" r="0" b="0"/>
                  <wp:docPr id="12"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0D0A85" w:rsidRPr="005C0AFA" w:rsidRDefault="000D0A85" w:rsidP="000D0A85">
      <w:pPr>
        <w:pStyle w:val="a9"/>
        <w:tabs>
          <w:tab w:val="left" w:pos="9355"/>
        </w:tabs>
        <w:spacing w:after="0"/>
        <w:jc w:val="both"/>
        <w:rPr>
          <w:rFonts w:ascii="Arial Narrow" w:hAnsi="Arial Narrow"/>
          <w:color w:val="000000"/>
          <w:sz w:val="16"/>
          <w:szCs w:val="16"/>
        </w:rPr>
      </w:pPr>
      <w:r w:rsidRPr="005C0AFA">
        <w:rPr>
          <w:rFonts w:ascii="Arial Narrow" w:hAnsi="Arial Narrow"/>
          <w:color w:val="000000"/>
          <w:sz w:val="16"/>
          <w:szCs w:val="16"/>
        </w:rPr>
        <w:t>Πηγή:</w:t>
      </w:r>
      <w:r w:rsidRPr="005C0AFA">
        <w:rPr>
          <w:rFonts w:ascii="Arial Narrow" w:hAnsi="Arial Narrow"/>
          <w:sz w:val="16"/>
          <w:szCs w:val="16"/>
        </w:rPr>
        <w:t xml:space="preserve"> Τράπεζα Ελλάδος, ΗΔΑΤ</w:t>
      </w:r>
    </w:p>
    <w:p w:rsidR="000D0A85" w:rsidRDefault="000D0A85" w:rsidP="000D0A85">
      <w:pPr>
        <w:jc w:val="both"/>
        <w:rPr>
          <w:sz w:val="22"/>
        </w:rPr>
      </w:pPr>
    </w:p>
    <w:p w:rsidR="00BD10A8" w:rsidRPr="0093398E" w:rsidRDefault="00BD10A8" w:rsidP="00BD10A8">
      <w:pPr>
        <w:pStyle w:val="a9"/>
        <w:jc w:val="both"/>
        <w:rPr>
          <w:sz w:val="22"/>
          <w:szCs w:val="22"/>
        </w:rPr>
      </w:pPr>
      <w:r w:rsidRPr="00F5640D">
        <w:rPr>
          <w:sz w:val="22"/>
          <w:szCs w:val="22"/>
        </w:rPr>
        <w:t xml:space="preserve">Το </w:t>
      </w:r>
      <w:r w:rsidR="0095123C">
        <w:rPr>
          <w:sz w:val="22"/>
          <w:szCs w:val="22"/>
        </w:rPr>
        <w:t>εννεά</w:t>
      </w:r>
      <w:r w:rsidR="00973EF7">
        <w:rPr>
          <w:sz w:val="22"/>
          <w:szCs w:val="22"/>
        </w:rPr>
        <w:t>μηνο του 2017</w:t>
      </w:r>
      <w:r w:rsidRPr="00F5640D">
        <w:rPr>
          <w:sz w:val="22"/>
          <w:szCs w:val="22"/>
        </w:rPr>
        <w:t xml:space="preserve"> η συναλλακτική δραστηριότητα στην Ηλεκτρονική Δευτερογενή Αγορά Τί</w:t>
      </w:r>
      <w:r w:rsidRPr="00F5640D">
        <w:rPr>
          <w:sz w:val="22"/>
          <w:szCs w:val="22"/>
        </w:rPr>
        <w:t>τ</w:t>
      </w:r>
      <w:r w:rsidRPr="00F5640D">
        <w:rPr>
          <w:sz w:val="22"/>
          <w:szCs w:val="22"/>
        </w:rPr>
        <w:t xml:space="preserve">λων (ΗΔΑΤ) </w:t>
      </w:r>
      <w:r>
        <w:rPr>
          <w:sz w:val="22"/>
          <w:szCs w:val="22"/>
        </w:rPr>
        <w:t>κινήθηκε σ</w:t>
      </w:r>
      <w:r w:rsidR="00973EF7">
        <w:rPr>
          <w:sz w:val="22"/>
          <w:szCs w:val="22"/>
        </w:rPr>
        <w:t xml:space="preserve">τα </w:t>
      </w:r>
      <w:r>
        <w:rPr>
          <w:sz w:val="22"/>
          <w:szCs w:val="22"/>
        </w:rPr>
        <w:t>επίπεδα</w:t>
      </w:r>
      <w:r w:rsidR="00973EF7">
        <w:rPr>
          <w:sz w:val="22"/>
          <w:szCs w:val="22"/>
        </w:rPr>
        <w:t xml:space="preserve"> του προηγούμενου έτους</w:t>
      </w:r>
      <w:r w:rsidRPr="00F5640D">
        <w:rPr>
          <w:sz w:val="22"/>
          <w:szCs w:val="22"/>
        </w:rPr>
        <w:t xml:space="preserve">. Η εξέλιξη της αξίας των συναλλαγών που πραγματοποιήθηκε στην ΗΔΑΤ για </w:t>
      </w:r>
      <w:r w:rsidR="0095123C">
        <w:rPr>
          <w:sz w:val="22"/>
          <w:szCs w:val="22"/>
        </w:rPr>
        <w:t>τα</w:t>
      </w:r>
      <w:r>
        <w:rPr>
          <w:sz w:val="22"/>
          <w:szCs w:val="22"/>
        </w:rPr>
        <w:t xml:space="preserve"> </w:t>
      </w:r>
      <w:r w:rsidR="0095123C">
        <w:rPr>
          <w:sz w:val="22"/>
          <w:szCs w:val="22"/>
        </w:rPr>
        <w:t xml:space="preserve">εννεάμηνα </w:t>
      </w:r>
      <w:r>
        <w:rPr>
          <w:sz w:val="22"/>
          <w:szCs w:val="22"/>
        </w:rPr>
        <w:t xml:space="preserve">των ετών </w:t>
      </w:r>
      <w:r w:rsidR="00973EF7">
        <w:rPr>
          <w:sz w:val="22"/>
          <w:szCs w:val="22"/>
        </w:rPr>
        <w:t>2016</w:t>
      </w:r>
      <w:r>
        <w:rPr>
          <w:sz w:val="22"/>
          <w:szCs w:val="22"/>
        </w:rPr>
        <w:t xml:space="preserve"> και</w:t>
      </w:r>
      <w:r w:rsidR="00973EF7">
        <w:rPr>
          <w:sz w:val="22"/>
          <w:szCs w:val="22"/>
        </w:rPr>
        <w:t xml:space="preserve"> 2017</w:t>
      </w:r>
      <w:r>
        <w:rPr>
          <w:sz w:val="22"/>
          <w:szCs w:val="22"/>
        </w:rPr>
        <w:t>,</w:t>
      </w:r>
      <w:r w:rsidRPr="00F5640D">
        <w:rPr>
          <w:sz w:val="22"/>
          <w:szCs w:val="22"/>
        </w:rPr>
        <w:t xml:space="preserve"> ανά μήνα</w:t>
      </w:r>
      <w:r>
        <w:rPr>
          <w:sz w:val="22"/>
          <w:szCs w:val="22"/>
        </w:rPr>
        <w:t>,</w:t>
      </w:r>
      <w:r w:rsidRPr="00F5640D">
        <w:rPr>
          <w:sz w:val="22"/>
          <w:szCs w:val="22"/>
        </w:rPr>
        <w:t xml:space="preserve"> παρουσι</w:t>
      </w:r>
      <w:r w:rsidRPr="00F5640D">
        <w:rPr>
          <w:sz w:val="22"/>
          <w:szCs w:val="22"/>
        </w:rPr>
        <w:t>ά</w:t>
      </w:r>
      <w:r w:rsidRPr="00F5640D">
        <w:rPr>
          <w:sz w:val="22"/>
          <w:szCs w:val="22"/>
        </w:rPr>
        <w:t>ζεται στο διάγραμμα 4.7.</w:t>
      </w:r>
      <w:r w:rsidRPr="0093398E">
        <w:rPr>
          <w:sz w:val="22"/>
          <w:szCs w:val="22"/>
        </w:rPr>
        <w:t xml:space="preserve"> </w:t>
      </w:r>
    </w:p>
    <w:p w:rsidR="000D0A85" w:rsidRPr="0015043C" w:rsidRDefault="000D0A85" w:rsidP="000D0A85">
      <w:pPr>
        <w:jc w:val="both"/>
        <w:rPr>
          <w:sz w:val="22"/>
        </w:rPr>
      </w:pPr>
    </w:p>
    <w:tbl>
      <w:tblPr>
        <w:tblW w:w="9306" w:type="dxa"/>
        <w:tblLook w:val="00A0"/>
      </w:tblPr>
      <w:tblGrid>
        <w:gridCol w:w="9306"/>
      </w:tblGrid>
      <w:tr w:rsidR="000D0A85" w:rsidRPr="0015043C" w:rsidTr="00451ECA">
        <w:trPr>
          <w:trHeight w:val="120"/>
        </w:trPr>
        <w:tc>
          <w:tcPr>
            <w:tcW w:w="9306" w:type="dxa"/>
            <w:shd w:val="clear" w:color="auto" w:fill="404040" w:themeFill="text1" w:themeFillTint="BF"/>
          </w:tcPr>
          <w:p w:rsidR="000D0A85" w:rsidRPr="0015043C" w:rsidRDefault="000D0A85" w:rsidP="00451ECA">
            <w:pPr>
              <w:autoSpaceDE w:val="0"/>
              <w:autoSpaceDN w:val="0"/>
              <w:adjustRightInd w:val="0"/>
              <w:spacing w:before="120"/>
              <w:jc w:val="center"/>
              <w:rPr>
                <w:rFonts w:ascii="Arial Narrow" w:hAnsi="Arial Narrow" w:cs="TimesNewRoman,Bold"/>
                <w:b/>
                <w:bCs/>
                <w:color w:val="FFFFFF"/>
              </w:rPr>
            </w:pPr>
            <w:r w:rsidRPr="0015043C">
              <w:rPr>
                <w:rFonts w:ascii="Arial Narrow" w:hAnsi="Arial Narrow" w:cs="TimesNewRoman,Bold+1"/>
                <w:b/>
                <w:bCs/>
                <w:color w:val="FFFFFF"/>
              </w:rPr>
              <w:t>Διάγρα</w:t>
            </w:r>
            <w:r w:rsidRPr="0015043C">
              <w:rPr>
                <w:rFonts w:ascii="Arial Narrow" w:hAnsi="Arial Narrow" w:cs="TimesNewRoman,Bold"/>
                <w:b/>
                <w:bCs/>
                <w:color w:val="FFFFFF"/>
              </w:rPr>
              <w:t>μμ</w:t>
            </w:r>
            <w:r w:rsidRPr="0015043C">
              <w:rPr>
                <w:rFonts w:ascii="Arial Narrow" w:hAnsi="Arial Narrow" w:cs="TimesNewRoman,Bold+1"/>
                <w:b/>
                <w:bCs/>
                <w:color w:val="FFFFFF"/>
              </w:rPr>
              <w:t xml:space="preserve">α </w:t>
            </w:r>
            <w:r w:rsidR="00B90E27">
              <w:rPr>
                <w:rFonts w:ascii="Arial Narrow" w:hAnsi="Arial Narrow" w:cs="TimesNewRoman,Bold"/>
                <w:b/>
                <w:bCs/>
                <w:color w:val="FFFFFF"/>
              </w:rPr>
              <w:t>4.7</w:t>
            </w:r>
            <w:r>
              <w:rPr>
                <w:rFonts w:ascii="Arial Narrow" w:hAnsi="Arial Narrow" w:cs="TimesNewRoman,Bold"/>
                <w:b/>
                <w:bCs/>
                <w:color w:val="FFFFFF"/>
              </w:rPr>
              <w:t xml:space="preserve"> </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Μηνιαίος όγκος συναλλαγών επί τίτλων του Δη</w:t>
            </w:r>
            <w:r w:rsidRPr="0015043C">
              <w:rPr>
                <w:rFonts w:ascii="Arial Narrow" w:hAnsi="Arial Narrow" w:cs="TimesNewRoman,Bold"/>
                <w:b/>
                <w:bCs/>
                <w:color w:val="FFFFFF"/>
              </w:rPr>
              <w:t>μ</w:t>
            </w:r>
            <w:r w:rsidRPr="0015043C">
              <w:rPr>
                <w:rFonts w:ascii="Arial Narrow" w:hAnsi="Arial Narrow" w:cs="TimesNewRoman,Bold+1"/>
                <w:b/>
                <w:bCs/>
                <w:color w:val="FFFFFF"/>
              </w:rPr>
              <w:t>οσίου στην ΗΔΑΤ</w:t>
            </w:r>
            <w:r w:rsidRPr="0015043C">
              <w:rPr>
                <w:rFonts w:ascii="Arial Narrow" w:hAnsi="Arial Narrow" w:cs="TimesNewRoman,Bold"/>
                <w:b/>
                <w:bCs/>
                <w:color w:val="FFFFFF"/>
              </w:rPr>
              <w:t xml:space="preserve"> </w:t>
            </w:r>
          </w:p>
          <w:p w:rsidR="000D0A85" w:rsidRPr="0015043C" w:rsidRDefault="000D0A85" w:rsidP="00451ECA">
            <w:pPr>
              <w:autoSpaceDE w:val="0"/>
              <w:autoSpaceDN w:val="0"/>
              <w:adjustRightInd w:val="0"/>
              <w:spacing w:after="120"/>
              <w:jc w:val="center"/>
              <w:rPr>
                <w:rFonts w:ascii="Arial Narrow" w:hAnsi="Arial Narrow" w:cs="TimesNewRoman,Bold"/>
                <w:b/>
                <w:bCs/>
                <w:color w:val="FFFFFF"/>
              </w:rPr>
            </w:pPr>
            <w:r w:rsidRPr="0015043C">
              <w:rPr>
                <w:rFonts w:ascii="Arial Narrow" w:hAnsi="Arial Narrow" w:cs="TimesNewRoman,Bold"/>
                <w:b/>
                <w:bCs/>
                <w:color w:val="FFFFFF"/>
              </w:rPr>
              <w:t>(</w:t>
            </w:r>
            <w:r w:rsidRPr="0015043C">
              <w:rPr>
                <w:rFonts w:ascii="Arial Narrow" w:hAnsi="Arial Narrow" w:cs="TimesNewRoman,Bold+1"/>
                <w:b/>
                <w:bCs/>
                <w:color w:val="FFFFFF"/>
              </w:rPr>
              <w:t>σε εκατ</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ευρώ</w:t>
            </w:r>
            <w:r w:rsidRPr="0015043C">
              <w:rPr>
                <w:rFonts w:ascii="Arial Narrow" w:hAnsi="Arial Narrow" w:cs="TimesNewRoman,Bold"/>
                <w:b/>
                <w:bCs/>
                <w:color w:val="FFFFFF"/>
              </w:rPr>
              <w:t>)</w:t>
            </w:r>
          </w:p>
        </w:tc>
      </w:tr>
      <w:tr w:rsidR="000D0A85" w:rsidRPr="0015043C" w:rsidTr="00451ECA">
        <w:trPr>
          <w:trHeight w:val="120"/>
        </w:trPr>
        <w:tc>
          <w:tcPr>
            <w:tcW w:w="9306" w:type="dxa"/>
            <w:shd w:val="clear" w:color="auto" w:fill="auto"/>
          </w:tcPr>
          <w:p w:rsidR="000D0A85" w:rsidRPr="0015043C" w:rsidRDefault="00DC33EC" w:rsidP="00451ECA">
            <w:pPr>
              <w:autoSpaceDE w:val="0"/>
              <w:autoSpaceDN w:val="0"/>
              <w:adjustRightInd w:val="0"/>
              <w:jc w:val="center"/>
              <w:rPr>
                <w:rFonts w:ascii="Arial Narrow" w:hAnsi="Arial Narrow" w:cs="TimesNewRoman,Bold+1"/>
                <w:b/>
                <w:bCs/>
                <w:color w:val="FFFFFF"/>
              </w:rPr>
            </w:pPr>
            <w:r w:rsidRPr="00DC33EC">
              <w:rPr>
                <w:rFonts w:ascii="Arial Narrow" w:hAnsi="Arial Narrow" w:cs="TimesNewRoman,Bold+1"/>
                <w:b/>
                <w:bCs/>
                <w:noProof/>
                <w:color w:val="FFFFFF"/>
              </w:rPr>
              <w:drawing>
                <wp:inline distT="0" distB="0" distL="0" distR="0">
                  <wp:extent cx="5486400" cy="2747645"/>
                  <wp:effectExtent l="0" t="0" r="0" b="0"/>
                  <wp:docPr id="14"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0D0A85" w:rsidRPr="005C0AFA" w:rsidRDefault="000D0A85" w:rsidP="000D0A85">
      <w:pPr>
        <w:pStyle w:val="a9"/>
        <w:rPr>
          <w:rFonts w:ascii="Arial Narrow" w:hAnsi="Arial Narrow"/>
          <w:sz w:val="16"/>
          <w:szCs w:val="16"/>
        </w:rPr>
      </w:pPr>
      <w:r w:rsidRPr="005C0AFA">
        <w:rPr>
          <w:rFonts w:ascii="Arial Narrow" w:hAnsi="Arial Narrow"/>
          <w:sz w:val="16"/>
          <w:szCs w:val="16"/>
        </w:rPr>
        <w:t xml:space="preserve"> Πηγή: Τράπεζα Ελλάδος, ΗΔΑΤ</w:t>
      </w:r>
    </w:p>
    <w:p w:rsidR="000D0A85" w:rsidRDefault="000D0A85" w:rsidP="000D0A85">
      <w:pPr>
        <w:pStyle w:val="a9"/>
        <w:jc w:val="both"/>
        <w:rPr>
          <w:sz w:val="22"/>
          <w:szCs w:val="22"/>
        </w:rPr>
      </w:pPr>
      <w:r w:rsidRPr="00E76651">
        <w:rPr>
          <w:sz w:val="22"/>
          <w:szCs w:val="22"/>
        </w:rPr>
        <w:lastRenderedPageBreak/>
        <w:t xml:space="preserve">Η σύνθεση της ομάδας των βασικών διαπραγματευτών αγοράς κατά το τρέχον έτος αποτελείται από </w:t>
      </w:r>
      <w:r w:rsidR="00D77648">
        <w:rPr>
          <w:sz w:val="22"/>
          <w:szCs w:val="22"/>
        </w:rPr>
        <w:t>4 ελληνικά και 18</w:t>
      </w:r>
      <w:r w:rsidRPr="00E76651">
        <w:rPr>
          <w:sz w:val="22"/>
          <w:szCs w:val="22"/>
        </w:rPr>
        <w:t xml:space="preserve"> διεθνή πιστωτικά ιδ</w:t>
      </w:r>
      <w:r>
        <w:rPr>
          <w:sz w:val="22"/>
          <w:szCs w:val="22"/>
        </w:rPr>
        <w:t xml:space="preserve">ρύματα. </w:t>
      </w:r>
    </w:p>
    <w:p w:rsidR="00853FC4" w:rsidRPr="00735AF7" w:rsidRDefault="00853FC4" w:rsidP="000D0A85">
      <w:pPr>
        <w:pStyle w:val="a9"/>
        <w:jc w:val="both"/>
        <w:rPr>
          <w:sz w:val="22"/>
          <w:szCs w:val="22"/>
        </w:rPr>
      </w:pPr>
    </w:p>
    <w:p w:rsidR="000D0A85" w:rsidRPr="0015043C" w:rsidRDefault="003A6794" w:rsidP="000D0A85">
      <w:pPr>
        <w:shd w:val="clear" w:color="auto" w:fill="404040" w:themeFill="text1" w:themeFillTint="BF"/>
        <w:jc w:val="both"/>
        <w:rPr>
          <w:rFonts w:ascii="Arial Narrow" w:hAnsi="Arial Narrow"/>
          <w:b/>
          <w:bCs/>
          <w:color w:val="FFFFFF"/>
          <w:sz w:val="26"/>
          <w:szCs w:val="22"/>
        </w:rPr>
      </w:pPr>
      <w:r>
        <w:rPr>
          <w:rFonts w:ascii="Arial Narrow" w:hAnsi="Arial Narrow"/>
          <w:b/>
          <w:bCs/>
          <w:color w:val="FFFFFF"/>
          <w:sz w:val="26"/>
          <w:szCs w:val="22"/>
        </w:rPr>
        <w:t>7</w:t>
      </w:r>
      <w:r w:rsidR="000D0A85" w:rsidRPr="0015043C">
        <w:rPr>
          <w:rFonts w:ascii="Arial Narrow" w:hAnsi="Arial Narrow"/>
          <w:b/>
          <w:bCs/>
          <w:color w:val="FFFFFF"/>
          <w:sz w:val="26"/>
          <w:szCs w:val="22"/>
        </w:rPr>
        <w:t>.</w:t>
      </w:r>
      <w:r w:rsidR="000D0A85" w:rsidRPr="0015043C">
        <w:rPr>
          <w:rFonts w:ascii="Arial Narrow" w:hAnsi="Arial Narrow"/>
          <w:b/>
          <w:bCs/>
          <w:color w:val="FFFFFF"/>
          <w:sz w:val="26"/>
          <w:szCs w:val="22"/>
        </w:rPr>
        <w:tab/>
        <w:t xml:space="preserve">Βασικές κατευθύνσεις δανεισμού και </w:t>
      </w:r>
      <w:r w:rsidR="008175E7">
        <w:rPr>
          <w:rFonts w:ascii="Arial Narrow" w:hAnsi="Arial Narrow"/>
          <w:b/>
          <w:bCs/>
          <w:color w:val="FFFFFF"/>
          <w:sz w:val="26"/>
          <w:szCs w:val="22"/>
        </w:rPr>
        <w:t>διαχειριστικοί στόχοι έτους 2</w:t>
      </w:r>
      <w:r w:rsidR="00DC33EC">
        <w:rPr>
          <w:rFonts w:ascii="Arial Narrow" w:hAnsi="Arial Narrow"/>
          <w:b/>
          <w:bCs/>
          <w:color w:val="FFFFFF"/>
          <w:sz w:val="26"/>
          <w:szCs w:val="22"/>
        </w:rPr>
        <w:t>018</w:t>
      </w:r>
    </w:p>
    <w:p w:rsidR="000D0A85" w:rsidRDefault="000D0A85" w:rsidP="000D0A85">
      <w:pPr>
        <w:jc w:val="both"/>
        <w:rPr>
          <w:sz w:val="22"/>
          <w:szCs w:val="22"/>
        </w:rPr>
      </w:pPr>
    </w:p>
    <w:p w:rsidR="00DE70A1" w:rsidRPr="00DE70A1" w:rsidRDefault="00DE70A1" w:rsidP="00DE70A1">
      <w:pPr>
        <w:jc w:val="both"/>
        <w:rPr>
          <w:sz w:val="22"/>
          <w:szCs w:val="22"/>
        </w:rPr>
      </w:pPr>
      <w:r w:rsidRPr="00DE70A1">
        <w:rPr>
          <w:sz w:val="22"/>
          <w:szCs w:val="22"/>
        </w:rPr>
        <w:t>Κατά το τρέχον έτος συνεχίστηκε η αξιοποίηση και η βέλτιστη διαχείριση των ταμειακών διαθεσίμων των φορέων της Γενικής Κυβέρνησης, μέσω εφαρμογής προγράμματος πράξεων διαχείρισης ταμει</w:t>
      </w:r>
      <w:r w:rsidRPr="00DE70A1">
        <w:rPr>
          <w:sz w:val="22"/>
          <w:szCs w:val="22"/>
        </w:rPr>
        <w:t>α</w:t>
      </w:r>
      <w:r w:rsidRPr="00DE70A1">
        <w:rPr>
          <w:sz w:val="22"/>
          <w:szCs w:val="22"/>
        </w:rPr>
        <w:t xml:space="preserve">κής ρευστότητας υπό τη μορφή </w:t>
      </w:r>
      <w:proofErr w:type="spellStart"/>
      <w:r w:rsidRPr="00DE70A1">
        <w:rPr>
          <w:sz w:val="22"/>
          <w:szCs w:val="22"/>
        </w:rPr>
        <w:t>repo</w:t>
      </w:r>
      <w:proofErr w:type="spellEnd"/>
      <w:r w:rsidRPr="00DE70A1">
        <w:rPr>
          <w:sz w:val="22"/>
          <w:szCs w:val="22"/>
        </w:rPr>
        <w:t xml:space="preserve"> </w:t>
      </w:r>
      <w:proofErr w:type="spellStart"/>
      <w:r w:rsidRPr="00DE70A1">
        <w:rPr>
          <w:sz w:val="22"/>
          <w:szCs w:val="22"/>
        </w:rPr>
        <w:t>agreements</w:t>
      </w:r>
      <w:proofErr w:type="spellEnd"/>
      <w:r w:rsidRPr="00DE70A1">
        <w:rPr>
          <w:sz w:val="22"/>
          <w:szCs w:val="22"/>
        </w:rPr>
        <w:t>, τις οποίες συνάπτει ο Οργανισμός Διαχείρισης Δ</w:t>
      </w:r>
      <w:r w:rsidRPr="00DE70A1">
        <w:rPr>
          <w:sz w:val="22"/>
          <w:szCs w:val="22"/>
        </w:rPr>
        <w:t>η</w:t>
      </w:r>
      <w:r w:rsidRPr="00DE70A1">
        <w:rPr>
          <w:sz w:val="22"/>
          <w:szCs w:val="22"/>
        </w:rPr>
        <w:t xml:space="preserve">μοσίου Χρέους (ΟΔΔΗΧ). </w:t>
      </w:r>
    </w:p>
    <w:p w:rsidR="00DE70A1" w:rsidRPr="00DE70A1" w:rsidRDefault="00DE70A1" w:rsidP="00DE70A1">
      <w:pPr>
        <w:jc w:val="both"/>
        <w:rPr>
          <w:sz w:val="22"/>
          <w:szCs w:val="22"/>
        </w:rPr>
      </w:pPr>
    </w:p>
    <w:p w:rsidR="00DE70A1" w:rsidRPr="00DE70A1" w:rsidRDefault="00DE70A1" w:rsidP="00DE70A1">
      <w:pPr>
        <w:jc w:val="both"/>
        <w:rPr>
          <w:sz w:val="22"/>
          <w:szCs w:val="22"/>
        </w:rPr>
      </w:pPr>
      <w:r w:rsidRPr="00DE70A1">
        <w:rPr>
          <w:sz w:val="22"/>
          <w:szCs w:val="22"/>
        </w:rPr>
        <w:t xml:space="preserve">Με το πρόγραμμα αυτό αξιοποιείται πλέον το μεγαλύτερο μέρος των ταμειακών διαθεσίμων των εν λόγω φορέων με </w:t>
      </w:r>
      <w:r w:rsidR="003B5F2D">
        <w:rPr>
          <w:sz w:val="22"/>
          <w:szCs w:val="22"/>
        </w:rPr>
        <w:t xml:space="preserve">ιδιαίτερα </w:t>
      </w:r>
      <w:r w:rsidRPr="00DE70A1">
        <w:rPr>
          <w:sz w:val="22"/>
          <w:szCs w:val="22"/>
        </w:rPr>
        <w:t>αποτελεσματικό τρόπο, παρέχοντ</w:t>
      </w:r>
      <w:r w:rsidR="00BD0558">
        <w:rPr>
          <w:sz w:val="22"/>
          <w:szCs w:val="22"/>
        </w:rPr>
        <w:t>α</w:t>
      </w:r>
      <w:r w:rsidRPr="00DE70A1">
        <w:rPr>
          <w:sz w:val="22"/>
          <w:szCs w:val="22"/>
        </w:rPr>
        <w:t xml:space="preserve">ς </w:t>
      </w:r>
      <w:r w:rsidR="00BD0558" w:rsidRPr="00DE70A1">
        <w:rPr>
          <w:sz w:val="22"/>
          <w:szCs w:val="22"/>
        </w:rPr>
        <w:t xml:space="preserve">επ’ ωφελεία </w:t>
      </w:r>
      <w:r w:rsidR="00BD0558">
        <w:rPr>
          <w:sz w:val="22"/>
          <w:szCs w:val="22"/>
        </w:rPr>
        <w:t xml:space="preserve">τους </w:t>
      </w:r>
      <w:r w:rsidRPr="00DE70A1">
        <w:rPr>
          <w:sz w:val="22"/>
          <w:szCs w:val="22"/>
        </w:rPr>
        <w:t>ανταγωνιστικές υψ</w:t>
      </w:r>
      <w:r w:rsidRPr="00DE70A1">
        <w:rPr>
          <w:sz w:val="22"/>
          <w:szCs w:val="22"/>
        </w:rPr>
        <w:t>η</w:t>
      </w:r>
      <w:r w:rsidRPr="00DE70A1">
        <w:rPr>
          <w:sz w:val="22"/>
          <w:szCs w:val="22"/>
        </w:rPr>
        <w:t>λές αποδόσεις, διασφαλίζοντας</w:t>
      </w:r>
      <w:r w:rsidR="00BD0558">
        <w:rPr>
          <w:sz w:val="22"/>
          <w:szCs w:val="22"/>
        </w:rPr>
        <w:t xml:space="preserve"> ταυτόχρονα</w:t>
      </w:r>
      <w:r w:rsidRPr="00DE70A1">
        <w:rPr>
          <w:sz w:val="22"/>
          <w:szCs w:val="22"/>
        </w:rPr>
        <w:t xml:space="preserve"> αντίστοιχο όφελος ως προς το δημοσιονομικό αποτέλ</w:t>
      </w:r>
      <w:r w:rsidRPr="00DE70A1">
        <w:rPr>
          <w:sz w:val="22"/>
          <w:szCs w:val="22"/>
        </w:rPr>
        <w:t>ε</w:t>
      </w:r>
      <w:r w:rsidRPr="00DE70A1">
        <w:rPr>
          <w:sz w:val="22"/>
          <w:szCs w:val="22"/>
        </w:rPr>
        <w:t>σμα της Γενικής Κυβέρνησης, με σωρευτικά θετικές επιπτώσεις για τη βιωσιμότητα του δημοσίου χρέους. Για το έτος 2018 θα συνεχισθεί η περαιτέρω επέκταση και εμβάθυνση του προγράμματος α</w:t>
      </w:r>
      <w:r w:rsidRPr="00DE70A1">
        <w:rPr>
          <w:sz w:val="22"/>
          <w:szCs w:val="22"/>
        </w:rPr>
        <w:t>υ</w:t>
      </w:r>
      <w:r w:rsidRPr="00DE70A1">
        <w:rPr>
          <w:sz w:val="22"/>
          <w:szCs w:val="22"/>
        </w:rPr>
        <w:t xml:space="preserve">τού με απώτερο στόχο την ολοκλήρωση της δημιουργίας ενιαίου λογαριασμού διαχείρισης ταμειακών διαθεσίμων. </w:t>
      </w:r>
    </w:p>
    <w:p w:rsidR="00DE70A1" w:rsidRPr="00DE70A1" w:rsidRDefault="00DE70A1" w:rsidP="00DE70A1">
      <w:pPr>
        <w:jc w:val="both"/>
        <w:rPr>
          <w:sz w:val="22"/>
          <w:szCs w:val="22"/>
        </w:rPr>
      </w:pPr>
    </w:p>
    <w:p w:rsidR="00DE70A1" w:rsidRPr="00DE70A1" w:rsidRDefault="00DE70A1" w:rsidP="00DE70A1">
      <w:pPr>
        <w:jc w:val="both"/>
        <w:rPr>
          <w:sz w:val="22"/>
          <w:szCs w:val="22"/>
        </w:rPr>
      </w:pPr>
      <w:r w:rsidRPr="00DE70A1">
        <w:rPr>
          <w:sz w:val="22"/>
          <w:szCs w:val="22"/>
        </w:rPr>
        <w:t>Η βραχυπρόθεσμη χρηματοδότηση του Ελληνικού Δημοσίου για το έτος 2018 θα συνεχίσει να υλ</w:t>
      </w:r>
      <w:r w:rsidRPr="00DE70A1">
        <w:rPr>
          <w:sz w:val="22"/>
          <w:szCs w:val="22"/>
        </w:rPr>
        <w:t>ο</w:t>
      </w:r>
      <w:r w:rsidRPr="00DE70A1">
        <w:rPr>
          <w:sz w:val="22"/>
          <w:szCs w:val="22"/>
        </w:rPr>
        <w:t>ποιείται και μέσω εκδόσεων εντόκων γραμματίων.</w:t>
      </w:r>
    </w:p>
    <w:p w:rsidR="00DE70A1" w:rsidRPr="00DE70A1" w:rsidRDefault="00DE70A1" w:rsidP="00DE70A1">
      <w:pPr>
        <w:jc w:val="both"/>
        <w:rPr>
          <w:sz w:val="22"/>
          <w:szCs w:val="22"/>
        </w:rPr>
      </w:pPr>
    </w:p>
    <w:p w:rsidR="00DE70A1" w:rsidRPr="00DE70A1" w:rsidRDefault="00DE70A1" w:rsidP="00DE70A1">
      <w:pPr>
        <w:jc w:val="both"/>
        <w:rPr>
          <w:sz w:val="22"/>
          <w:szCs w:val="22"/>
        </w:rPr>
      </w:pPr>
      <w:r w:rsidRPr="00DE70A1">
        <w:rPr>
          <w:sz w:val="22"/>
          <w:szCs w:val="22"/>
        </w:rPr>
        <w:t>Επιπροσθέτως, με στόχο την αναδημιουργία επαρκούς ρευστότητας και μίας αντιπροσωπευτικής κ</w:t>
      </w:r>
      <w:r w:rsidRPr="00DE70A1">
        <w:rPr>
          <w:sz w:val="22"/>
          <w:szCs w:val="22"/>
        </w:rPr>
        <w:t>α</w:t>
      </w:r>
      <w:r w:rsidRPr="00DE70A1">
        <w:rPr>
          <w:sz w:val="22"/>
          <w:szCs w:val="22"/>
        </w:rPr>
        <w:t xml:space="preserve">μπύλης αποδόσεων ομολόγων αναφοράς του Ελληνικού Δημοσίου, καθώς και τη δημιουργία επαρκών ταμειακών διαθεσίμων ασφαλείας για την απρόσκοπτη χρηματοδότηση του ΕΔ, αποκλειστικά από την διεθνή και εγχώρια αγορά κεφαλαίων μετά τη λήξη του τρέχοντος προγράμματος, θα επιχειρηθεί εκ νέου η έξοδος στις αγορές. </w:t>
      </w:r>
    </w:p>
    <w:p w:rsidR="00DE70A1" w:rsidRPr="00DE70A1" w:rsidRDefault="00DE70A1" w:rsidP="00DE70A1">
      <w:pPr>
        <w:jc w:val="both"/>
        <w:rPr>
          <w:sz w:val="22"/>
          <w:szCs w:val="22"/>
        </w:rPr>
      </w:pPr>
    </w:p>
    <w:p w:rsidR="00DE70A1" w:rsidRPr="00DE70A1" w:rsidRDefault="00DE70A1" w:rsidP="00DE70A1">
      <w:pPr>
        <w:jc w:val="both"/>
        <w:rPr>
          <w:sz w:val="22"/>
          <w:szCs w:val="22"/>
        </w:rPr>
      </w:pPr>
      <w:r w:rsidRPr="00DE70A1">
        <w:rPr>
          <w:sz w:val="22"/>
          <w:szCs w:val="22"/>
        </w:rPr>
        <w:t xml:space="preserve">Στους σχεδιασμούς, μεταξύ άλλων, περιλαμβάνεται σειρά νέων ομολογιακών εκδόσεων σταθερού </w:t>
      </w:r>
      <w:r w:rsidRPr="00DE70A1">
        <w:rPr>
          <w:sz w:val="22"/>
          <w:szCs w:val="22"/>
        </w:rPr>
        <w:t>ε</w:t>
      </w:r>
      <w:r w:rsidRPr="00DE70A1">
        <w:rPr>
          <w:sz w:val="22"/>
          <w:szCs w:val="22"/>
        </w:rPr>
        <w:t>πιτοκίου με κομβικές διάρκειες, ενώ εντός του Νοεμβρίου θα πραγματοποιηθεί η ανταλλαγή των ομ</w:t>
      </w:r>
      <w:r w:rsidRPr="00DE70A1">
        <w:rPr>
          <w:sz w:val="22"/>
          <w:szCs w:val="22"/>
        </w:rPr>
        <w:t>ο</w:t>
      </w:r>
      <w:r w:rsidRPr="00DE70A1">
        <w:rPr>
          <w:sz w:val="22"/>
          <w:szCs w:val="22"/>
        </w:rPr>
        <w:t>λόγων προερχόμενων από το PSI με νέα ομόλογα, στο πλαίσιο ενός συντεταγμένου προγράμματος δ</w:t>
      </w:r>
      <w:r w:rsidRPr="00DE70A1">
        <w:rPr>
          <w:sz w:val="22"/>
          <w:szCs w:val="22"/>
        </w:rPr>
        <w:t>ι</w:t>
      </w:r>
      <w:r w:rsidRPr="00DE70A1">
        <w:rPr>
          <w:sz w:val="22"/>
          <w:szCs w:val="22"/>
        </w:rPr>
        <w:t>αχείρισης υφιστάμενων υποχρεώσεων χαρτοφυλακίου χρέους (LME-</w:t>
      </w:r>
      <w:proofErr w:type="spellStart"/>
      <w:r w:rsidRPr="00DE70A1">
        <w:rPr>
          <w:sz w:val="22"/>
          <w:szCs w:val="22"/>
        </w:rPr>
        <w:t>Liabilit</w:t>
      </w:r>
      <w:proofErr w:type="spellEnd"/>
      <w:r w:rsidRPr="00DE70A1">
        <w:rPr>
          <w:sz w:val="22"/>
          <w:szCs w:val="22"/>
        </w:rPr>
        <w:t xml:space="preserve">y </w:t>
      </w:r>
      <w:proofErr w:type="spellStart"/>
      <w:r w:rsidRPr="00DE70A1">
        <w:rPr>
          <w:sz w:val="22"/>
          <w:szCs w:val="22"/>
        </w:rPr>
        <w:t>Management</w:t>
      </w:r>
      <w:proofErr w:type="spellEnd"/>
      <w:r w:rsidRPr="00DE70A1">
        <w:rPr>
          <w:sz w:val="22"/>
          <w:szCs w:val="22"/>
        </w:rPr>
        <w:t xml:space="preserve"> </w:t>
      </w:r>
      <w:proofErr w:type="spellStart"/>
      <w:r w:rsidRPr="00DE70A1">
        <w:rPr>
          <w:sz w:val="22"/>
          <w:szCs w:val="22"/>
        </w:rPr>
        <w:t>Exercise</w:t>
      </w:r>
      <w:proofErr w:type="spellEnd"/>
      <w:r w:rsidRPr="00DE70A1">
        <w:rPr>
          <w:sz w:val="22"/>
          <w:szCs w:val="22"/>
        </w:rPr>
        <w:t>), κατά τα πρότυπα της πρόσφατης επιτυχημένης έκδοσης του νέου 5-ετούς Ομολόγου του Ελληνικού Δημοσίου (ΟΕΔ) λήξης 2022 και της αντίστοιχης ανταλλαγής ΟΕΔ λήξης 2019, που έλαβαν χώρα την 1</w:t>
      </w:r>
      <w:r>
        <w:rPr>
          <w:sz w:val="22"/>
          <w:szCs w:val="22"/>
        </w:rPr>
        <w:t>η</w:t>
      </w:r>
      <w:r w:rsidRPr="00DE70A1">
        <w:rPr>
          <w:sz w:val="22"/>
          <w:szCs w:val="22"/>
        </w:rPr>
        <w:t xml:space="preserve"> Αυγούστου 2017.</w:t>
      </w:r>
    </w:p>
    <w:p w:rsidR="00DE70A1" w:rsidRPr="00DE70A1" w:rsidRDefault="00DE70A1" w:rsidP="00DE70A1">
      <w:pPr>
        <w:jc w:val="both"/>
        <w:rPr>
          <w:sz w:val="22"/>
          <w:szCs w:val="22"/>
        </w:rPr>
      </w:pPr>
    </w:p>
    <w:p w:rsidR="00DE70A1" w:rsidRPr="00DE70A1" w:rsidRDefault="00DE70A1" w:rsidP="00DE70A1">
      <w:pPr>
        <w:jc w:val="both"/>
        <w:rPr>
          <w:sz w:val="22"/>
          <w:szCs w:val="22"/>
        </w:rPr>
      </w:pPr>
      <w:r w:rsidRPr="00DE70A1">
        <w:rPr>
          <w:sz w:val="22"/>
          <w:szCs w:val="22"/>
        </w:rPr>
        <w:t xml:space="preserve">Σημειώνεται ότι στο πλαίσιο της αρχής της ευρωπαϊκής αλληλεγγύης, από τις πρόσφατες αποφάσεις του </w:t>
      </w:r>
      <w:proofErr w:type="spellStart"/>
      <w:r w:rsidRPr="00DE70A1">
        <w:rPr>
          <w:sz w:val="22"/>
          <w:szCs w:val="22"/>
        </w:rPr>
        <w:t>Eurogroup</w:t>
      </w:r>
      <w:proofErr w:type="spellEnd"/>
      <w:r w:rsidRPr="00DE70A1">
        <w:rPr>
          <w:sz w:val="22"/>
          <w:szCs w:val="22"/>
        </w:rPr>
        <w:t xml:space="preserve"> της 15ης Ιουνίου 2017, διασφαλίζεται η επί της ουσίας παροχή έμμεσης εγγύησης από τους Ευρωπαίους Εταίρους προς το ΕΔ για απρόσκοπτη έξοδό του στις αγορές, με πιθανή εκταμίευση στο τέλος του προγράμματος μέρους των αδιάθετων δανειακών κεφαλαίων του τρέχοντος προγρά</w:t>
      </w:r>
      <w:r w:rsidRPr="00DE70A1">
        <w:rPr>
          <w:sz w:val="22"/>
          <w:szCs w:val="22"/>
        </w:rPr>
        <w:t>μ</w:t>
      </w:r>
      <w:r w:rsidRPr="00DE70A1">
        <w:rPr>
          <w:sz w:val="22"/>
          <w:szCs w:val="22"/>
        </w:rPr>
        <w:t>ματος, με στόχο τη δημιουργία ταμειακών διαθεσίμων ασφαλείας του ΕΔ.</w:t>
      </w:r>
    </w:p>
    <w:p w:rsidR="00DE70A1" w:rsidRPr="00DE70A1" w:rsidRDefault="00DE70A1" w:rsidP="00DE70A1">
      <w:pPr>
        <w:jc w:val="both"/>
        <w:rPr>
          <w:sz w:val="22"/>
          <w:szCs w:val="22"/>
        </w:rPr>
      </w:pPr>
    </w:p>
    <w:p w:rsidR="00DE70A1" w:rsidRPr="00DE70A1" w:rsidRDefault="00DE70A1" w:rsidP="00DE70A1">
      <w:pPr>
        <w:jc w:val="both"/>
        <w:rPr>
          <w:sz w:val="22"/>
          <w:szCs w:val="22"/>
        </w:rPr>
      </w:pPr>
      <w:r w:rsidRPr="00DE70A1">
        <w:rPr>
          <w:sz w:val="22"/>
          <w:szCs w:val="22"/>
        </w:rPr>
        <w:t>Τα παραπάνω, σε συνδυασμό με τις αντίστοιχες αποφάσεις για λήψη περαιτέρω μέτρων ελάφρυνσης του δημοσίου χρέους σε μέσο</w:t>
      </w:r>
      <w:r>
        <w:rPr>
          <w:sz w:val="22"/>
          <w:szCs w:val="22"/>
        </w:rPr>
        <w:t>-</w:t>
      </w:r>
      <w:r w:rsidRPr="00DE70A1">
        <w:rPr>
          <w:sz w:val="22"/>
          <w:szCs w:val="22"/>
        </w:rPr>
        <w:t>μακροχρόνιο ορίζοντα και την ενδεχόμενη σύνδεση αυτών με τους ρυθμούς οικονομικής ανάπτυξης, εφόσον αυτά κριθούν απαραίτητα,</w:t>
      </w:r>
      <w:r w:rsidR="00F846B6">
        <w:rPr>
          <w:sz w:val="22"/>
          <w:szCs w:val="22"/>
        </w:rPr>
        <w:t xml:space="preserve"> </w:t>
      </w:r>
      <w:r w:rsidRPr="00DE70A1">
        <w:rPr>
          <w:sz w:val="22"/>
          <w:szCs w:val="22"/>
        </w:rPr>
        <w:t>αναμένεται να οδηγήσουν σε σ</w:t>
      </w:r>
      <w:r w:rsidRPr="00DE70A1">
        <w:rPr>
          <w:sz w:val="22"/>
          <w:szCs w:val="22"/>
        </w:rPr>
        <w:t>η</w:t>
      </w:r>
      <w:r w:rsidRPr="00DE70A1">
        <w:rPr>
          <w:sz w:val="22"/>
          <w:szCs w:val="22"/>
        </w:rPr>
        <w:t>μαντική αύξηση της ρευστότητας τόσο του ΕΔ ειδικά, όσο και της ελληνικής οικονομίας γενικότερα, καθώς και στη σημαντική βελτίωση του οικονομικού και επενδυτικού κλίματος για τη χώρα, παράγ</w:t>
      </w:r>
      <w:r w:rsidRPr="00DE70A1">
        <w:rPr>
          <w:sz w:val="22"/>
          <w:szCs w:val="22"/>
        </w:rPr>
        <w:t>ο</w:t>
      </w:r>
      <w:r w:rsidRPr="00DE70A1">
        <w:rPr>
          <w:sz w:val="22"/>
          <w:szCs w:val="22"/>
        </w:rPr>
        <w:t>ντες εξαιρετικά κρίσιμοι για οριστική έξοδο από την κρίση.</w:t>
      </w:r>
    </w:p>
    <w:p w:rsidR="00DE70A1" w:rsidRPr="00DE70A1" w:rsidRDefault="00DE70A1" w:rsidP="00DE70A1">
      <w:pPr>
        <w:jc w:val="both"/>
        <w:rPr>
          <w:sz w:val="22"/>
          <w:szCs w:val="22"/>
        </w:rPr>
      </w:pPr>
    </w:p>
    <w:p w:rsidR="00DE70A1" w:rsidRPr="00DE70A1" w:rsidRDefault="00DE70A1" w:rsidP="00DE70A1">
      <w:pPr>
        <w:jc w:val="both"/>
        <w:rPr>
          <w:sz w:val="22"/>
          <w:szCs w:val="22"/>
        </w:rPr>
      </w:pPr>
      <w:r w:rsidRPr="00DE70A1">
        <w:rPr>
          <w:sz w:val="22"/>
          <w:szCs w:val="22"/>
        </w:rPr>
        <w:t>Επίσης, κατά το επόμενο έτος, θα διατηρηθούν οι βασικοί μεσοπρόθεσμοι στόχοι διαχείρισης του χαρτοφυλακίου δημοσίου χρέους, όπως είναι η διατήρηση του συναλλαγματικού κινδύνου στα σημ</w:t>
      </w:r>
      <w:r w:rsidRPr="00DE70A1">
        <w:rPr>
          <w:sz w:val="22"/>
          <w:szCs w:val="22"/>
        </w:rPr>
        <w:t>ε</w:t>
      </w:r>
      <w:r w:rsidRPr="00DE70A1">
        <w:rPr>
          <w:sz w:val="22"/>
          <w:szCs w:val="22"/>
        </w:rPr>
        <w:t>ρινά ελάχιστα επίπεδα για τα δάνεια εκτός ευρώ και η βελτίωση της αναλογίας χρέους σταθερού επ</w:t>
      </w:r>
      <w:r w:rsidRPr="00DE70A1">
        <w:rPr>
          <w:sz w:val="22"/>
          <w:szCs w:val="22"/>
        </w:rPr>
        <w:t>ι</w:t>
      </w:r>
      <w:r w:rsidRPr="00DE70A1">
        <w:rPr>
          <w:sz w:val="22"/>
          <w:szCs w:val="22"/>
        </w:rPr>
        <w:t xml:space="preserve">τοκίου στο σύνολο του χαρτοφυλακίου. </w:t>
      </w:r>
    </w:p>
    <w:p w:rsidR="00DE70A1" w:rsidRPr="00DE70A1" w:rsidRDefault="00DE70A1" w:rsidP="00DE70A1">
      <w:pPr>
        <w:jc w:val="both"/>
        <w:rPr>
          <w:sz w:val="22"/>
          <w:szCs w:val="22"/>
        </w:rPr>
      </w:pPr>
    </w:p>
    <w:p w:rsidR="00BA1AB3" w:rsidRDefault="00DE70A1" w:rsidP="00291703">
      <w:pPr>
        <w:jc w:val="both"/>
        <w:rPr>
          <w:sz w:val="22"/>
          <w:szCs w:val="22"/>
        </w:rPr>
      </w:pPr>
      <w:r w:rsidRPr="00DE70A1">
        <w:rPr>
          <w:sz w:val="22"/>
          <w:szCs w:val="22"/>
        </w:rPr>
        <w:lastRenderedPageBreak/>
        <w:t>Καθοριστικό ρόλο για την επίτευξη των προαναφερόμενων διαχειριστικών στόχων θα έχουν τα βρ</w:t>
      </w:r>
      <w:r w:rsidRPr="00DE70A1">
        <w:rPr>
          <w:sz w:val="22"/>
          <w:szCs w:val="22"/>
        </w:rPr>
        <w:t>α</w:t>
      </w:r>
      <w:r w:rsidRPr="00DE70A1">
        <w:rPr>
          <w:sz w:val="22"/>
          <w:szCs w:val="22"/>
        </w:rPr>
        <w:t xml:space="preserve">χυπρόθεσμα μέτρα για την αναδιάρθρωση του ελληνικού χρέους, που αναμένεται να ολοκληρωθούν έως τη λήξη του προγράμματος, τον Αύγουστο του 2018. </w:t>
      </w:r>
      <w:r w:rsidR="007B5390">
        <w:rPr>
          <w:sz w:val="22"/>
          <w:szCs w:val="22"/>
        </w:rPr>
        <w:t>Κύρια επιδίωξη των μέτρων αυτών αποτ</w:t>
      </w:r>
      <w:r w:rsidR="007B5390">
        <w:rPr>
          <w:sz w:val="22"/>
          <w:szCs w:val="22"/>
        </w:rPr>
        <w:t>ε</w:t>
      </w:r>
      <w:r w:rsidR="007B5390">
        <w:rPr>
          <w:sz w:val="22"/>
          <w:szCs w:val="22"/>
        </w:rPr>
        <w:t xml:space="preserve">λεί, μεταξύ άλλων, </w:t>
      </w:r>
      <w:r w:rsidRPr="00DE70A1">
        <w:rPr>
          <w:sz w:val="22"/>
          <w:szCs w:val="22"/>
        </w:rPr>
        <w:t xml:space="preserve">η αντιστάθμιση του υφιστάμενου </w:t>
      </w:r>
      <w:proofErr w:type="spellStart"/>
      <w:r w:rsidRPr="00DE70A1">
        <w:rPr>
          <w:sz w:val="22"/>
          <w:szCs w:val="22"/>
        </w:rPr>
        <w:t>επιτοκιακού</w:t>
      </w:r>
      <w:proofErr w:type="spellEnd"/>
      <w:r w:rsidRPr="00DE70A1">
        <w:rPr>
          <w:sz w:val="22"/>
          <w:szCs w:val="22"/>
        </w:rPr>
        <w:t xml:space="preserve"> κινδύνου του χαρτοφυλακίου δημ</w:t>
      </w:r>
      <w:r w:rsidRPr="00DE70A1">
        <w:rPr>
          <w:sz w:val="22"/>
          <w:szCs w:val="22"/>
        </w:rPr>
        <w:t>ο</w:t>
      </w:r>
      <w:r w:rsidRPr="00DE70A1">
        <w:rPr>
          <w:sz w:val="22"/>
          <w:szCs w:val="22"/>
        </w:rPr>
        <w:t xml:space="preserve">σίου χρέους με στόχο τη βέλτιστη </w:t>
      </w:r>
      <w:proofErr w:type="spellStart"/>
      <w:r w:rsidRPr="00DE70A1">
        <w:rPr>
          <w:sz w:val="22"/>
          <w:szCs w:val="22"/>
        </w:rPr>
        <w:t>προβλεψιμότητα</w:t>
      </w:r>
      <w:proofErr w:type="spellEnd"/>
      <w:r w:rsidRPr="00DE70A1">
        <w:rPr>
          <w:sz w:val="22"/>
          <w:szCs w:val="22"/>
        </w:rPr>
        <w:t xml:space="preserve"> των μελλοντικών δαπανών εξυπηρέτησής του</w:t>
      </w:r>
      <w:r w:rsidR="007B5390">
        <w:rPr>
          <w:sz w:val="22"/>
          <w:szCs w:val="22"/>
        </w:rPr>
        <w:t>,</w:t>
      </w:r>
      <w:r w:rsidRPr="00DE70A1">
        <w:rPr>
          <w:sz w:val="22"/>
          <w:szCs w:val="22"/>
        </w:rPr>
        <w:t xml:space="preserve"> με προοπτική τη συνέχιση της εκδοτικής δραστηριότητας της χώρας στις διεθνείς αγορές.</w:t>
      </w:r>
    </w:p>
    <w:p w:rsidR="00BA1AB3" w:rsidRDefault="00BA1AB3">
      <w:pPr>
        <w:rPr>
          <w:sz w:val="22"/>
          <w:szCs w:val="22"/>
        </w:rPr>
      </w:pPr>
    </w:p>
    <w:p w:rsidR="00BA1AB3" w:rsidRPr="0018754F" w:rsidRDefault="00BA1AB3" w:rsidP="00BA1AB3">
      <w:pPr>
        <w:jc w:val="both"/>
        <w:rPr>
          <w:sz w:val="22"/>
          <w:szCs w:val="22"/>
        </w:rPr>
      </w:pPr>
    </w:p>
    <w:p w:rsidR="00BA1AB3" w:rsidRPr="009367DF" w:rsidRDefault="00BA1AB3" w:rsidP="00BA1AB3">
      <w:pPr>
        <w:shd w:val="clear" w:color="auto" w:fill="595959"/>
        <w:jc w:val="both"/>
        <w:rPr>
          <w:rFonts w:ascii="Arial Narrow" w:hAnsi="Arial Narrow"/>
          <w:b/>
          <w:color w:val="FFFFFF"/>
          <w:sz w:val="26"/>
          <w:szCs w:val="26"/>
        </w:rPr>
      </w:pPr>
      <w:r w:rsidRPr="009367DF">
        <w:rPr>
          <w:rFonts w:ascii="Arial Narrow" w:hAnsi="Arial Narrow"/>
          <w:b/>
          <w:color w:val="FFFFFF"/>
          <w:sz w:val="26"/>
          <w:szCs w:val="26"/>
        </w:rPr>
        <w:t xml:space="preserve">ΕΓΓΥΗΣΕΙΣ </w:t>
      </w:r>
    </w:p>
    <w:p w:rsidR="00BA1AB3" w:rsidRPr="009367DF" w:rsidRDefault="00BA1AB3" w:rsidP="00BA1AB3">
      <w:pPr>
        <w:jc w:val="both"/>
        <w:rPr>
          <w:sz w:val="22"/>
          <w:szCs w:val="22"/>
        </w:rPr>
      </w:pPr>
    </w:p>
    <w:p w:rsidR="00BA1AB3" w:rsidRDefault="00BA1AB3" w:rsidP="00BA1AB3">
      <w:pPr>
        <w:jc w:val="both"/>
        <w:rPr>
          <w:sz w:val="22"/>
          <w:szCs w:val="22"/>
        </w:rPr>
      </w:pPr>
    </w:p>
    <w:p w:rsidR="00BA1AB3" w:rsidRPr="005C2E30" w:rsidRDefault="00BA1AB3" w:rsidP="00BA1AB3">
      <w:pPr>
        <w:jc w:val="both"/>
        <w:rPr>
          <w:sz w:val="22"/>
          <w:szCs w:val="22"/>
        </w:rPr>
      </w:pPr>
      <w:r w:rsidRPr="005C2E30">
        <w:rPr>
          <w:sz w:val="22"/>
          <w:szCs w:val="22"/>
        </w:rPr>
        <w:t xml:space="preserve">Η </w:t>
      </w:r>
      <w:r>
        <w:rPr>
          <w:sz w:val="22"/>
          <w:szCs w:val="22"/>
        </w:rPr>
        <w:t>χορήγηση</w:t>
      </w:r>
      <w:r w:rsidRPr="005C2E30">
        <w:rPr>
          <w:sz w:val="22"/>
          <w:szCs w:val="22"/>
        </w:rPr>
        <w:t xml:space="preserve"> εγγυήσεων από το Ελληνικό Δημόσιο αποτελεί ένα σημαντικό </w:t>
      </w:r>
      <w:r w:rsidR="00F846B6">
        <w:rPr>
          <w:sz w:val="22"/>
          <w:szCs w:val="22"/>
        </w:rPr>
        <w:t xml:space="preserve">εργαλείο άσκησης </w:t>
      </w:r>
      <w:proofErr w:type="spellStart"/>
      <w:r w:rsidR="00F846B6">
        <w:rPr>
          <w:sz w:val="22"/>
          <w:szCs w:val="22"/>
        </w:rPr>
        <w:t>δημ</w:t>
      </w:r>
      <w:r w:rsidR="00F846B6">
        <w:rPr>
          <w:sz w:val="22"/>
          <w:szCs w:val="22"/>
        </w:rPr>
        <w:t>ο</w:t>
      </w:r>
      <w:r w:rsidR="00F846B6">
        <w:rPr>
          <w:sz w:val="22"/>
          <w:szCs w:val="22"/>
        </w:rPr>
        <w:t>σιονομκής</w:t>
      </w:r>
      <w:proofErr w:type="spellEnd"/>
      <w:r w:rsidR="00F846B6">
        <w:rPr>
          <w:sz w:val="22"/>
          <w:szCs w:val="22"/>
        </w:rPr>
        <w:t xml:space="preserve"> πολιτικής </w:t>
      </w:r>
      <w:r w:rsidRPr="005C2E30">
        <w:rPr>
          <w:sz w:val="22"/>
          <w:szCs w:val="22"/>
        </w:rPr>
        <w:t>, το οποίο μέχρι σήμερα έχει χρησιμοποιηθεί</w:t>
      </w:r>
      <w:r>
        <w:rPr>
          <w:sz w:val="22"/>
          <w:szCs w:val="22"/>
        </w:rPr>
        <w:t>,</w:t>
      </w:r>
      <w:r w:rsidRPr="005C2E30">
        <w:rPr>
          <w:sz w:val="22"/>
          <w:szCs w:val="22"/>
        </w:rPr>
        <w:t xml:space="preserve"> σε μεγάλο βαθμό</w:t>
      </w:r>
      <w:r>
        <w:rPr>
          <w:sz w:val="22"/>
          <w:szCs w:val="22"/>
        </w:rPr>
        <w:t>,</w:t>
      </w:r>
      <w:r w:rsidRPr="005C2E30">
        <w:rPr>
          <w:sz w:val="22"/>
          <w:szCs w:val="22"/>
        </w:rPr>
        <w:t xml:space="preserve"> για τη χρηματ</w:t>
      </w:r>
      <w:r w:rsidRPr="005C2E30">
        <w:rPr>
          <w:sz w:val="22"/>
          <w:szCs w:val="22"/>
        </w:rPr>
        <w:t>ο</w:t>
      </w:r>
      <w:r w:rsidRPr="005C2E30">
        <w:rPr>
          <w:sz w:val="22"/>
          <w:szCs w:val="22"/>
        </w:rPr>
        <w:t>δότηση δημ</w:t>
      </w:r>
      <w:r>
        <w:rPr>
          <w:sz w:val="22"/>
          <w:szCs w:val="22"/>
        </w:rPr>
        <w:t>όσι</w:t>
      </w:r>
      <w:r w:rsidRPr="005C2E30">
        <w:rPr>
          <w:sz w:val="22"/>
          <w:szCs w:val="22"/>
        </w:rPr>
        <w:t>ων και ιδιωτικών φορέων της οικονομίας.</w:t>
      </w:r>
    </w:p>
    <w:p w:rsidR="00BA1AB3" w:rsidRPr="005C2E30" w:rsidRDefault="00BA1AB3" w:rsidP="00BA1AB3">
      <w:pPr>
        <w:jc w:val="both"/>
        <w:rPr>
          <w:sz w:val="22"/>
          <w:szCs w:val="22"/>
        </w:rPr>
      </w:pPr>
    </w:p>
    <w:p w:rsidR="00BA1AB3" w:rsidRPr="00735AF7" w:rsidRDefault="00BA1AB3" w:rsidP="00BA1AB3">
      <w:pPr>
        <w:jc w:val="both"/>
        <w:rPr>
          <w:sz w:val="22"/>
          <w:szCs w:val="22"/>
        </w:rPr>
      </w:pPr>
      <w:r w:rsidRPr="005C2E30">
        <w:rPr>
          <w:sz w:val="22"/>
          <w:szCs w:val="22"/>
        </w:rPr>
        <w:t>Τα τελευταία χρόνια η χάραξη πολιτικής εγγυήσεων του Δημοσίου εξαρτάται από το γενικότερο σχ</w:t>
      </w:r>
      <w:r w:rsidRPr="005C2E30">
        <w:rPr>
          <w:sz w:val="22"/>
          <w:szCs w:val="22"/>
        </w:rPr>
        <w:t>έ</w:t>
      </w:r>
      <w:r w:rsidRPr="005C2E30">
        <w:rPr>
          <w:sz w:val="22"/>
          <w:szCs w:val="22"/>
        </w:rPr>
        <w:t>διο δημοσιονομικής προσαρμογής και οικονομικής ανάπτυξης της χώρας, που αποτελεί προϋπ</w:t>
      </w:r>
      <w:r>
        <w:rPr>
          <w:sz w:val="22"/>
          <w:szCs w:val="22"/>
        </w:rPr>
        <w:t>όθεση για τη χρηματοδότηση της ε</w:t>
      </w:r>
      <w:r w:rsidRPr="005C2E30">
        <w:rPr>
          <w:sz w:val="22"/>
          <w:szCs w:val="22"/>
        </w:rPr>
        <w:t>λληνικής οικονομίας από το Μηχανισμό Στήριξης της Ευρωζώνης και του Διεθνούς Νομισματικού Ταμείου.</w:t>
      </w:r>
    </w:p>
    <w:p w:rsidR="00BA1AB3" w:rsidRPr="00735AF7" w:rsidRDefault="00BA1AB3" w:rsidP="00BA1AB3">
      <w:pPr>
        <w:jc w:val="both"/>
        <w:rPr>
          <w:sz w:val="22"/>
          <w:szCs w:val="22"/>
        </w:rPr>
      </w:pPr>
    </w:p>
    <w:p w:rsidR="00BA1AB3" w:rsidRPr="00735AF7" w:rsidRDefault="00BA1AB3" w:rsidP="00BA1AB3">
      <w:pPr>
        <w:jc w:val="both"/>
        <w:rPr>
          <w:sz w:val="22"/>
          <w:szCs w:val="22"/>
        </w:rPr>
      </w:pPr>
      <w:r w:rsidRPr="00AF5716">
        <w:rPr>
          <w:sz w:val="22"/>
          <w:szCs w:val="22"/>
        </w:rPr>
        <w:t xml:space="preserve">Συγκεκριμένα, η πολιτική εγγυήσεων εντάσσεται στο πλαίσιο των κριτηρίων και των στόχων </w:t>
      </w:r>
      <w:r>
        <w:rPr>
          <w:sz w:val="22"/>
          <w:szCs w:val="22"/>
        </w:rPr>
        <w:t>της Σύμβασης Χρηματοδοτικής Διευκόλυνσης</w:t>
      </w:r>
      <w:r w:rsidRPr="00AF5716">
        <w:rPr>
          <w:sz w:val="22"/>
          <w:szCs w:val="22"/>
        </w:rPr>
        <w:t>, με το όριο των εγγυήσεων να είναι κατ’ αρχήν μηδενικό με εξαίρεση:</w:t>
      </w:r>
    </w:p>
    <w:p w:rsidR="00BA1AB3" w:rsidRPr="00735AF7" w:rsidRDefault="00BA1AB3" w:rsidP="00BA1AB3">
      <w:pPr>
        <w:jc w:val="both"/>
        <w:rPr>
          <w:sz w:val="22"/>
          <w:szCs w:val="22"/>
        </w:rPr>
      </w:pPr>
    </w:p>
    <w:p w:rsidR="00BA1AB3" w:rsidRPr="00AF5716" w:rsidRDefault="00BA1AB3" w:rsidP="00BA1AB3">
      <w:pPr>
        <w:numPr>
          <w:ilvl w:val="0"/>
          <w:numId w:val="47"/>
        </w:numPr>
        <w:jc w:val="both"/>
        <w:rPr>
          <w:sz w:val="22"/>
          <w:szCs w:val="22"/>
        </w:rPr>
      </w:pPr>
      <w:r w:rsidRPr="00AF5716">
        <w:rPr>
          <w:sz w:val="22"/>
          <w:szCs w:val="22"/>
        </w:rPr>
        <w:t>τις εγγυήσεις που παρέχονται για δανεισμό φορέων εντός της Γενικής Κυβέρνησης,</w:t>
      </w:r>
    </w:p>
    <w:p w:rsidR="00BA1AB3" w:rsidRPr="00AF5716" w:rsidRDefault="00BA1AB3" w:rsidP="00BA1AB3">
      <w:pPr>
        <w:numPr>
          <w:ilvl w:val="0"/>
          <w:numId w:val="47"/>
        </w:numPr>
        <w:jc w:val="both"/>
        <w:rPr>
          <w:sz w:val="22"/>
          <w:szCs w:val="22"/>
        </w:rPr>
      </w:pPr>
      <w:r w:rsidRPr="00AF5716">
        <w:rPr>
          <w:sz w:val="22"/>
          <w:szCs w:val="22"/>
        </w:rPr>
        <w:t xml:space="preserve">τις εγγυήσεις που παρέχονται για τη στήριξη των τραπεζών, </w:t>
      </w:r>
    </w:p>
    <w:p w:rsidR="00BA1AB3" w:rsidRPr="00AF5716" w:rsidRDefault="00BA1AB3" w:rsidP="00BA1AB3">
      <w:pPr>
        <w:numPr>
          <w:ilvl w:val="0"/>
          <w:numId w:val="47"/>
        </w:numPr>
        <w:jc w:val="both"/>
        <w:rPr>
          <w:sz w:val="22"/>
          <w:szCs w:val="22"/>
        </w:rPr>
      </w:pPr>
      <w:r w:rsidRPr="00AF5716">
        <w:rPr>
          <w:sz w:val="22"/>
          <w:szCs w:val="22"/>
        </w:rPr>
        <w:t>τις εγγυήσεις που σχετίζονται με δάνεια που χορηγούνται από την Ευρωπαϊκή Τράπεζα Επενδ</w:t>
      </w:r>
      <w:r w:rsidRPr="00AF5716">
        <w:rPr>
          <w:sz w:val="22"/>
          <w:szCs w:val="22"/>
        </w:rPr>
        <w:t>ύ</w:t>
      </w:r>
      <w:r w:rsidRPr="00AF5716">
        <w:rPr>
          <w:sz w:val="22"/>
          <w:szCs w:val="22"/>
        </w:rPr>
        <w:t>σεων,</w:t>
      </w:r>
    </w:p>
    <w:p w:rsidR="00BA1AB3" w:rsidRPr="00AF5716" w:rsidRDefault="00BA1AB3" w:rsidP="00BA1AB3">
      <w:pPr>
        <w:numPr>
          <w:ilvl w:val="0"/>
          <w:numId w:val="47"/>
        </w:numPr>
        <w:jc w:val="both"/>
        <w:rPr>
          <w:sz w:val="22"/>
          <w:szCs w:val="22"/>
        </w:rPr>
      </w:pPr>
      <w:r w:rsidRPr="00AF5716">
        <w:rPr>
          <w:sz w:val="22"/>
          <w:szCs w:val="22"/>
        </w:rPr>
        <w:t>τις εγγυήσεις που χορηγούνται για φυσικές καταστροφές σε ιδιώτες και επιχειρήσεις που έχουν αποδεδειγμένα υποστεί ζημιές (μείον τυχόν ποσά που εισέπραξαν ως ασφαλιστική αποζημίωση), μέ</w:t>
      </w:r>
      <w:r>
        <w:rPr>
          <w:sz w:val="22"/>
          <w:szCs w:val="22"/>
        </w:rPr>
        <w:t>χρι του ποσού των 30 εκατ. ευρώ</w:t>
      </w:r>
      <w:r w:rsidRPr="00AF5716">
        <w:rPr>
          <w:sz w:val="22"/>
          <w:szCs w:val="22"/>
        </w:rPr>
        <w:t xml:space="preserve">.  </w:t>
      </w:r>
    </w:p>
    <w:p w:rsidR="00BA1AB3" w:rsidRPr="00735AF7" w:rsidRDefault="00BA1AB3" w:rsidP="00BA1AB3">
      <w:pPr>
        <w:jc w:val="both"/>
        <w:rPr>
          <w:sz w:val="22"/>
          <w:szCs w:val="22"/>
        </w:rPr>
      </w:pPr>
    </w:p>
    <w:p w:rsidR="00BA1AB3" w:rsidRPr="005C2E30" w:rsidRDefault="00BA1AB3" w:rsidP="00BA1AB3">
      <w:pPr>
        <w:jc w:val="both"/>
        <w:rPr>
          <w:sz w:val="22"/>
          <w:szCs w:val="22"/>
        </w:rPr>
      </w:pPr>
      <w:r w:rsidRPr="005C2E30">
        <w:rPr>
          <w:sz w:val="22"/>
          <w:szCs w:val="22"/>
        </w:rPr>
        <w:t>Για το έτος 201</w:t>
      </w:r>
      <w:r w:rsidRPr="00EC3BB8">
        <w:rPr>
          <w:sz w:val="22"/>
          <w:szCs w:val="22"/>
        </w:rPr>
        <w:t>7</w:t>
      </w:r>
      <w:r w:rsidRPr="005C2E30">
        <w:rPr>
          <w:sz w:val="22"/>
          <w:szCs w:val="22"/>
        </w:rPr>
        <w:t xml:space="preserve"> τα στοιχεία των εγγυήσεων εκτιμάται να διαμορφωθούν ως εξής</w:t>
      </w:r>
      <w:r>
        <w:rPr>
          <w:sz w:val="22"/>
          <w:szCs w:val="22"/>
        </w:rPr>
        <w:t xml:space="preserve"> </w:t>
      </w:r>
      <w:r w:rsidRPr="003D323B">
        <w:rPr>
          <w:sz w:val="22"/>
          <w:szCs w:val="22"/>
        </w:rPr>
        <w:t>(πίνακας 4.9 και διάγραμμα 4.8):</w:t>
      </w:r>
    </w:p>
    <w:p w:rsidR="00BA1AB3" w:rsidRPr="005C2E30" w:rsidRDefault="00BA1AB3" w:rsidP="00BA1AB3">
      <w:pPr>
        <w:jc w:val="both"/>
        <w:rPr>
          <w:sz w:val="22"/>
          <w:szCs w:val="22"/>
        </w:rPr>
      </w:pPr>
    </w:p>
    <w:p w:rsidR="00BA1AB3" w:rsidRPr="005C2E30" w:rsidRDefault="00BA1AB3" w:rsidP="00BA1AB3">
      <w:pPr>
        <w:numPr>
          <w:ilvl w:val="0"/>
          <w:numId w:val="47"/>
        </w:numPr>
        <w:jc w:val="both"/>
        <w:rPr>
          <w:sz w:val="22"/>
          <w:szCs w:val="22"/>
        </w:rPr>
      </w:pPr>
      <w:r w:rsidRPr="005C2E30">
        <w:rPr>
          <w:sz w:val="22"/>
          <w:szCs w:val="22"/>
        </w:rPr>
        <w:t xml:space="preserve">Οι </w:t>
      </w:r>
      <w:r>
        <w:rPr>
          <w:sz w:val="22"/>
          <w:szCs w:val="22"/>
        </w:rPr>
        <w:t>εγγυήσεις θα κυμανθούν στο 0,</w:t>
      </w:r>
      <w:r w:rsidRPr="00EC3BB8">
        <w:rPr>
          <w:sz w:val="22"/>
          <w:szCs w:val="22"/>
        </w:rPr>
        <w:t>15</w:t>
      </w:r>
      <w:r w:rsidRPr="005C2E30">
        <w:rPr>
          <w:sz w:val="22"/>
          <w:szCs w:val="22"/>
        </w:rPr>
        <w:t xml:space="preserve">% του ΑΕΠ, </w:t>
      </w:r>
      <w:r>
        <w:rPr>
          <w:sz w:val="22"/>
          <w:szCs w:val="22"/>
        </w:rPr>
        <w:t>έναντι 0,0</w:t>
      </w:r>
      <w:r w:rsidRPr="00EC3BB8">
        <w:rPr>
          <w:sz w:val="22"/>
          <w:szCs w:val="22"/>
        </w:rPr>
        <w:t>9</w:t>
      </w:r>
      <w:r>
        <w:rPr>
          <w:sz w:val="22"/>
          <w:szCs w:val="22"/>
        </w:rPr>
        <w:t>% το 201</w:t>
      </w:r>
      <w:r w:rsidRPr="00EC3BB8">
        <w:rPr>
          <w:sz w:val="22"/>
          <w:szCs w:val="22"/>
        </w:rPr>
        <w:t>6</w:t>
      </w:r>
      <w:r>
        <w:rPr>
          <w:sz w:val="22"/>
          <w:szCs w:val="22"/>
        </w:rPr>
        <w:t>.</w:t>
      </w:r>
    </w:p>
    <w:p w:rsidR="00BA1AB3" w:rsidRPr="005C2E30" w:rsidRDefault="00BA1AB3" w:rsidP="00BA1AB3">
      <w:pPr>
        <w:numPr>
          <w:ilvl w:val="0"/>
          <w:numId w:val="47"/>
        </w:numPr>
        <w:jc w:val="both"/>
        <w:rPr>
          <w:sz w:val="22"/>
          <w:szCs w:val="22"/>
        </w:rPr>
      </w:pPr>
      <w:r w:rsidRPr="005C2E30">
        <w:rPr>
          <w:sz w:val="22"/>
          <w:szCs w:val="22"/>
        </w:rPr>
        <w:t xml:space="preserve">Οι καταπτώσεις </w:t>
      </w:r>
      <w:r>
        <w:rPr>
          <w:sz w:val="22"/>
          <w:szCs w:val="22"/>
        </w:rPr>
        <w:t>αναμένεται να διαμορφωθούν στο 0,3</w:t>
      </w:r>
      <w:r w:rsidRPr="00E455F0">
        <w:rPr>
          <w:sz w:val="22"/>
          <w:szCs w:val="22"/>
        </w:rPr>
        <w:t>8</w:t>
      </w:r>
      <w:r>
        <w:rPr>
          <w:sz w:val="22"/>
          <w:szCs w:val="22"/>
        </w:rPr>
        <w:t>% του ΑΕΠ, έναντι 0,</w:t>
      </w:r>
      <w:r w:rsidRPr="00EC3BB8">
        <w:rPr>
          <w:sz w:val="22"/>
          <w:szCs w:val="22"/>
        </w:rPr>
        <w:t>2</w:t>
      </w:r>
      <w:r>
        <w:rPr>
          <w:sz w:val="22"/>
          <w:szCs w:val="22"/>
        </w:rPr>
        <w:t>4% το 201</w:t>
      </w:r>
      <w:r w:rsidRPr="00EC3BB8">
        <w:rPr>
          <w:sz w:val="22"/>
          <w:szCs w:val="22"/>
        </w:rPr>
        <w:t>6</w:t>
      </w:r>
      <w:r>
        <w:rPr>
          <w:sz w:val="22"/>
          <w:szCs w:val="22"/>
        </w:rPr>
        <w:t>.</w:t>
      </w:r>
    </w:p>
    <w:p w:rsidR="00BA1AB3" w:rsidRPr="005C2E30" w:rsidRDefault="00BA1AB3" w:rsidP="00BA1AB3">
      <w:pPr>
        <w:numPr>
          <w:ilvl w:val="0"/>
          <w:numId w:val="47"/>
        </w:numPr>
        <w:jc w:val="both"/>
        <w:rPr>
          <w:sz w:val="22"/>
          <w:szCs w:val="22"/>
        </w:rPr>
      </w:pPr>
      <w:r w:rsidRPr="005C2E30">
        <w:rPr>
          <w:sz w:val="22"/>
          <w:szCs w:val="22"/>
        </w:rPr>
        <w:t>Το ανεξόφλητο εγγυημένο υπόλοιπο</w:t>
      </w:r>
      <w:r>
        <w:rPr>
          <w:sz w:val="22"/>
          <w:szCs w:val="22"/>
        </w:rPr>
        <w:t xml:space="preserve"> αναμένεται να διαμορφωθεί στο 6,</w:t>
      </w:r>
      <w:r w:rsidRPr="00E455F0">
        <w:rPr>
          <w:sz w:val="22"/>
          <w:szCs w:val="22"/>
        </w:rPr>
        <w:t>7</w:t>
      </w:r>
      <w:r w:rsidRPr="005C2E30">
        <w:rPr>
          <w:sz w:val="22"/>
          <w:szCs w:val="22"/>
        </w:rPr>
        <w:t>% του ΑΕΠ</w:t>
      </w:r>
      <w:r>
        <w:rPr>
          <w:sz w:val="22"/>
          <w:szCs w:val="22"/>
        </w:rPr>
        <w:t>,</w:t>
      </w:r>
      <w:r w:rsidRPr="005C2E30">
        <w:rPr>
          <w:sz w:val="22"/>
          <w:szCs w:val="22"/>
        </w:rPr>
        <w:t xml:space="preserve"> έναντι </w:t>
      </w:r>
      <w:r w:rsidRPr="00EC3BB8">
        <w:rPr>
          <w:sz w:val="22"/>
          <w:szCs w:val="22"/>
        </w:rPr>
        <w:t>7,5</w:t>
      </w:r>
      <w:r>
        <w:rPr>
          <w:sz w:val="22"/>
          <w:szCs w:val="22"/>
        </w:rPr>
        <w:t>% το 201</w:t>
      </w:r>
      <w:r w:rsidRPr="001607E4">
        <w:rPr>
          <w:sz w:val="22"/>
          <w:szCs w:val="22"/>
        </w:rPr>
        <w:t>6</w:t>
      </w:r>
      <w:r w:rsidRPr="005C2E30">
        <w:rPr>
          <w:sz w:val="22"/>
          <w:szCs w:val="22"/>
        </w:rPr>
        <w:t>.</w:t>
      </w:r>
      <w:r>
        <w:rPr>
          <w:sz w:val="22"/>
          <w:szCs w:val="22"/>
        </w:rPr>
        <w:t xml:space="preserve"> </w:t>
      </w:r>
    </w:p>
    <w:p w:rsidR="00BA1AB3" w:rsidRPr="005C2E30" w:rsidRDefault="00BA1AB3" w:rsidP="00BA1AB3">
      <w:pPr>
        <w:jc w:val="both"/>
        <w:rPr>
          <w:sz w:val="22"/>
          <w:szCs w:val="22"/>
        </w:rPr>
      </w:pPr>
    </w:p>
    <w:p w:rsidR="00151E27" w:rsidRDefault="00151E27" w:rsidP="00151E27">
      <w:pPr>
        <w:jc w:val="both"/>
        <w:rPr>
          <w:sz w:val="22"/>
          <w:szCs w:val="22"/>
        </w:rPr>
      </w:pPr>
      <w:r>
        <w:rPr>
          <w:sz w:val="22"/>
          <w:szCs w:val="22"/>
        </w:rPr>
        <w:t>Επισημαίνεται ότι τα στοιχεία του πίνακα 4.9 και του διαγράμματος 4.8 δεν περιλαμβάνουν τις ε</w:t>
      </w:r>
      <w:r>
        <w:rPr>
          <w:sz w:val="22"/>
          <w:szCs w:val="22"/>
        </w:rPr>
        <w:t>γ</w:t>
      </w:r>
      <w:r>
        <w:rPr>
          <w:sz w:val="22"/>
          <w:szCs w:val="22"/>
        </w:rPr>
        <w:t>γυήσεις που έχουν παρασχεθεί προς τα πιστωτικά ιδρύματα τόσο στο πλαίσιο της ενίσχυσης της ρε</w:t>
      </w:r>
      <w:r>
        <w:rPr>
          <w:sz w:val="22"/>
          <w:szCs w:val="22"/>
        </w:rPr>
        <w:t>υ</w:t>
      </w:r>
      <w:r>
        <w:rPr>
          <w:sz w:val="22"/>
          <w:szCs w:val="22"/>
        </w:rPr>
        <w:t>στότητάς τους όσο και στο πλαίσιο του Προγράμματος Ενίσχυσης της Επιχειρηματικότητας.</w:t>
      </w:r>
    </w:p>
    <w:p w:rsidR="00151E27" w:rsidRDefault="00151E27" w:rsidP="00151E27">
      <w:pPr>
        <w:jc w:val="both"/>
        <w:rPr>
          <w:sz w:val="22"/>
          <w:szCs w:val="22"/>
        </w:rPr>
      </w:pPr>
    </w:p>
    <w:p w:rsidR="00BA1AB3" w:rsidRDefault="00BA1AB3" w:rsidP="00BA1AB3">
      <w:pPr>
        <w:jc w:val="both"/>
        <w:rPr>
          <w:sz w:val="22"/>
          <w:szCs w:val="22"/>
        </w:rPr>
      </w:pPr>
      <w:r>
        <w:rPr>
          <w:sz w:val="22"/>
          <w:szCs w:val="22"/>
        </w:rPr>
        <w:t>Για το έτος 201</w:t>
      </w:r>
      <w:r w:rsidRPr="001607E4">
        <w:rPr>
          <w:sz w:val="22"/>
          <w:szCs w:val="22"/>
        </w:rPr>
        <w:t>8</w:t>
      </w:r>
      <w:r>
        <w:rPr>
          <w:sz w:val="22"/>
          <w:szCs w:val="22"/>
        </w:rPr>
        <w:t>, η πολιτική εγγυήσεων εκτιμάται ότι θα συνεχίσει να υπόκειται στο ανωτέρω πλα</w:t>
      </w:r>
      <w:r>
        <w:rPr>
          <w:sz w:val="22"/>
          <w:szCs w:val="22"/>
        </w:rPr>
        <w:t>ί</w:t>
      </w:r>
      <w:r>
        <w:rPr>
          <w:sz w:val="22"/>
          <w:szCs w:val="22"/>
        </w:rPr>
        <w:t>σιο κριτηρίων και στόχων της Σύμβασης Χρηματοδοτικής Διευκόλυνσης.</w:t>
      </w:r>
    </w:p>
    <w:p w:rsidR="00BA1AB3" w:rsidRDefault="00BA1AB3" w:rsidP="00BA1AB3">
      <w:pPr>
        <w:rPr>
          <w:sz w:val="22"/>
          <w:szCs w:val="22"/>
        </w:rPr>
      </w:pPr>
      <w:r>
        <w:rPr>
          <w:sz w:val="22"/>
          <w:szCs w:val="22"/>
        </w:rPr>
        <w:br w:type="page"/>
      </w:r>
    </w:p>
    <w:p w:rsidR="00BA1AB3" w:rsidRPr="009367DF" w:rsidRDefault="00BA1AB3" w:rsidP="00BA1AB3">
      <w:pPr>
        <w:jc w:val="both"/>
        <w:rPr>
          <w:sz w:val="22"/>
          <w:szCs w:val="22"/>
        </w:rPr>
      </w:pPr>
    </w:p>
    <w:tbl>
      <w:tblPr>
        <w:tblW w:w="9479" w:type="dxa"/>
        <w:jc w:val="center"/>
        <w:tblLayout w:type="fixed"/>
        <w:tblLook w:val="0000"/>
      </w:tblPr>
      <w:tblGrid>
        <w:gridCol w:w="810"/>
        <w:gridCol w:w="665"/>
        <w:gridCol w:w="781"/>
        <w:gridCol w:w="976"/>
        <w:gridCol w:w="976"/>
        <w:gridCol w:w="781"/>
        <w:gridCol w:w="1171"/>
        <w:gridCol w:w="1562"/>
        <w:gridCol w:w="781"/>
        <w:gridCol w:w="976"/>
      </w:tblGrid>
      <w:tr w:rsidR="00BA1AB3" w:rsidRPr="009367DF" w:rsidTr="003F7B07">
        <w:trPr>
          <w:trHeight w:val="21"/>
          <w:jc w:val="center"/>
        </w:trPr>
        <w:tc>
          <w:tcPr>
            <w:tcW w:w="9479" w:type="dxa"/>
            <w:gridSpan w:val="10"/>
            <w:tcBorders>
              <w:top w:val="single" w:sz="6" w:space="0" w:color="auto"/>
              <w:left w:val="single" w:sz="6" w:space="0" w:color="auto"/>
              <w:right w:val="single" w:sz="6" w:space="0" w:color="auto"/>
            </w:tcBorders>
            <w:shd w:val="clear" w:color="auto" w:fill="404040"/>
            <w:tcMar>
              <w:left w:w="28" w:type="dxa"/>
              <w:right w:w="28" w:type="dxa"/>
            </w:tcMar>
            <w:vAlign w:val="bottom"/>
          </w:tcPr>
          <w:p w:rsidR="00BA1AB3" w:rsidRPr="009367DF" w:rsidRDefault="00BA1AB3" w:rsidP="003F7B07">
            <w:pPr>
              <w:pStyle w:val="3"/>
              <w:spacing w:before="120" w:after="0"/>
              <w:jc w:val="center"/>
              <w:rPr>
                <w:rFonts w:ascii="Arial Narrow" w:hAnsi="Arial Narrow"/>
                <w:color w:val="FFFFFF"/>
                <w:sz w:val="24"/>
                <w:szCs w:val="24"/>
              </w:rPr>
            </w:pPr>
            <w:r>
              <w:rPr>
                <w:rFonts w:ascii="Arial Narrow" w:hAnsi="Arial Narrow"/>
                <w:color w:val="FFFFFF"/>
                <w:sz w:val="24"/>
                <w:szCs w:val="24"/>
              </w:rPr>
              <w:t xml:space="preserve">Πίνακας 4.9 </w:t>
            </w:r>
            <w:r w:rsidRPr="009367DF">
              <w:rPr>
                <w:rFonts w:ascii="Arial Narrow" w:hAnsi="Arial Narrow"/>
                <w:color w:val="FFFFFF"/>
                <w:sz w:val="24"/>
                <w:szCs w:val="24"/>
              </w:rPr>
              <w:t>Εγγυήσεις, ανεξόφλητο εγγυημένο υπόλοιπο, καταπτώσεις και</w:t>
            </w:r>
          </w:p>
          <w:p w:rsidR="00BA1AB3" w:rsidRPr="008F6256" w:rsidRDefault="00BA1AB3" w:rsidP="003F7B07">
            <w:pPr>
              <w:pStyle w:val="3"/>
              <w:spacing w:before="0" w:after="0"/>
              <w:jc w:val="center"/>
              <w:rPr>
                <w:rFonts w:ascii="Arial Narrow" w:hAnsi="Arial Narrow"/>
                <w:color w:val="FFFFFF"/>
                <w:sz w:val="24"/>
                <w:szCs w:val="24"/>
              </w:rPr>
            </w:pPr>
            <w:r w:rsidRPr="009367DF">
              <w:rPr>
                <w:rFonts w:ascii="Arial Narrow" w:hAnsi="Arial Narrow"/>
                <w:color w:val="FFFFFF"/>
                <w:sz w:val="24"/>
                <w:szCs w:val="24"/>
              </w:rPr>
              <w:t>προμήθειες εγγυήσε</w:t>
            </w:r>
            <w:r>
              <w:rPr>
                <w:rFonts w:ascii="Arial Narrow" w:hAnsi="Arial Narrow"/>
                <w:color w:val="FFFFFF"/>
                <w:sz w:val="24"/>
                <w:szCs w:val="24"/>
              </w:rPr>
              <w:t>ων κατά τα έτη 2000-201</w:t>
            </w:r>
            <w:r w:rsidRPr="008F6256">
              <w:rPr>
                <w:rFonts w:ascii="Arial Narrow" w:hAnsi="Arial Narrow"/>
                <w:color w:val="FFFFFF"/>
                <w:sz w:val="24"/>
                <w:szCs w:val="24"/>
              </w:rPr>
              <w:t>7</w:t>
            </w:r>
          </w:p>
          <w:p w:rsidR="00BA1AB3" w:rsidRPr="009367DF" w:rsidRDefault="00BA1AB3" w:rsidP="003F7B07">
            <w:pPr>
              <w:spacing w:after="120"/>
              <w:jc w:val="center"/>
              <w:rPr>
                <w:rFonts w:ascii="Arial Narrow" w:hAnsi="Arial Narrow"/>
                <w:b/>
                <w:bCs/>
                <w:color w:val="FFFFFF"/>
                <w:sz w:val="16"/>
                <w:szCs w:val="16"/>
              </w:rPr>
            </w:pPr>
            <w:r w:rsidRPr="009367DF">
              <w:rPr>
                <w:rFonts w:ascii="Arial Narrow" w:hAnsi="Arial Narrow"/>
                <w:b/>
                <w:color w:val="FFFFFF"/>
              </w:rPr>
              <w:t>(σε εκατ. ευρώ)</w:t>
            </w:r>
          </w:p>
        </w:tc>
      </w:tr>
      <w:tr w:rsidR="00BA1AB3" w:rsidRPr="00FB44F1" w:rsidTr="003F7B07">
        <w:trPr>
          <w:trHeight w:val="21"/>
          <w:jc w:val="center"/>
        </w:trPr>
        <w:tc>
          <w:tcPr>
            <w:tcW w:w="810" w:type="dxa"/>
            <w:tcBorders>
              <w:left w:val="single" w:sz="6" w:space="0" w:color="auto"/>
              <w:bottom w:val="single" w:sz="6" w:space="0" w:color="auto"/>
            </w:tcBorders>
            <w:shd w:val="clear" w:color="auto" w:fill="auto"/>
            <w:tcMar>
              <w:left w:w="28" w:type="dxa"/>
              <w:right w:w="28" w:type="dxa"/>
            </w:tcMar>
            <w:vAlign w:val="bottom"/>
          </w:tcPr>
          <w:p w:rsidR="00BA1AB3" w:rsidRPr="00FB44F1" w:rsidRDefault="00BA1AB3" w:rsidP="003F7B07">
            <w:pPr>
              <w:rPr>
                <w:rFonts w:ascii="Arial Narrow" w:hAnsi="Arial Narrow"/>
                <w:sz w:val="10"/>
                <w:szCs w:val="16"/>
              </w:rPr>
            </w:pPr>
          </w:p>
        </w:tc>
        <w:tc>
          <w:tcPr>
            <w:tcW w:w="1446"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952"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952"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562" w:type="dxa"/>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757" w:type="dxa"/>
            <w:gridSpan w:val="2"/>
            <w:tcBorders>
              <w:bottom w:val="single" w:sz="6" w:space="0" w:color="auto"/>
              <w:right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r>
      <w:tr w:rsidR="00BA1AB3" w:rsidRPr="009367DF" w:rsidTr="003F7B07">
        <w:trPr>
          <w:trHeight w:val="21"/>
          <w:jc w:val="center"/>
        </w:trPr>
        <w:tc>
          <w:tcPr>
            <w:tcW w:w="810" w:type="dxa"/>
            <w:tcBorders>
              <w:top w:val="single" w:sz="6" w:space="0" w:color="auto"/>
              <w:left w:val="single" w:sz="6" w:space="0" w:color="auto"/>
              <w:right w:val="single" w:sz="6" w:space="0" w:color="auto"/>
            </w:tcBorders>
            <w:shd w:val="clear" w:color="auto" w:fill="auto"/>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Εγγυήσεις</w:t>
            </w:r>
          </w:p>
        </w:tc>
        <w:tc>
          <w:tcPr>
            <w:tcW w:w="1952"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Ανεξόφλητο</w:t>
            </w:r>
            <w:r>
              <w:rPr>
                <w:rFonts w:ascii="Arial Narrow" w:hAnsi="Arial Narrow"/>
                <w:b/>
                <w:bCs/>
                <w:sz w:val="16"/>
                <w:szCs w:val="16"/>
              </w:rPr>
              <w:t xml:space="preserve"> </w:t>
            </w:r>
            <w:r w:rsidRPr="009367DF">
              <w:rPr>
                <w:rFonts w:ascii="Arial Narrow" w:hAnsi="Arial Narrow"/>
                <w:b/>
                <w:bCs/>
                <w:sz w:val="16"/>
                <w:szCs w:val="16"/>
              </w:rPr>
              <w:t>εγγυημένο</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υπόλοιπο</w:t>
            </w:r>
          </w:p>
        </w:tc>
        <w:tc>
          <w:tcPr>
            <w:tcW w:w="1952"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w:t>
            </w:r>
          </w:p>
        </w:tc>
        <w:tc>
          <w:tcPr>
            <w:tcW w:w="1562" w:type="dxa"/>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Έσοδα από</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προμήθειες εγγυήσεων</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του Δημοσίου και</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εισπράξεις από ΔΟΥ</w:t>
            </w:r>
          </w:p>
        </w:tc>
        <w:tc>
          <w:tcPr>
            <w:tcW w:w="1757"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 που</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 xml:space="preserve">τελικά βαρύνουν </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το Δημόσιο</w:t>
            </w:r>
          </w:p>
        </w:tc>
      </w:tr>
      <w:tr w:rsidR="00BA1AB3" w:rsidRPr="009367DF" w:rsidTr="003F7B07">
        <w:trPr>
          <w:trHeight w:val="21"/>
          <w:jc w:val="center"/>
        </w:trPr>
        <w:tc>
          <w:tcPr>
            <w:tcW w:w="810" w:type="dxa"/>
            <w:tcBorders>
              <w:left w:val="single" w:sz="6" w:space="0" w:color="auto"/>
              <w:bottom w:val="single" w:sz="6" w:space="0" w:color="auto"/>
              <w:right w:val="single" w:sz="6" w:space="0" w:color="auto"/>
            </w:tcBorders>
            <w:shd w:val="clear" w:color="auto" w:fill="auto"/>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(1)</w:t>
            </w:r>
          </w:p>
        </w:tc>
        <w:tc>
          <w:tcPr>
            <w:tcW w:w="1952"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(2)</w:t>
            </w:r>
          </w:p>
        </w:tc>
        <w:tc>
          <w:tcPr>
            <w:tcW w:w="1952"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(3)</w:t>
            </w:r>
          </w:p>
        </w:tc>
        <w:tc>
          <w:tcPr>
            <w:tcW w:w="1562" w:type="dxa"/>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(4)</w:t>
            </w:r>
          </w:p>
        </w:tc>
        <w:tc>
          <w:tcPr>
            <w:tcW w:w="1757"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(5) = (3)-(4)</w:t>
            </w:r>
          </w:p>
        </w:tc>
      </w:tr>
      <w:tr w:rsidR="00BA1AB3" w:rsidRPr="009367DF" w:rsidTr="003F7B07">
        <w:trPr>
          <w:trHeight w:val="21"/>
          <w:jc w:val="center"/>
        </w:trPr>
        <w:tc>
          <w:tcPr>
            <w:tcW w:w="810" w:type="dxa"/>
            <w:tcBorders>
              <w:top w:val="single" w:sz="6" w:space="0" w:color="auto"/>
              <w:left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952"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την 31/12</w:t>
            </w:r>
          </w:p>
        </w:tc>
        <w:tc>
          <w:tcPr>
            <w:tcW w:w="1952"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56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757"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r>
      <w:tr w:rsidR="00BA1AB3" w:rsidRPr="009367DF" w:rsidTr="003F7B07">
        <w:trPr>
          <w:trHeight w:val="21"/>
          <w:jc w:val="center"/>
        </w:trPr>
        <w:tc>
          <w:tcPr>
            <w:tcW w:w="810" w:type="dxa"/>
            <w:tcBorders>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Έτος</w:t>
            </w:r>
          </w:p>
        </w:tc>
        <w:tc>
          <w:tcPr>
            <w:tcW w:w="665"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78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Εγγυήσεις</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97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97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Υπόλοιπο</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78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117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1562"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78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97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 ως</w:t>
            </w:r>
            <w:r>
              <w:rPr>
                <w:rFonts w:ascii="Arial Narrow" w:hAnsi="Arial Narrow"/>
                <w:b/>
                <w:bCs/>
                <w:sz w:val="16"/>
                <w:szCs w:val="16"/>
              </w:rPr>
              <w:t xml:space="preserve"> </w:t>
            </w:r>
            <w:r w:rsidRPr="009367DF">
              <w:rPr>
                <w:rFonts w:ascii="Arial Narrow" w:hAnsi="Arial Narrow"/>
                <w:b/>
                <w:bCs/>
                <w:sz w:val="16"/>
                <w:szCs w:val="16"/>
              </w:rPr>
              <w:t>% του ΑΕΠ</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2000</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1.511,4</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1,1</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8.416,7</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6,0</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332,3</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35,3</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297,0</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0,21</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2001</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1.011,0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8.819,3</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5,8</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366,7</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45,8</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320,9</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0,21</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2002</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905,0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0,6</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9.714,6</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5,9</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360,5</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47,3</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313,2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0,19</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2003</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1.545,5</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0,9</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12.143,4</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6,8</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293,6</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66,4</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227,2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0,13</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2004</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1.848,4</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1,0</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14.436,5</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7,5</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593,9</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57,9</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536,0</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0,28</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2005</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1.628,2</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0,8</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16.200,5</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8,1</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373,9</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51,2</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322,7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0,16</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2006</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1.736,0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0,8</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17.936,1</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8,2</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94,6</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0,1</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49,2</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45,4</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0,02</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2007</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1.656,6</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19.929,0</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42,3</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57,3</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-15,0</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-0,01</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Pr>
                <w:rFonts w:ascii="Arial Narrow" w:hAnsi="Arial Narrow"/>
                <w:sz w:val="16"/>
                <w:szCs w:val="16"/>
              </w:rPr>
              <w:t>2008</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1.788,0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23.232,0</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434,1</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0,18</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68,4</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365,7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0,15</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2009</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1.563,7</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25.586,6</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10,8</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704,8</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70,7</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634,1</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0,27</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2010</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1.254,4</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0,6</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22.438,2</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9,9</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974,2</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78,5</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895,7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0,40</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2011</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1.804,9</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0,9</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19.950,8</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1.442,0</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0,70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135,8</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1.306,2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0,63</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2012</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688,0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19.314,7</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10,1</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796,0</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72,6</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723,4</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0,38</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2013</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634,7</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17.234,4</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9,5</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877,5</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0,49</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170,0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707,5</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0,39</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2014</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536,6</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0,3</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16.315,0</w:t>
            </w:r>
          </w:p>
        </w:tc>
        <w:tc>
          <w:tcPr>
            <w:tcW w:w="976" w:type="dxa"/>
            <w:shd w:val="clear" w:color="auto" w:fill="auto"/>
            <w:noWrap/>
            <w:tcMar>
              <w:left w:w="28" w:type="dxa"/>
              <w:right w:w="28" w:type="dxa"/>
            </w:tcMar>
            <w:vAlign w:val="bottom"/>
          </w:tcPr>
          <w:p w:rsidR="00BA1AB3" w:rsidRPr="00E455F0" w:rsidRDefault="00BA1AB3" w:rsidP="003F7B07">
            <w:pPr>
              <w:tabs>
                <w:tab w:val="decimal" w:pos="484"/>
              </w:tabs>
              <w:jc w:val="both"/>
              <w:rPr>
                <w:rFonts w:ascii="Arial Narrow" w:hAnsi="Arial Narrow" w:cs="Arial"/>
                <w:sz w:val="16"/>
                <w:szCs w:val="16"/>
                <w:lang w:val="en-US"/>
              </w:rPr>
            </w:pPr>
            <w:r w:rsidRPr="00C9023C">
              <w:rPr>
                <w:rFonts w:ascii="Arial Narrow" w:hAnsi="Arial Narrow" w:cs="Arial"/>
                <w:sz w:val="16"/>
                <w:szCs w:val="16"/>
              </w:rPr>
              <w:t>9,</w:t>
            </w:r>
            <w:r>
              <w:rPr>
                <w:rFonts w:ascii="Arial Narrow" w:hAnsi="Arial Narrow" w:cs="Arial"/>
                <w:sz w:val="16"/>
                <w:szCs w:val="16"/>
                <w:lang w:val="en-US"/>
              </w:rPr>
              <w:t>1</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588,2</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83,0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505,2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0,28</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2015</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65,0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0,04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15.121,2</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702,1</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72,0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630,1</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0,36</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8F6256" w:rsidRDefault="00BA1AB3" w:rsidP="003F7B07">
            <w:pPr>
              <w:jc w:val="center"/>
              <w:rPr>
                <w:rFonts w:ascii="Arial Narrow" w:hAnsi="Arial Narrow"/>
                <w:sz w:val="16"/>
                <w:szCs w:val="16"/>
                <w:lang w:val="en-US"/>
              </w:rPr>
            </w:pPr>
            <w:r>
              <w:rPr>
                <w:rFonts w:ascii="Arial Narrow" w:hAnsi="Arial Narrow"/>
                <w:sz w:val="16"/>
                <w:szCs w:val="16"/>
              </w:rPr>
              <w:t>2016</w:t>
            </w:r>
          </w:p>
        </w:tc>
        <w:tc>
          <w:tcPr>
            <w:tcW w:w="665" w:type="dxa"/>
            <w:shd w:val="clear" w:color="auto" w:fill="auto"/>
            <w:noWrap/>
            <w:tcMar>
              <w:left w:w="28" w:type="dxa"/>
              <w:right w:w="28" w:type="dxa"/>
            </w:tcMar>
            <w:vAlign w:val="bottom"/>
          </w:tcPr>
          <w:p w:rsidR="00BA1AB3" w:rsidRPr="008F6256" w:rsidRDefault="00BA1AB3" w:rsidP="003F7B07">
            <w:pPr>
              <w:tabs>
                <w:tab w:val="decimal" w:pos="412"/>
              </w:tabs>
              <w:jc w:val="both"/>
              <w:rPr>
                <w:rFonts w:ascii="Arial Narrow" w:hAnsi="Arial Narrow" w:cs="Arial"/>
                <w:sz w:val="16"/>
                <w:szCs w:val="16"/>
                <w:lang w:val="en-US"/>
              </w:rPr>
            </w:pPr>
            <w:r w:rsidRPr="00C9023C">
              <w:rPr>
                <w:rFonts w:ascii="Arial Narrow" w:hAnsi="Arial Narrow" w:cs="Arial"/>
                <w:sz w:val="16"/>
                <w:szCs w:val="16"/>
              </w:rPr>
              <w:t>1</w:t>
            </w:r>
            <w:r>
              <w:rPr>
                <w:rFonts w:ascii="Arial Narrow" w:hAnsi="Arial Narrow" w:cs="Arial"/>
                <w:sz w:val="16"/>
                <w:szCs w:val="16"/>
                <w:lang w:val="en-US"/>
              </w:rPr>
              <w:t>62,9</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0,09</w:t>
            </w:r>
          </w:p>
        </w:tc>
        <w:tc>
          <w:tcPr>
            <w:tcW w:w="976" w:type="dxa"/>
            <w:shd w:val="clear" w:color="auto" w:fill="auto"/>
            <w:noWrap/>
            <w:tcMar>
              <w:left w:w="28" w:type="dxa"/>
              <w:right w:w="28" w:type="dxa"/>
            </w:tcMar>
            <w:vAlign w:val="bottom"/>
          </w:tcPr>
          <w:p w:rsidR="00BA1AB3" w:rsidRPr="00E455F0" w:rsidRDefault="00BA1AB3" w:rsidP="003F7B07">
            <w:pPr>
              <w:tabs>
                <w:tab w:val="decimal" w:pos="614"/>
              </w:tabs>
              <w:jc w:val="both"/>
              <w:rPr>
                <w:rFonts w:ascii="Arial Narrow" w:hAnsi="Arial Narrow" w:cs="Arial"/>
                <w:sz w:val="16"/>
                <w:szCs w:val="16"/>
                <w:lang w:val="en-US"/>
              </w:rPr>
            </w:pPr>
            <w:r w:rsidRPr="00C9023C">
              <w:rPr>
                <w:rFonts w:ascii="Arial Narrow" w:hAnsi="Arial Narrow" w:cs="Arial"/>
                <w:sz w:val="16"/>
                <w:szCs w:val="16"/>
              </w:rPr>
              <w:t>1</w:t>
            </w:r>
            <w:r>
              <w:rPr>
                <w:rFonts w:ascii="Arial Narrow" w:hAnsi="Arial Narrow" w:cs="Arial"/>
                <w:sz w:val="16"/>
                <w:szCs w:val="16"/>
                <w:lang w:val="en-US"/>
              </w:rPr>
              <w:t>3.122,9</w:t>
            </w:r>
          </w:p>
        </w:tc>
        <w:tc>
          <w:tcPr>
            <w:tcW w:w="976" w:type="dxa"/>
            <w:shd w:val="clear" w:color="auto" w:fill="auto"/>
            <w:noWrap/>
            <w:tcMar>
              <w:left w:w="28" w:type="dxa"/>
              <w:right w:w="28" w:type="dxa"/>
            </w:tcMar>
            <w:vAlign w:val="bottom"/>
          </w:tcPr>
          <w:p w:rsidR="00BA1AB3" w:rsidRPr="00E455F0" w:rsidRDefault="00BA1AB3" w:rsidP="003F7B07">
            <w:pPr>
              <w:tabs>
                <w:tab w:val="decimal" w:pos="484"/>
              </w:tabs>
              <w:jc w:val="both"/>
              <w:rPr>
                <w:rFonts w:ascii="Arial Narrow" w:hAnsi="Arial Narrow" w:cs="Arial"/>
                <w:sz w:val="16"/>
                <w:szCs w:val="16"/>
                <w:lang w:val="en-US"/>
              </w:rPr>
            </w:pPr>
            <w:r w:rsidRPr="00C9023C">
              <w:rPr>
                <w:rFonts w:ascii="Arial Narrow" w:hAnsi="Arial Narrow" w:cs="Arial"/>
                <w:sz w:val="16"/>
                <w:szCs w:val="16"/>
              </w:rPr>
              <w:t>7,</w:t>
            </w:r>
            <w:r>
              <w:rPr>
                <w:rFonts w:ascii="Arial Narrow" w:hAnsi="Arial Narrow" w:cs="Arial"/>
                <w:sz w:val="16"/>
                <w:szCs w:val="16"/>
                <w:lang w:val="en-US"/>
              </w:rPr>
              <w:t>5</w:t>
            </w:r>
          </w:p>
        </w:tc>
        <w:tc>
          <w:tcPr>
            <w:tcW w:w="781" w:type="dxa"/>
            <w:shd w:val="clear" w:color="auto" w:fill="auto"/>
            <w:noWrap/>
            <w:tcMar>
              <w:left w:w="28" w:type="dxa"/>
              <w:right w:w="28" w:type="dxa"/>
            </w:tcMar>
            <w:vAlign w:val="bottom"/>
          </w:tcPr>
          <w:p w:rsidR="00BA1AB3" w:rsidRPr="00E455F0" w:rsidRDefault="00BA1AB3" w:rsidP="003F7B07">
            <w:pPr>
              <w:tabs>
                <w:tab w:val="decimal" w:pos="408"/>
              </w:tabs>
              <w:jc w:val="both"/>
              <w:rPr>
                <w:rFonts w:ascii="Arial Narrow" w:hAnsi="Arial Narrow" w:cs="Arial"/>
                <w:sz w:val="16"/>
                <w:szCs w:val="16"/>
                <w:lang w:val="en-US"/>
              </w:rPr>
            </w:pPr>
            <w:r>
              <w:rPr>
                <w:rFonts w:ascii="Arial Narrow" w:hAnsi="Arial Narrow" w:cs="Arial"/>
                <w:sz w:val="16"/>
                <w:szCs w:val="16"/>
                <w:lang w:val="en-US"/>
              </w:rPr>
              <w:t>412,3</w:t>
            </w:r>
          </w:p>
        </w:tc>
        <w:tc>
          <w:tcPr>
            <w:tcW w:w="1171" w:type="dxa"/>
            <w:shd w:val="clear" w:color="auto" w:fill="auto"/>
            <w:noWrap/>
            <w:tcMar>
              <w:left w:w="28" w:type="dxa"/>
              <w:right w:w="28" w:type="dxa"/>
            </w:tcMar>
            <w:vAlign w:val="bottom"/>
          </w:tcPr>
          <w:p w:rsidR="00BA1AB3" w:rsidRPr="00E455F0" w:rsidRDefault="00BA1AB3" w:rsidP="003F7B07">
            <w:pPr>
              <w:tabs>
                <w:tab w:val="decimal" w:pos="573"/>
              </w:tabs>
              <w:jc w:val="both"/>
              <w:rPr>
                <w:rFonts w:ascii="Arial Narrow" w:hAnsi="Arial Narrow" w:cs="Arial"/>
                <w:sz w:val="16"/>
                <w:szCs w:val="16"/>
                <w:lang w:val="en-US"/>
              </w:rPr>
            </w:pPr>
            <w:r w:rsidRPr="00C9023C">
              <w:rPr>
                <w:rFonts w:ascii="Arial Narrow" w:hAnsi="Arial Narrow" w:cs="Arial"/>
                <w:sz w:val="16"/>
                <w:szCs w:val="16"/>
              </w:rPr>
              <w:t>0,2</w:t>
            </w:r>
            <w:r>
              <w:rPr>
                <w:rFonts w:ascii="Arial Narrow" w:hAnsi="Arial Narrow" w:cs="Arial"/>
                <w:sz w:val="16"/>
                <w:szCs w:val="16"/>
                <w:lang w:val="en-US"/>
              </w:rPr>
              <w:t>4</w:t>
            </w:r>
          </w:p>
        </w:tc>
        <w:tc>
          <w:tcPr>
            <w:tcW w:w="1562" w:type="dxa"/>
            <w:shd w:val="clear" w:color="auto" w:fill="auto"/>
            <w:noWrap/>
            <w:tcMar>
              <w:left w:w="28" w:type="dxa"/>
              <w:right w:w="28" w:type="dxa"/>
            </w:tcMar>
            <w:vAlign w:val="bottom"/>
          </w:tcPr>
          <w:p w:rsidR="00BA1AB3" w:rsidRPr="00E455F0" w:rsidRDefault="00BA1AB3" w:rsidP="003F7B07">
            <w:pPr>
              <w:tabs>
                <w:tab w:val="decimal" w:pos="776"/>
              </w:tabs>
              <w:jc w:val="both"/>
              <w:rPr>
                <w:rFonts w:ascii="Arial Narrow" w:hAnsi="Arial Narrow" w:cs="Arial"/>
                <w:sz w:val="16"/>
                <w:szCs w:val="16"/>
                <w:lang w:val="en-US"/>
              </w:rPr>
            </w:pPr>
            <w:r>
              <w:rPr>
                <w:rFonts w:ascii="Arial Narrow" w:hAnsi="Arial Narrow" w:cs="Arial"/>
                <w:sz w:val="16"/>
                <w:szCs w:val="16"/>
                <w:lang w:val="en-US"/>
              </w:rPr>
              <w:t>108,4</w:t>
            </w:r>
          </w:p>
        </w:tc>
        <w:tc>
          <w:tcPr>
            <w:tcW w:w="781" w:type="dxa"/>
            <w:shd w:val="clear" w:color="auto" w:fill="auto"/>
            <w:noWrap/>
            <w:tcMar>
              <w:left w:w="28" w:type="dxa"/>
              <w:right w:w="28" w:type="dxa"/>
            </w:tcMar>
            <w:vAlign w:val="bottom"/>
          </w:tcPr>
          <w:p w:rsidR="00BA1AB3" w:rsidRPr="00E455F0" w:rsidRDefault="00BA1AB3" w:rsidP="003F7B07">
            <w:pPr>
              <w:tabs>
                <w:tab w:val="decimal" w:pos="407"/>
              </w:tabs>
              <w:jc w:val="both"/>
              <w:rPr>
                <w:rFonts w:ascii="Arial Narrow" w:hAnsi="Arial Narrow" w:cs="Arial"/>
                <w:sz w:val="16"/>
                <w:szCs w:val="16"/>
                <w:lang w:val="en-US"/>
              </w:rPr>
            </w:pPr>
            <w:r>
              <w:rPr>
                <w:rFonts w:ascii="Arial Narrow" w:hAnsi="Arial Narrow" w:cs="Arial"/>
                <w:sz w:val="16"/>
                <w:szCs w:val="16"/>
                <w:lang w:val="en-US"/>
              </w:rPr>
              <w:t>303,9</w:t>
            </w:r>
          </w:p>
        </w:tc>
        <w:tc>
          <w:tcPr>
            <w:tcW w:w="976" w:type="dxa"/>
            <w:tcBorders>
              <w:right w:val="single" w:sz="6" w:space="0" w:color="auto"/>
            </w:tcBorders>
            <w:shd w:val="clear" w:color="auto" w:fill="auto"/>
            <w:noWrap/>
            <w:tcMar>
              <w:left w:w="28" w:type="dxa"/>
              <w:right w:w="28" w:type="dxa"/>
            </w:tcMar>
            <w:vAlign w:val="bottom"/>
          </w:tcPr>
          <w:p w:rsidR="00BA1AB3" w:rsidRPr="00E455F0" w:rsidRDefault="00BA1AB3" w:rsidP="003F7B07">
            <w:pPr>
              <w:tabs>
                <w:tab w:val="decimal" w:pos="453"/>
              </w:tabs>
              <w:jc w:val="both"/>
              <w:rPr>
                <w:rFonts w:ascii="Arial Narrow" w:hAnsi="Arial Narrow" w:cs="Arial"/>
                <w:sz w:val="16"/>
                <w:szCs w:val="16"/>
                <w:lang w:val="en-US"/>
              </w:rPr>
            </w:pPr>
            <w:r w:rsidRPr="00C9023C">
              <w:rPr>
                <w:rFonts w:ascii="Arial Narrow" w:hAnsi="Arial Narrow" w:cs="Arial"/>
                <w:sz w:val="16"/>
                <w:szCs w:val="16"/>
              </w:rPr>
              <w:t>0,1</w:t>
            </w:r>
            <w:r>
              <w:rPr>
                <w:rFonts w:ascii="Arial Narrow" w:hAnsi="Arial Narrow" w:cs="Arial"/>
                <w:sz w:val="16"/>
                <w:szCs w:val="16"/>
                <w:lang w:val="en-US"/>
              </w:rPr>
              <w:t>7</w:t>
            </w:r>
          </w:p>
        </w:tc>
      </w:tr>
      <w:tr w:rsidR="00BA1AB3" w:rsidRPr="009367DF" w:rsidTr="003F7B07">
        <w:trPr>
          <w:trHeight w:val="224"/>
          <w:jc w:val="center"/>
        </w:trPr>
        <w:tc>
          <w:tcPr>
            <w:tcW w:w="810" w:type="dxa"/>
            <w:tcBorders>
              <w:left w:val="single" w:sz="6" w:space="0" w:color="auto"/>
              <w:bottom w:val="single" w:sz="6" w:space="0" w:color="auto"/>
            </w:tcBorders>
            <w:shd w:val="clear" w:color="auto" w:fill="auto"/>
            <w:noWrap/>
            <w:tcMar>
              <w:left w:w="28" w:type="dxa"/>
              <w:right w:w="28" w:type="dxa"/>
            </w:tcMar>
            <w:vAlign w:val="bottom"/>
          </w:tcPr>
          <w:p w:rsidR="00BA1AB3" w:rsidRPr="008F6256" w:rsidRDefault="00BA1AB3" w:rsidP="003F7B07">
            <w:pPr>
              <w:jc w:val="center"/>
              <w:rPr>
                <w:rFonts w:ascii="Arial Narrow" w:hAnsi="Arial Narrow"/>
                <w:sz w:val="16"/>
                <w:szCs w:val="16"/>
                <w:lang w:val="en-US"/>
              </w:rPr>
            </w:pPr>
            <w:r>
              <w:rPr>
                <w:rFonts w:ascii="Arial Narrow" w:hAnsi="Arial Narrow"/>
                <w:sz w:val="16"/>
                <w:szCs w:val="16"/>
                <w:lang w:val="en-US"/>
              </w:rPr>
              <w:t>2017*</w:t>
            </w:r>
          </w:p>
        </w:tc>
        <w:tc>
          <w:tcPr>
            <w:tcW w:w="665" w:type="dxa"/>
            <w:tcBorders>
              <w:bottom w:val="single" w:sz="6" w:space="0" w:color="auto"/>
            </w:tcBorders>
            <w:shd w:val="clear" w:color="auto" w:fill="auto"/>
            <w:noWrap/>
            <w:tcMar>
              <w:left w:w="28" w:type="dxa"/>
              <w:right w:w="28" w:type="dxa"/>
            </w:tcMar>
            <w:vAlign w:val="bottom"/>
          </w:tcPr>
          <w:p w:rsidR="00BA1AB3" w:rsidRPr="008F6256" w:rsidRDefault="00BA1AB3" w:rsidP="003F7B07">
            <w:pPr>
              <w:tabs>
                <w:tab w:val="decimal" w:pos="412"/>
              </w:tabs>
              <w:jc w:val="both"/>
              <w:rPr>
                <w:rFonts w:ascii="Arial Narrow" w:hAnsi="Arial Narrow" w:cs="Arial"/>
                <w:sz w:val="16"/>
                <w:szCs w:val="16"/>
                <w:lang w:val="en-US"/>
              </w:rPr>
            </w:pPr>
            <w:r>
              <w:rPr>
                <w:rFonts w:ascii="Arial Narrow" w:hAnsi="Arial Narrow" w:cs="Arial"/>
                <w:sz w:val="16"/>
                <w:szCs w:val="16"/>
                <w:lang w:val="en-US"/>
              </w:rPr>
              <w:t>266,6</w:t>
            </w:r>
          </w:p>
        </w:tc>
        <w:tc>
          <w:tcPr>
            <w:tcW w:w="781" w:type="dxa"/>
            <w:tcBorders>
              <w:bottom w:val="single" w:sz="6" w:space="0" w:color="auto"/>
            </w:tcBorders>
            <w:shd w:val="clear" w:color="auto" w:fill="auto"/>
            <w:noWrap/>
            <w:tcMar>
              <w:left w:w="28" w:type="dxa"/>
              <w:right w:w="28" w:type="dxa"/>
            </w:tcMar>
            <w:vAlign w:val="bottom"/>
          </w:tcPr>
          <w:p w:rsidR="00BA1AB3" w:rsidRPr="00E455F0" w:rsidRDefault="00BA1AB3" w:rsidP="003F7B07">
            <w:pPr>
              <w:tabs>
                <w:tab w:val="decimal" w:pos="374"/>
              </w:tabs>
              <w:jc w:val="both"/>
              <w:rPr>
                <w:rFonts w:ascii="Arial Narrow" w:hAnsi="Arial Narrow" w:cs="Arial"/>
                <w:sz w:val="16"/>
                <w:szCs w:val="16"/>
                <w:lang w:val="en-US"/>
              </w:rPr>
            </w:pPr>
            <w:r>
              <w:rPr>
                <w:rFonts w:ascii="Arial Narrow" w:hAnsi="Arial Narrow" w:cs="Arial"/>
                <w:sz w:val="16"/>
                <w:szCs w:val="16"/>
                <w:lang w:val="en-US"/>
              </w:rPr>
              <w:t>0,15</w:t>
            </w:r>
          </w:p>
        </w:tc>
        <w:tc>
          <w:tcPr>
            <w:tcW w:w="976" w:type="dxa"/>
            <w:tcBorders>
              <w:bottom w:val="single" w:sz="6" w:space="0" w:color="auto"/>
            </w:tcBorders>
            <w:shd w:val="clear" w:color="auto" w:fill="auto"/>
            <w:noWrap/>
            <w:tcMar>
              <w:left w:w="28" w:type="dxa"/>
              <w:right w:w="28" w:type="dxa"/>
            </w:tcMar>
            <w:vAlign w:val="bottom"/>
          </w:tcPr>
          <w:p w:rsidR="00BA1AB3" w:rsidRPr="00E455F0" w:rsidRDefault="00BA1AB3" w:rsidP="003F7B07">
            <w:pPr>
              <w:tabs>
                <w:tab w:val="decimal" w:pos="614"/>
              </w:tabs>
              <w:jc w:val="both"/>
              <w:rPr>
                <w:rFonts w:ascii="Arial Narrow" w:hAnsi="Arial Narrow" w:cs="Arial"/>
                <w:sz w:val="16"/>
                <w:szCs w:val="16"/>
                <w:lang w:val="en-US"/>
              </w:rPr>
            </w:pPr>
            <w:r>
              <w:rPr>
                <w:rFonts w:ascii="Arial Narrow" w:hAnsi="Arial Narrow" w:cs="Arial"/>
                <w:sz w:val="16"/>
                <w:szCs w:val="16"/>
                <w:lang w:val="en-US"/>
              </w:rPr>
              <w:t>11.996,1</w:t>
            </w:r>
          </w:p>
        </w:tc>
        <w:tc>
          <w:tcPr>
            <w:tcW w:w="976" w:type="dxa"/>
            <w:tcBorders>
              <w:bottom w:val="single" w:sz="6" w:space="0" w:color="auto"/>
            </w:tcBorders>
            <w:shd w:val="clear" w:color="auto" w:fill="auto"/>
            <w:noWrap/>
            <w:tcMar>
              <w:left w:w="28" w:type="dxa"/>
              <w:right w:w="28" w:type="dxa"/>
            </w:tcMar>
            <w:vAlign w:val="bottom"/>
          </w:tcPr>
          <w:p w:rsidR="00BA1AB3" w:rsidRPr="00E455F0" w:rsidRDefault="00BA1AB3" w:rsidP="003F7B07">
            <w:pPr>
              <w:tabs>
                <w:tab w:val="decimal" w:pos="484"/>
              </w:tabs>
              <w:jc w:val="both"/>
              <w:rPr>
                <w:rFonts w:ascii="Arial Narrow" w:hAnsi="Arial Narrow" w:cs="Arial"/>
                <w:sz w:val="16"/>
                <w:szCs w:val="16"/>
                <w:lang w:val="en-US"/>
              </w:rPr>
            </w:pPr>
            <w:r>
              <w:rPr>
                <w:rFonts w:ascii="Arial Narrow" w:hAnsi="Arial Narrow" w:cs="Arial"/>
                <w:sz w:val="16"/>
                <w:szCs w:val="16"/>
                <w:lang w:val="en-US"/>
              </w:rPr>
              <w:t>6,7</w:t>
            </w:r>
          </w:p>
        </w:tc>
        <w:tc>
          <w:tcPr>
            <w:tcW w:w="781" w:type="dxa"/>
            <w:tcBorders>
              <w:bottom w:val="single" w:sz="6" w:space="0" w:color="auto"/>
            </w:tcBorders>
            <w:shd w:val="clear" w:color="auto" w:fill="auto"/>
            <w:noWrap/>
            <w:tcMar>
              <w:left w:w="28" w:type="dxa"/>
              <w:right w:w="28" w:type="dxa"/>
            </w:tcMar>
            <w:vAlign w:val="bottom"/>
          </w:tcPr>
          <w:p w:rsidR="00BA1AB3" w:rsidRPr="00E455F0" w:rsidRDefault="00BA1AB3" w:rsidP="003F7B07">
            <w:pPr>
              <w:tabs>
                <w:tab w:val="decimal" w:pos="408"/>
              </w:tabs>
              <w:jc w:val="both"/>
              <w:rPr>
                <w:rFonts w:ascii="Arial Narrow" w:hAnsi="Arial Narrow" w:cs="Arial"/>
                <w:sz w:val="16"/>
                <w:szCs w:val="16"/>
                <w:lang w:val="en-US"/>
              </w:rPr>
            </w:pPr>
            <w:r>
              <w:rPr>
                <w:rFonts w:ascii="Arial Narrow" w:hAnsi="Arial Narrow" w:cs="Arial"/>
                <w:sz w:val="16"/>
                <w:szCs w:val="16"/>
                <w:lang w:val="en-US"/>
              </w:rPr>
              <w:t>679,0</w:t>
            </w:r>
          </w:p>
        </w:tc>
        <w:tc>
          <w:tcPr>
            <w:tcW w:w="1171" w:type="dxa"/>
            <w:tcBorders>
              <w:bottom w:val="single" w:sz="6" w:space="0" w:color="auto"/>
            </w:tcBorders>
            <w:shd w:val="clear" w:color="auto" w:fill="auto"/>
            <w:noWrap/>
            <w:tcMar>
              <w:left w:w="28" w:type="dxa"/>
              <w:right w:w="28" w:type="dxa"/>
            </w:tcMar>
            <w:vAlign w:val="bottom"/>
          </w:tcPr>
          <w:p w:rsidR="00BA1AB3" w:rsidRPr="00E455F0" w:rsidRDefault="00BA1AB3" w:rsidP="003F7B07">
            <w:pPr>
              <w:tabs>
                <w:tab w:val="decimal" w:pos="573"/>
              </w:tabs>
              <w:jc w:val="both"/>
              <w:rPr>
                <w:rFonts w:ascii="Arial Narrow" w:hAnsi="Arial Narrow" w:cs="Arial"/>
                <w:sz w:val="16"/>
                <w:szCs w:val="16"/>
                <w:lang w:val="en-US"/>
              </w:rPr>
            </w:pPr>
            <w:r>
              <w:rPr>
                <w:rFonts w:ascii="Arial Narrow" w:hAnsi="Arial Narrow" w:cs="Arial"/>
                <w:sz w:val="16"/>
                <w:szCs w:val="16"/>
                <w:lang w:val="en-US"/>
              </w:rPr>
              <w:t>0,38</w:t>
            </w:r>
          </w:p>
        </w:tc>
        <w:tc>
          <w:tcPr>
            <w:tcW w:w="1562" w:type="dxa"/>
            <w:tcBorders>
              <w:bottom w:val="single" w:sz="6" w:space="0" w:color="auto"/>
            </w:tcBorders>
            <w:shd w:val="clear" w:color="auto" w:fill="auto"/>
            <w:noWrap/>
            <w:tcMar>
              <w:left w:w="28" w:type="dxa"/>
              <w:right w:w="28" w:type="dxa"/>
            </w:tcMar>
            <w:vAlign w:val="bottom"/>
          </w:tcPr>
          <w:p w:rsidR="00BA1AB3" w:rsidRPr="00E455F0" w:rsidRDefault="00BA1AB3" w:rsidP="003F7B07">
            <w:pPr>
              <w:tabs>
                <w:tab w:val="decimal" w:pos="776"/>
              </w:tabs>
              <w:jc w:val="both"/>
              <w:rPr>
                <w:rFonts w:ascii="Arial Narrow" w:hAnsi="Arial Narrow" w:cs="Arial"/>
                <w:sz w:val="16"/>
                <w:szCs w:val="16"/>
                <w:lang w:val="en-US"/>
              </w:rPr>
            </w:pPr>
            <w:r>
              <w:rPr>
                <w:rFonts w:ascii="Arial Narrow" w:hAnsi="Arial Narrow" w:cs="Arial"/>
                <w:sz w:val="16"/>
                <w:szCs w:val="16"/>
                <w:lang w:val="en-US"/>
              </w:rPr>
              <w:t>80,0</w:t>
            </w:r>
          </w:p>
        </w:tc>
        <w:tc>
          <w:tcPr>
            <w:tcW w:w="781" w:type="dxa"/>
            <w:tcBorders>
              <w:bottom w:val="single" w:sz="6" w:space="0" w:color="auto"/>
            </w:tcBorders>
            <w:shd w:val="clear" w:color="auto" w:fill="auto"/>
            <w:noWrap/>
            <w:tcMar>
              <w:left w:w="28" w:type="dxa"/>
              <w:right w:w="28" w:type="dxa"/>
            </w:tcMar>
            <w:vAlign w:val="bottom"/>
          </w:tcPr>
          <w:p w:rsidR="00BA1AB3" w:rsidRPr="00E455F0" w:rsidRDefault="00BA1AB3" w:rsidP="003F7B07">
            <w:pPr>
              <w:tabs>
                <w:tab w:val="decimal" w:pos="407"/>
              </w:tabs>
              <w:jc w:val="both"/>
              <w:rPr>
                <w:rFonts w:ascii="Arial Narrow" w:hAnsi="Arial Narrow" w:cs="Arial"/>
                <w:sz w:val="16"/>
                <w:szCs w:val="16"/>
                <w:lang w:val="en-US"/>
              </w:rPr>
            </w:pPr>
            <w:r>
              <w:rPr>
                <w:rFonts w:ascii="Arial Narrow" w:hAnsi="Arial Narrow" w:cs="Arial"/>
                <w:sz w:val="16"/>
                <w:szCs w:val="16"/>
                <w:lang w:val="en-US"/>
              </w:rPr>
              <w:t>599,0</w:t>
            </w:r>
          </w:p>
        </w:tc>
        <w:tc>
          <w:tcPr>
            <w:tcW w:w="976" w:type="dxa"/>
            <w:tcBorders>
              <w:bottom w:val="single" w:sz="6" w:space="0" w:color="auto"/>
              <w:right w:val="single" w:sz="6" w:space="0" w:color="auto"/>
            </w:tcBorders>
            <w:shd w:val="clear" w:color="auto" w:fill="auto"/>
            <w:noWrap/>
            <w:tcMar>
              <w:left w:w="28" w:type="dxa"/>
              <w:right w:w="28" w:type="dxa"/>
            </w:tcMar>
            <w:vAlign w:val="bottom"/>
          </w:tcPr>
          <w:p w:rsidR="00BA1AB3" w:rsidRPr="00E455F0" w:rsidRDefault="00BA1AB3" w:rsidP="003F7B07">
            <w:pPr>
              <w:tabs>
                <w:tab w:val="decimal" w:pos="453"/>
              </w:tabs>
              <w:jc w:val="both"/>
              <w:rPr>
                <w:rFonts w:ascii="Arial Narrow" w:hAnsi="Arial Narrow" w:cs="Arial"/>
                <w:sz w:val="16"/>
                <w:szCs w:val="16"/>
                <w:lang w:val="en-US"/>
              </w:rPr>
            </w:pPr>
            <w:r>
              <w:rPr>
                <w:rFonts w:ascii="Arial Narrow" w:hAnsi="Arial Narrow" w:cs="Arial"/>
                <w:sz w:val="16"/>
                <w:szCs w:val="16"/>
                <w:lang w:val="en-US"/>
              </w:rPr>
              <w:t>0,34</w:t>
            </w:r>
          </w:p>
        </w:tc>
      </w:tr>
    </w:tbl>
    <w:p w:rsidR="00BA1AB3" w:rsidRDefault="00BA1AB3" w:rsidP="00BA1AB3">
      <w:pPr>
        <w:tabs>
          <w:tab w:val="left" w:pos="360"/>
          <w:tab w:val="left" w:pos="3777"/>
          <w:tab w:val="left" w:pos="4068"/>
          <w:tab w:val="left" w:pos="5895"/>
          <w:tab w:val="left" w:pos="6131"/>
          <w:tab w:val="left" w:pos="7408"/>
          <w:tab w:val="right" w:pos="9000"/>
          <w:tab w:val="left" w:pos="10389"/>
        </w:tabs>
        <w:ind w:left="360" w:right="-469" w:hanging="252"/>
        <w:rPr>
          <w:rFonts w:ascii="Arial Narrow" w:hAnsi="Arial Narrow"/>
          <w:i/>
          <w:iCs/>
          <w:sz w:val="18"/>
          <w:szCs w:val="16"/>
        </w:rPr>
      </w:pPr>
      <w:r>
        <w:rPr>
          <w:rFonts w:ascii="Arial Narrow" w:hAnsi="Arial Narrow"/>
          <w:i/>
          <w:iCs/>
          <w:sz w:val="18"/>
          <w:szCs w:val="16"/>
        </w:rPr>
        <w:t>*</w:t>
      </w:r>
      <w:r w:rsidRPr="009367DF">
        <w:rPr>
          <w:rFonts w:ascii="Arial Narrow" w:hAnsi="Arial Narrow"/>
          <w:i/>
          <w:iCs/>
          <w:sz w:val="18"/>
          <w:szCs w:val="16"/>
        </w:rPr>
        <w:t xml:space="preserve">Τα στοιχεία </w:t>
      </w:r>
      <w:r>
        <w:rPr>
          <w:rFonts w:ascii="Arial Narrow" w:hAnsi="Arial Narrow"/>
          <w:i/>
          <w:iCs/>
          <w:sz w:val="18"/>
          <w:szCs w:val="16"/>
        </w:rPr>
        <w:t>για το έτος 201</w:t>
      </w:r>
      <w:r w:rsidRPr="008F6256">
        <w:rPr>
          <w:rFonts w:ascii="Arial Narrow" w:hAnsi="Arial Narrow"/>
          <w:i/>
          <w:iCs/>
          <w:sz w:val="18"/>
          <w:szCs w:val="16"/>
        </w:rPr>
        <w:t>7</w:t>
      </w:r>
      <w:r>
        <w:rPr>
          <w:rFonts w:ascii="Arial Narrow" w:hAnsi="Arial Narrow"/>
          <w:i/>
          <w:iCs/>
          <w:sz w:val="18"/>
          <w:szCs w:val="16"/>
        </w:rPr>
        <w:t xml:space="preserve"> </w:t>
      </w:r>
      <w:r w:rsidRPr="009367DF">
        <w:rPr>
          <w:rFonts w:ascii="Arial Narrow" w:hAnsi="Arial Narrow"/>
          <w:i/>
          <w:iCs/>
          <w:sz w:val="18"/>
          <w:szCs w:val="16"/>
        </w:rPr>
        <w:t>αποτελούν εκτίμηση.</w:t>
      </w:r>
    </w:p>
    <w:p w:rsidR="00BA1AB3" w:rsidRPr="009367DF" w:rsidRDefault="00BA1AB3" w:rsidP="00BA1AB3">
      <w:pPr>
        <w:tabs>
          <w:tab w:val="left" w:pos="360"/>
          <w:tab w:val="left" w:pos="3777"/>
          <w:tab w:val="left" w:pos="4068"/>
          <w:tab w:val="left" w:pos="5895"/>
          <w:tab w:val="left" w:pos="6131"/>
          <w:tab w:val="left" w:pos="7408"/>
          <w:tab w:val="right" w:pos="9000"/>
          <w:tab w:val="left" w:pos="10389"/>
        </w:tabs>
        <w:ind w:left="360" w:right="-469" w:hanging="252"/>
        <w:rPr>
          <w:rFonts w:ascii="Arial Narrow" w:hAnsi="Arial Narrow"/>
          <w:sz w:val="18"/>
          <w:szCs w:val="16"/>
        </w:rPr>
      </w:pPr>
    </w:p>
    <w:p w:rsidR="00BA1AB3" w:rsidRDefault="00BA1AB3" w:rsidP="00BA1AB3">
      <w:pPr>
        <w:ind w:right="251"/>
        <w:jc w:val="both"/>
        <w:rPr>
          <w:rFonts w:ascii="Arial Narrow" w:hAnsi="Arial Narrow"/>
          <w:sz w:val="22"/>
          <w:szCs w:val="22"/>
        </w:rPr>
      </w:pPr>
    </w:p>
    <w:tbl>
      <w:tblPr>
        <w:tblW w:w="10185" w:type="dxa"/>
        <w:jc w:val="center"/>
        <w:tblLook w:val="00A0"/>
      </w:tblPr>
      <w:tblGrid>
        <w:gridCol w:w="377"/>
        <w:gridCol w:w="9536"/>
        <w:gridCol w:w="272"/>
      </w:tblGrid>
      <w:tr w:rsidR="00BA1AB3" w:rsidRPr="00F323BD" w:rsidTr="003F7B07">
        <w:trPr>
          <w:gridBefore w:val="1"/>
          <w:gridAfter w:val="1"/>
          <w:wBefore w:w="377" w:type="dxa"/>
          <w:wAfter w:w="272" w:type="dxa"/>
          <w:trHeight w:val="545"/>
          <w:jc w:val="center"/>
        </w:trPr>
        <w:tc>
          <w:tcPr>
            <w:tcW w:w="9536" w:type="dxa"/>
            <w:shd w:val="clear" w:color="auto" w:fill="404040"/>
          </w:tcPr>
          <w:p w:rsidR="00BA1AB3" w:rsidRPr="00F323BD" w:rsidRDefault="00BA1AB3" w:rsidP="003F7B07">
            <w:pPr>
              <w:keepNext/>
              <w:spacing w:before="120"/>
              <w:jc w:val="center"/>
              <w:outlineLvl w:val="4"/>
              <w:rPr>
                <w:rFonts w:ascii="Arial Narrow" w:hAnsi="Arial Narrow"/>
                <w:b/>
                <w:color w:val="FFFFFF"/>
              </w:rPr>
            </w:pPr>
            <w:r>
              <w:rPr>
                <w:rFonts w:ascii="Arial Narrow" w:hAnsi="Arial Narrow"/>
                <w:b/>
                <w:color w:val="FFFFFF"/>
              </w:rPr>
              <w:t xml:space="preserve">Διάγραμμα 4.8 </w:t>
            </w:r>
            <w:r w:rsidRPr="00F323BD">
              <w:rPr>
                <w:rFonts w:ascii="Arial Narrow" w:hAnsi="Arial Narrow"/>
                <w:b/>
                <w:color w:val="FFFFFF"/>
              </w:rPr>
              <w:t>Εγγυήσεις, καταπτώσεις και ανεξόφλητο εγγυημένο υπόλοιπο</w:t>
            </w:r>
          </w:p>
          <w:p w:rsidR="00BA1AB3" w:rsidRPr="00E455F0" w:rsidRDefault="00BA1AB3" w:rsidP="003F7B07">
            <w:pPr>
              <w:keepNext/>
              <w:tabs>
                <w:tab w:val="center" w:pos="4662"/>
                <w:tab w:val="left" w:pos="6506"/>
              </w:tabs>
              <w:jc w:val="center"/>
              <w:outlineLvl w:val="4"/>
              <w:rPr>
                <w:rFonts w:ascii="Arial Narrow" w:hAnsi="Arial Narrow"/>
                <w:b/>
                <w:color w:val="FFFFFF"/>
              </w:rPr>
            </w:pPr>
            <w:r>
              <w:rPr>
                <w:rFonts w:ascii="Arial Narrow" w:hAnsi="Arial Narrow"/>
                <w:b/>
                <w:color w:val="FFFFFF"/>
              </w:rPr>
              <w:t>κατά τα έτη 2000-201</w:t>
            </w:r>
            <w:r w:rsidRPr="00E455F0">
              <w:rPr>
                <w:rFonts w:ascii="Arial Narrow" w:hAnsi="Arial Narrow"/>
                <w:b/>
                <w:color w:val="FFFFFF"/>
              </w:rPr>
              <w:t>7</w:t>
            </w:r>
          </w:p>
          <w:p w:rsidR="00BA1AB3" w:rsidRPr="00F323BD" w:rsidRDefault="00BA1AB3" w:rsidP="003F7B07">
            <w:pPr>
              <w:spacing w:after="120"/>
              <w:jc w:val="center"/>
              <w:rPr>
                <w:b/>
                <w:sz w:val="22"/>
                <w:szCs w:val="22"/>
              </w:rPr>
            </w:pPr>
            <w:r w:rsidRPr="00F323BD">
              <w:rPr>
                <w:rFonts w:ascii="Arial Narrow" w:hAnsi="Arial Narrow"/>
                <w:b/>
                <w:color w:val="FFFFFF"/>
              </w:rPr>
              <w:t>(ως % του ΑΕΠ)</w:t>
            </w:r>
          </w:p>
        </w:tc>
      </w:tr>
      <w:tr w:rsidR="00BA1AB3" w:rsidRPr="00F323BD" w:rsidTr="003F7B07">
        <w:trPr>
          <w:jc w:val="center"/>
        </w:trPr>
        <w:tc>
          <w:tcPr>
            <w:tcW w:w="10185" w:type="dxa"/>
            <w:gridSpan w:val="3"/>
          </w:tcPr>
          <w:p w:rsidR="00BA1AB3" w:rsidRDefault="00BA1AB3" w:rsidP="003F7B07">
            <w:pPr>
              <w:jc w:val="center"/>
              <w:rPr>
                <w:sz w:val="20"/>
                <w:szCs w:val="20"/>
              </w:rPr>
            </w:pPr>
            <w:r w:rsidRPr="002762A6">
              <w:rPr>
                <w:noProof/>
                <w:sz w:val="20"/>
                <w:szCs w:val="20"/>
              </w:rPr>
              <w:drawing>
                <wp:inline distT="0" distB="0" distL="0" distR="0">
                  <wp:extent cx="6146800" cy="3005667"/>
                  <wp:effectExtent l="0" t="0" r="0" b="0"/>
                  <wp:docPr id="24"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sz w:val="20"/>
                <w:szCs w:val="20"/>
              </w:rPr>
              <w:t xml:space="preserve">      </w:t>
            </w:r>
          </w:p>
          <w:p w:rsidR="00BA1AB3" w:rsidRPr="00BC03F3" w:rsidRDefault="00BA1AB3" w:rsidP="003F7B07">
            <w:pPr>
              <w:rPr>
                <w:rFonts w:ascii="Arial Narrow" w:hAnsi="Arial Narrow"/>
                <w:sz w:val="18"/>
                <w:szCs w:val="18"/>
              </w:rPr>
            </w:pPr>
            <w:r>
              <w:rPr>
                <w:sz w:val="22"/>
                <w:szCs w:val="22"/>
              </w:rPr>
              <w:t xml:space="preserve">                </w:t>
            </w:r>
            <w:r w:rsidRPr="007A1C58">
              <w:rPr>
                <w:rFonts w:ascii="Arial Narrow" w:hAnsi="Arial Narrow"/>
                <w:sz w:val="16"/>
                <w:szCs w:val="18"/>
              </w:rPr>
              <w:t>Πηγή: Υπουργείο Οικονομικών</w:t>
            </w:r>
          </w:p>
        </w:tc>
      </w:tr>
    </w:tbl>
    <w:p w:rsidR="00BA1AB3" w:rsidRPr="00A10168" w:rsidRDefault="00BA1AB3" w:rsidP="00BA1AB3">
      <w:pPr>
        <w:spacing w:line="238" w:lineRule="auto"/>
        <w:jc w:val="both"/>
        <w:rPr>
          <w:rFonts w:ascii="Arial Narrow" w:hAnsi="Arial Narrow" w:cs="Arial"/>
          <w:b/>
          <w:color w:val="000080"/>
          <w:sz w:val="22"/>
        </w:rPr>
      </w:pPr>
      <w:r w:rsidRPr="00A10168">
        <w:rPr>
          <w:rFonts w:ascii="Arial Narrow" w:hAnsi="Arial Narrow" w:cs="Arial"/>
          <w:b/>
          <w:color w:val="000080"/>
          <w:sz w:val="22"/>
        </w:rPr>
        <w:lastRenderedPageBreak/>
        <w:t>Ενίσχυση ρευστότητας της οικονομίας</w:t>
      </w:r>
    </w:p>
    <w:p w:rsidR="00BA1AB3" w:rsidRDefault="00BA1AB3" w:rsidP="00BA1AB3">
      <w:pPr>
        <w:spacing w:line="238" w:lineRule="auto"/>
        <w:jc w:val="both"/>
        <w:rPr>
          <w:sz w:val="22"/>
        </w:rPr>
      </w:pPr>
    </w:p>
    <w:p w:rsidR="00BA1AB3" w:rsidRDefault="00BA1AB3" w:rsidP="00BA1AB3">
      <w:pPr>
        <w:pStyle w:val="af"/>
        <w:numPr>
          <w:ilvl w:val="0"/>
          <w:numId w:val="49"/>
        </w:numPr>
        <w:spacing w:line="238" w:lineRule="auto"/>
        <w:ind w:left="284" w:hanging="284"/>
        <w:jc w:val="both"/>
        <w:rPr>
          <w:sz w:val="22"/>
        </w:rPr>
      </w:pPr>
      <w:r w:rsidRPr="00B14D84">
        <w:rPr>
          <w:sz w:val="22"/>
        </w:rPr>
        <w:t xml:space="preserve">Με την ψήφιση του ν.3723/2008 «Ενίσχυση της ρευστότητας της οικονομίας για την αντιμετώπιση των επιπτώσεων της διεθνούς χρηματοοικονομικής κρίσης και άλλες διατάξεις» (ΦΕΚ 250/Α’/9-12-2008) επιχειρήθηκε η </w:t>
      </w:r>
      <w:r w:rsidR="004516EE">
        <w:rPr>
          <w:sz w:val="22"/>
        </w:rPr>
        <w:t xml:space="preserve">προστασία </w:t>
      </w:r>
      <w:r w:rsidRPr="00B14D84">
        <w:rPr>
          <w:sz w:val="22"/>
        </w:rPr>
        <w:t>της ελληνικής οικονομίας από τις επιπτώσεις της διεθνούς κρίσης μ</w:t>
      </w:r>
      <w:r w:rsidR="00F207FA">
        <w:rPr>
          <w:sz w:val="22"/>
        </w:rPr>
        <w:t>έσω</w:t>
      </w:r>
      <w:r w:rsidRPr="00B14D84">
        <w:rPr>
          <w:sz w:val="22"/>
        </w:rPr>
        <w:t xml:space="preserve"> τη</w:t>
      </w:r>
      <w:r w:rsidR="00F207FA">
        <w:rPr>
          <w:sz w:val="22"/>
        </w:rPr>
        <w:t>ς</w:t>
      </w:r>
      <w:r w:rsidRPr="00B14D84">
        <w:rPr>
          <w:sz w:val="22"/>
        </w:rPr>
        <w:t xml:space="preserve"> ενίσχυση</w:t>
      </w:r>
      <w:r w:rsidR="00F207FA">
        <w:rPr>
          <w:sz w:val="22"/>
        </w:rPr>
        <w:t>ς</w:t>
      </w:r>
      <w:r w:rsidRPr="00B14D84">
        <w:rPr>
          <w:sz w:val="22"/>
        </w:rPr>
        <w:t xml:space="preserve"> της ρευστότητας</w:t>
      </w:r>
      <w:r w:rsidR="00F207FA">
        <w:rPr>
          <w:sz w:val="22"/>
        </w:rPr>
        <w:t xml:space="preserve"> του πιστωτικού συστήματος</w:t>
      </w:r>
      <w:r w:rsidRPr="00B14D84">
        <w:rPr>
          <w:sz w:val="22"/>
        </w:rPr>
        <w:t>. Σκοπός ήταν να απ</w:t>
      </w:r>
      <w:r w:rsidRPr="00B14D84">
        <w:rPr>
          <w:sz w:val="22"/>
        </w:rPr>
        <w:t>ο</w:t>
      </w:r>
      <w:r w:rsidRPr="00B14D84">
        <w:rPr>
          <w:sz w:val="22"/>
        </w:rPr>
        <w:t>κτήσουν οι τράπεζες επιπλέον</w:t>
      </w:r>
      <w:r>
        <w:rPr>
          <w:sz w:val="22"/>
        </w:rPr>
        <w:t xml:space="preserve"> κεφάλαια για τη </w:t>
      </w:r>
      <w:r w:rsidRPr="00B14D84">
        <w:rPr>
          <w:sz w:val="22"/>
        </w:rPr>
        <w:t>χορήγηση πιστώσεων στα νοικοκυριά και στις επ</w:t>
      </w:r>
      <w:r w:rsidRPr="00B14D84">
        <w:rPr>
          <w:sz w:val="22"/>
        </w:rPr>
        <w:t>ι</w:t>
      </w:r>
      <w:r w:rsidRPr="00B14D84">
        <w:rPr>
          <w:sz w:val="22"/>
        </w:rPr>
        <w:t>χειρήσεις και να αμβλυνθούν οι πιέσεις στα επιτόκια χορηγήσεων.</w:t>
      </w:r>
    </w:p>
    <w:p w:rsidR="00BA1AB3" w:rsidRPr="00BA1AB3" w:rsidRDefault="00BA1AB3" w:rsidP="00BA1AB3">
      <w:pPr>
        <w:pStyle w:val="af"/>
        <w:spacing w:line="238" w:lineRule="auto"/>
        <w:ind w:left="284"/>
        <w:jc w:val="both"/>
        <w:rPr>
          <w:sz w:val="18"/>
        </w:rPr>
      </w:pPr>
    </w:p>
    <w:p w:rsidR="00BA1AB3" w:rsidRDefault="005F7D92" w:rsidP="00BA1AB3">
      <w:pPr>
        <w:pStyle w:val="af"/>
        <w:spacing w:line="238" w:lineRule="auto"/>
        <w:ind w:left="284"/>
        <w:jc w:val="both"/>
        <w:rPr>
          <w:sz w:val="22"/>
        </w:rPr>
      </w:pPr>
      <w:r>
        <w:rPr>
          <w:sz w:val="22"/>
        </w:rPr>
        <w:t xml:space="preserve">Στα </w:t>
      </w:r>
      <w:r w:rsidR="00BA1AB3" w:rsidRPr="00B14D84">
        <w:rPr>
          <w:sz w:val="22"/>
        </w:rPr>
        <w:t xml:space="preserve">μέσα επίτευξης του </w:t>
      </w:r>
      <w:r>
        <w:rPr>
          <w:sz w:val="22"/>
        </w:rPr>
        <w:t xml:space="preserve">ανωτέρω </w:t>
      </w:r>
      <w:r w:rsidR="00BA1AB3" w:rsidRPr="00B14D84">
        <w:rPr>
          <w:sz w:val="22"/>
        </w:rPr>
        <w:t xml:space="preserve">στόχου </w:t>
      </w:r>
      <w:r>
        <w:rPr>
          <w:sz w:val="22"/>
        </w:rPr>
        <w:t xml:space="preserve">περιλαμβάνεται </w:t>
      </w:r>
      <w:r w:rsidR="00BA1AB3" w:rsidRPr="00B14D84">
        <w:rPr>
          <w:sz w:val="22"/>
        </w:rPr>
        <w:t>η παροχή της εγγύησης του Ελληνικού Δημοσίου προς τις τράπεζες που έχουν λάβει άδεια λειτουργίας από την Τράπεζα της Ελλάδος και καλύπτουν το δείκτη κεφαλαιακής επάρκειας που αυτή θέτει</w:t>
      </w:r>
      <w:r w:rsidR="00F207FA">
        <w:rPr>
          <w:sz w:val="22"/>
        </w:rPr>
        <w:t>,</w:t>
      </w:r>
      <w:r w:rsidR="00BA1AB3" w:rsidRPr="00B14D84">
        <w:rPr>
          <w:sz w:val="22"/>
        </w:rPr>
        <w:t xml:space="preserve"> για δάνεια που θα συναφθούν με ή χωρίς έκδοση τίτλων και θα έχουν διάρκεια από τρεις μήνες έως τρία έτη.</w:t>
      </w:r>
    </w:p>
    <w:p w:rsidR="00BA1AB3" w:rsidRPr="00BA1AB3" w:rsidRDefault="00BA1AB3" w:rsidP="00BA1AB3">
      <w:pPr>
        <w:pStyle w:val="af"/>
        <w:spacing w:line="238" w:lineRule="auto"/>
        <w:ind w:left="284"/>
        <w:jc w:val="both"/>
        <w:rPr>
          <w:sz w:val="18"/>
        </w:rPr>
      </w:pPr>
    </w:p>
    <w:p w:rsidR="00BA1AB3" w:rsidRDefault="00BA1AB3" w:rsidP="00BA1AB3">
      <w:pPr>
        <w:pStyle w:val="af"/>
        <w:spacing w:line="238" w:lineRule="auto"/>
        <w:ind w:left="284"/>
        <w:jc w:val="both"/>
        <w:rPr>
          <w:sz w:val="22"/>
        </w:rPr>
      </w:pPr>
      <w:r>
        <w:rPr>
          <w:sz w:val="22"/>
        </w:rPr>
        <w:t>Στο πλαίσιο του παραπάνω ν</w:t>
      </w:r>
      <w:r w:rsidRPr="00EC659D">
        <w:rPr>
          <w:sz w:val="22"/>
        </w:rPr>
        <w:t>όμου, το ανώτατο ποσό εγγυήσεων είναι 85 δισ. ευρώ.</w:t>
      </w:r>
      <w:r>
        <w:rPr>
          <w:sz w:val="22"/>
        </w:rPr>
        <w:t xml:space="preserve"> </w:t>
      </w:r>
      <w:r w:rsidRPr="00EC659D">
        <w:rPr>
          <w:sz w:val="22"/>
        </w:rPr>
        <w:t xml:space="preserve">Οι εγγυήσεις που είναι σε ισχύ </w:t>
      </w:r>
      <w:r>
        <w:rPr>
          <w:sz w:val="22"/>
        </w:rPr>
        <w:t>στις 31/10/</w:t>
      </w:r>
      <w:r w:rsidR="005F7D92">
        <w:rPr>
          <w:sz w:val="22"/>
        </w:rPr>
        <w:t>20</w:t>
      </w:r>
      <w:r>
        <w:rPr>
          <w:sz w:val="22"/>
        </w:rPr>
        <w:t>1</w:t>
      </w:r>
      <w:r w:rsidRPr="00FB44F1">
        <w:rPr>
          <w:sz w:val="22"/>
        </w:rPr>
        <w:t>7</w:t>
      </w:r>
      <w:r>
        <w:rPr>
          <w:sz w:val="22"/>
        </w:rPr>
        <w:t xml:space="preserve"> ανέρχονται στο ποσό των </w:t>
      </w:r>
      <w:r w:rsidRPr="00FB44F1">
        <w:rPr>
          <w:sz w:val="22"/>
        </w:rPr>
        <w:t>380</w:t>
      </w:r>
      <w:r w:rsidRPr="00EC659D">
        <w:rPr>
          <w:sz w:val="22"/>
        </w:rPr>
        <w:t xml:space="preserve"> </w:t>
      </w:r>
      <w:r>
        <w:rPr>
          <w:sz w:val="22"/>
        </w:rPr>
        <w:t>εκατ</w:t>
      </w:r>
      <w:r w:rsidRPr="00EC659D">
        <w:rPr>
          <w:sz w:val="22"/>
        </w:rPr>
        <w:t xml:space="preserve">. ευρώ </w:t>
      </w:r>
      <w:r>
        <w:rPr>
          <w:sz w:val="22"/>
        </w:rPr>
        <w:t xml:space="preserve">με </w:t>
      </w:r>
      <w:r w:rsidRPr="00EC659D">
        <w:rPr>
          <w:sz w:val="22"/>
        </w:rPr>
        <w:t>δικαιούχο</w:t>
      </w:r>
      <w:r>
        <w:rPr>
          <w:sz w:val="22"/>
        </w:rPr>
        <w:t xml:space="preserve"> ένα (1) μόνο πιστωτικό</w:t>
      </w:r>
      <w:r w:rsidRPr="00EC659D">
        <w:rPr>
          <w:sz w:val="22"/>
        </w:rPr>
        <w:t xml:space="preserve"> </w:t>
      </w:r>
      <w:r>
        <w:rPr>
          <w:sz w:val="22"/>
        </w:rPr>
        <w:t>ίδρυμα.</w:t>
      </w:r>
    </w:p>
    <w:p w:rsidR="00BA1AB3" w:rsidRPr="001D575B" w:rsidRDefault="00BA1AB3" w:rsidP="00BA1AB3">
      <w:pPr>
        <w:pStyle w:val="af"/>
        <w:spacing w:line="238" w:lineRule="auto"/>
        <w:ind w:left="284"/>
        <w:jc w:val="both"/>
        <w:rPr>
          <w:sz w:val="22"/>
        </w:rPr>
      </w:pPr>
      <w:r>
        <w:rPr>
          <w:sz w:val="22"/>
        </w:rPr>
        <w:t xml:space="preserve">Σημειώνεται ότι οι εγγυήσεις παρουσιάζουν σημαντική μείωση σε σχέση με το </w:t>
      </w:r>
      <w:r w:rsidR="005F7D92">
        <w:rPr>
          <w:sz w:val="22"/>
        </w:rPr>
        <w:t xml:space="preserve">προηγούμενο </w:t>
      </w:r>
      <w:r>
        <w:rPr>
          <w:sz w:val="22"/>
        </w:rPr>
        <w:t xml:space="preserve">έτος, </w:t>
      </w:r>
      <w:r w:rsidR="005F7D92">
        <w:rPr>
          <w:sz w:val="22"/>
        </w:rPr>
        <w:t xml:space="preserve">καθώς </w:t>
      </w:r>
      <w:r>
        <w:rPr>
          <w:sz w:val="22"/>
        </w:rPr>
        <w:t xml:space="preserve">το ύψος </w:t>
      </w:r>
      <w:r w:rsidR="005F7D92">
        <w:rPr>
          <w:sz w:val="22"/>
        </w:rPr>
        <w:t xml:space="preserve">τους </w:t>
      </w:r>
      <w:r>
        <w:rPr>
          <w:sz w:val="22"/>
        </w:rPr>
        <w:t>ήταν 3.880 εκατ. ευρώ στις 31/10/2016.</w:t>
      </w:r>
    </w:p>
    <w:p w:rsidR="00BA1AB3" w:rsidRPr="00C61A97" w:rsidRDefault="00BA1AB3" w:rsidP="00BA1AB3">
      <w:pPr>
        <w:pStyle w:val="af"/>
        <w:spacing w:line="238" w:lineRule="auto"/>
        <w:ind w:left="284"/>
        <w:jc w:val="both"/>
        <w:rPr>
          <w:sz w:val="20"/>
        </w:rPr>
      </w:pPr>
    </w:p>
    <w:p w:rsidR="00BA1AB3" w:rsidRDefault="00BA1AB3" w:rsidP="00BA1AB3">
      <w:pPr>
        <w:pStyle w:val="af"/>
        <w:spacing w:line="238" w:lineRule="auto"/>
        <w:ind w:left="284"/>
        <w:jc w:val="both"/>
        <w:rPr>
          <w:sz w:val="22"/>
        </w:rPr>
      </w:pPr>
      <w:r w:rsidRPr="00EC659D">
        <w:rPr>
          <w:sz w:val="22"/>
        </w:rPr>
        <w:t>Η παραπάνω εγγύηση παρέχεται έναντι προμήθειας, η οποία αποτελεί έσοδο του Ελληνικού Δ</w:t>
      </w:r>
      <w:r w:rsidRPr="00EC659D">
        <w:rPr>
          <w:sz w:val="22"/>
        </w:rPr>
        <w:t>η</w:t>
      </w:r>
      <w:r w:rsidRPr="00EC659D">
        <w:rPr>
          <w:sz w:val="22"/>
        </w:rPr>
        <w:t>μοσίου</w:t>
      </w:r>
      <w:r>
        <w:rPr>
          <w:sz w:val="22"/>
        </w:rPr>
        <w:t>. Συγκεκριμένα, για το έτος 2017,</w:t>
      </w:r>
      <w:r w:rsidRPr="00EC659D">
        <w:rPr>
          <w:sz w:val="22"/>
        </w:rPr>
        <w:t xml:space="preserve"> έχει εισπραχθεί</w:t>
      </w:r>
      <w:r>
        <w:rPr>
          <w:sz w:val="22"/>
        </w:rPr>
        <w:t xml:space="preserve"> </w:t>
      </w:r>
      <w:r w:rsidRPr="00EC659D">
        <w:rPr>
          <w:sz w:val="22"/>
        </w:rPr>
        <w:t xml:space="preserve">το συνολικό ποσό των </w:t>
      </w:r>
      <w:r>
        <w:rPr>
          <w:sz w:val="22"/>
        </w:rPr>
        <w:t>13,8</w:t>
      </w:r>
      <w:r w:rsidRPr="007C652C">
        <w:rPr>
          <w:sz w:val="22"/>
        </w:rPr>
        <w:t xml:space="preserve"> </w:t>
      </w:r>
      <w:r>
        <w:rPr>
          <w:sz w:val="22"/>
        </w:rPr>
        <w:t xml:space="preserve">εκατ. ευρώ </w:t>
      </w:r>
      <w:r w:rsidR="00F207FA">
        <w:rPr>
          <w:sz w:val="22"/>
        </w:rPr>
        <w:t>κατά τους πρώτους δέκα μήνες του έτους</w:t>
      </w:r>
      <w:r w:rsidRPr="00EC659D">
        <w:rPr>
          <w:sz w:val="22"/>
        </w:rPr>
        <w:t>.</w:t>
      </w:r>
    </w:p>
    <w:p w:rsidR="00BA1AB3" w:rsidRPr="00BA1AB3" w:rsidRDefault="00BA1AB3" w:rsidP="00BA1AB3">
      <w:pPr>
        <w:pStyle w:val="af"/>
        <w:spacing w:line="238" w:lineRule="auto"/>
        <w:ind w:left="284"/>
        <w:jc w:val="both"/>
        <w:rPr>
          <w:sz w:val="18"/>
        </w:rPr>
      </w:pPr>
    </w:p>
    <w:p w:rsidR="00BA1AB3" w:rsidRPr="00EC659D" w:rsidRDefault="00BA1AB3" w:rsidP="00BA1AB3">
      <w:pPr>
        <w:pStyle w:val="af"/>
        <w:spacing w:line="238" w:lineRule="auto"/>
        <w:ind w:left="284"/>
        <w:jc w:val="both"/>
        <w:rPr>
          <w:sz w:val="22"/>
        </w:rPr>
      </w:pPr>
      <w:r w:rsidRPr="00EC659D">
        <w:rPr>
          <w:sz w:val="22"/>
        </w:rPr>
        <w:t>Κατόπιν αυτών, το πλαίσιο ενίσχυσης των τραπεζών συνέβαλε απο</w:t>
      </w:r>
      <w:r>
        <w:rPr>
          <w:sz w:val="22"/>
        </w:rPr>
        <w:t xml:space="preserve">φασιστικά </w:t>
      </w:r>
      <w:r w:rsidRPr="00EC659D">
        <w:rPr>
          <w:sz w:val="22"/>
        </w:rPr>
        <w:t>στη διατήρηση</w:t>
      </w:r>
      <w:r>
        <w:rPr>
          <w:sz w:val="22"/>
        </w:rPr>
        <w:t xml:space="preserve"> </w:t>
      </w:r>
      <w:r w:rsidRPr="00EC659D">
        <w:rPr>
          <w:sz w:val="22"/>
        </w:rPr>
        <w:t>της σταθερότητας και της ρευστότητάς τους.</w:t>
      </w:r>
    </w:p>
    <w:p w:rsidR="00BA1AB3" w:rsidRPr="00BA1AB3" w:rsidRDefault="00BA1AB3" w:rsidP="00BA1AB3">
      <w:pPr>
        <w:spacing w:line="238" w:lineRule="auto"/>
        <w:jc w:val="both"/>
        <w:rPr>
          <w:sz w:val="18"/>
        </w:rPr>
      </w:pPr>
    </w:p>
    <w:p w:rsidR="00BA1AB3" w:rsidRPr="00735AF7" w:rsidRDefault="00BA1AB3" w:rsidP="00BA1AB3">
      <w:pPr>
        <w:pStyle w:val="af"/>
        <w:numPr>
          <w:ilvl w:val="0"/>
          <w:numId w:val="49"/>
        </w:numPr>
        <w:spacing w:line="238" w:lineRule="auto"/>
        <w:ind w:left="284" w:hanging="284"/>
        <w:jc w:val="both"/>
        <w:rPr>
          <w:sz w:val="22"/>
        </w:rPr>
      </w:pPr>
      <w:r w:rsidRPr="00EC659D">
        <w:rPr>
          <w:sz w:val="22"/>
        </w:rPr>
        <w:t xml:space="preserve">Σύμφωνα με τον </w:t>
      </w:r>
      <w:r>
        <w:rPr>
          <w:sz w:val="22"/>
        </w:rPr>
        <w:t>ν</w:t>
      </w:r>
      <w:r w:rsidRPr="00EC659D">
        <w:rPr>
          <w:sz w:val="22"/>
        </w:rPr>
        <w:t xml:space="preserve">.3845/2010 </w:t>
      </w:r>
      <w:r>
        <w:rPr>
          <w:sz w:val="22"/>
        </w:rPr>
        <w:t xml:space="preserve">«Μέτρα για την εφαρμογή του μηχανισμού στήριξης της ελληνικής οικονομίας από τα κράτη-μέλη της Ζώνης του ευρώ και το Διεθνές Νομισματικό Ταμείο» </w:t>
      </w:r>
      <w:r w:rsidRPr="00EC659D">
        <w:rPr>
          <w:sz w:val="22"/>
        </w:rPr>
        <w:t xml:space="preserve">(ΦΕΚ 65/Α’/6-5-2010) </w:t>
      </w:r>
      <w:r>
        <w:rPr>
          <w:sz w:val="22"/>
        </w:rPr>
        <w:t>δόθηκε η δυνατότητα παροχής της</w:t>
      </w:r>
      <w:r w:rsidRPr="00EC659D">
        <w:rPr>
          <w:sz w:val="22"/>
        </w:rPr>
        <w:t xml:space="preserve"> εγγύηση</w:t>
      </w:r>
      <w:r>
        <w:rPr>
          <w:sz w:val="22"/>
        </w:rPr>
        <w:t>ς</w:t>
      </w:r>
      <w:r w:rsidRPr="00EC659D">
        <w:rPr>
          <w:sz w:val="22"/>
        </w:rPr>
        <w:t xml:space="preserve"> του Ελληνικού Δημοσίου στην Τρ</w:t>
      </w:r>
      <w:r w:rsidRPr="00EC659D">
        <w:rPr>
          <w:sz w:val="22"/>
        </w:rPr>
        <w:t>ά</w:t>
      </w:r>
      <w:r w:rsidRPr="00EC659D">
        <w:rPr>
          <w:sz w:val="22"/>
        </w:rPr>
        <w:t>πεζα της Ελλάδος για κάλυψη πιστώσεων σε τράπεζες που εδρεύουν στην Ελλάδα και παραμένουν φερέγγυες, με σκοπό την αντιμετώπιση προσωρινών βραχυπρόθεσμων προβλημάτων ρευστότητας</w:t>
      </w:r>
      <w:r>
        <w:rPr>
          <w:sz w:val="22"/>
        </w:rPr>
        <w:t xml:space="preserve"> (</w:t>
      </w:r>
      <w:r>
        <w:rPr>
          <w:sz w:val="22"/>
          <w:lang w:val="en-GB"/>
        </w:rPr>
        <w:t>Emergency</w:t>
      </w:r>
      <w:r w:rsidRPr="00735AF7">
        <w:rPr>
          <w:sz w:val="22"/>
        </w:rPr>
        <w:t xml:space="preserve"> </w:t>
      </w:r>
      <w:r>
        <w:rPr>
          <w:sz w:val="22"/>
          <w:lang w:val="en-GB"/>
        </w:rPr>
        <w:t>Liquidity</w:t>
      </w:r>
      <w:r w:rsidRPr="00735AF7">
        <w:rPr>
          <w:sz w:val="22"/>
        </w:rPr>
        <w:t xml:space="preserve"> </w:t>
      </w:r>
      <w:r>
        <w:rPr>
          <w:sz w:val="22"/>
          <w:lang w:val="en-GB"/>
        </w:rPr>
        <w:t>Assistance</w:t>
      </w:r>
      <w:r w:rsidRPr="00735AF7">
        <w:rPr>
          <w:sz w:val="22"/>
        </w:rPr>
        <w:t xml:space="preserve"> </w:t>
      </w:r>
      <w:r>
        <w:rPr>
          <w:sz w:val="22"/>
        </w:rPr>
        <w:t>-</w:t>
      </w:r>
      <w:r w:rsidRPr="00735AF7">
        <w:rPr>
          <w:sz w:val="22"/>
        </w:rPr>
        <w:t xml:space="preserve"> </w:t>
      </w:r>
      <w:r>
        <w:rPr>
          <w:sz w:val="22"/>
          <w:lang w:val="en-GB"/>
        </w:rPr>
        <w:t>ELA</w:t>
      </w:r>
      <w:r w:rsidRPr="00735AF7">
        <w:rPr>
          <w:sz w:val="22"/>
        </w:rPr>
        <w:t>)</w:t>
      </w:r>
      <w:r w:rsidRPr="00EC659D">
        <w:rPr>
          <w:sz w:val="22"/>
        </w:rPr>
        <w:t>.</w:t>
      </w:r>
      <w:r>
        <w:rPr>
          <w:sz w:val="22"/>
        </w:rPr>
        <w:t xml:space="preserve"> </w:t>
      </w:r>
    </w:p>
    <w:p w:rsidR="00BA1AB3" w:rsidRPr="00BA1AB3" w:rsidRDefault="00BA1AB3" w:rsidP="00BA1AB3">
      <w:pPr>
        <w:spacing w:line="238" w:lineRule="auto"/>
        <w:jc w:val="both"/>
        <w:rPr>
          <w:sz w:val="16"/>
        </w:rPr>
      </w:pPr>
    </w:p>
    <w:p w:rsidR="00BA1AB3" w:rsidRDefault="00BA1AB3" w:rsidP="00BA1AB3">
      <w:pPr>
        <w:pStyle w:val="af"/>
        <w:spacing w:line="238" w:lineRule="auto"/>
        <w:ind w:left="284"/>
        <w:jc w:val="both"/>
        <w:rPr>
          <w:sz w:val="22"/>
        </w:rPr>
      </w:pPr>
      <w:r>
        <w:rPr>
          <w:sz w:val="22"/>
        </w:rPr>
        <w:t xml:space="preserve">Στο πλαίσιο του παραπάνω νόμου, το ανώτατο ποσό εγγυήσεων </w:t>
      </w:r>
      <w:r w:rsidR="005F7D92">
        <w:rPr>
          <w:sz w:val="22"/>
        </w:rPr>
        <w:t xml:space="preserve">ορίζεται σε </w:t>
      </w:r>
      <w:r>
        <w:rPr>
          <w:sz w:val="22"/>
        </w:rPr>
        <w:t>60 δισ. ευρώ. Οι ε</w:t>
      </w:r>
      <w:r>
        <w:rPr>
          <w:sz w:val="22"/>
        </w:rPr>
        <w:t>γ</w:t>
      </w:r>
      <w:r>
        <w:rPr>
          <w:sz w:val="22"/>
        </w:rPr>
        <w:t>γυήσεις που είναι σε ισχύ ανέρχονται στο ποσό των 26 δισ. ευρώ.</w:t>
      </w:r>
    </w:p>
    <w:p w:rsidR="00BA1AB3" w:rsidRPr="00BA1AB3" w:rsidRDefault="00BA1AB3" w:rsidP="00BA1AB3">
      <w:pPr>
        <w:spacing w:line="238" w:lineRule="auto"/>
        <w:jc w:val="both"/>
        <w:rPr>
          <w:sz w:val="18"/>
        </w:rPr>
      </w:pPr>
    </w:p>
    <w:p w:rsidR="00BA1AB3" w:rsidRPr="00EC659D" w:rsidRDefault="00BA1AB3" w:rsidP="00BA1AB3">
      <w:pPr>
        <w:pStyle w:val="af"/>
        <w:spacing w:line="238" w:lineRule="auto"/>
        <w:ind w:left="284"/>
        <w:jc w:val="both"/>
        <w:rPr>
          <w:sz w:val="22"/>
        </w:rPr>
      </w:pPr>
      <w:r w:rsidRPr="00EC659D">
        <w:rPr>
          <w:sz w:val="22"/>
        </w:rPr>
        <w:t>Η</w:t>
      </w:r>
      <w:r>
        <w:rPr>
          <w:sz w:val="22"/>
        </w:rPr>
        <w:t xml:space="preserve"> </w:t>
      </w:r>
      <w:r w:rsidRPr="00EC659D">
        <w:rPr>
          <w:sz w:val="22"/>
        </w:rPr>
        <w:t>Τράπεζα της Ελλάδος καθορίζει και εισπράττει από τις τράπεζες με τις οποίες καταρτίζει τις συμβάσεις παροχής πίστωσης προμήθεια</w:t>
      </w:r>
      <w:r w:rsidR="005F7D92">
        <w:rPr>
          <w:sz w:val="22"/>
        </w:rPr>
        <w:t>,</w:t>
      </w:r>
      <w:bookmarkStart w:id="4" w:name="_GoBack"/>
      <w:bookmarkEnd w:id="4"/>
      <w:r w:rsidRPr="00EC659D">
        <w:rPr>
          <w:sz w:val="22"/>
        </w:rPr>
        <w:t xml:space="preserve"> την οποία πιστώνει σε λογαριασμό του Ελληνικού Δ</w:t>
      </w:r>
      <w:r w:rsidRPr="00EC659D">
        <w:rPr>
          <w:sz w:val="22"/>
        </w:rPr>
        <w:t>η</w:t>
      </w:r>
      <w:r w:rsidRPr="00EC659D">
        <w:rPr>
          <w:sz w:val="22"/>
        </w:rPr>
        <w:t xml:space="preserve">μοσίου. </w:t>
      </w:r>
      <w:r>
        <w:rPr>
          <w:sz w:val="22"/>
        </w:rPr>
        <w:t>Μέχρι σήμερα, για το έτος 2017</w:t>
      </w:r>
      <w:r w:rsidRPr="00EC659D">
        <w:rPr>
          <w:sz w:val="22"/>
        </w:rPr>
        <w:t xml:space="preserve"> έχει εισπραχθεί</w:t>
      </w:r>
      <w:r>
        <w:rPr>
          <w:sz w:val="22"/>
        </w:rPr>
        <w:t xml:space="preserve"> </w:t>
      </w:r>
      <w:r w:rsidRPr="00EC659D">
        <w:rPr>
          <w:sz w:val="22"/>
        </w:rPr>
        <w:t>το</w:t>
      </w:r>
      <w:r>
        <w:rPr>
          <w:sz w:val="22"/>
        </w:rPr>
        <w:t xml:space="preserve"> συνολικό ποσό</w:t>
      </w:r>
      <w:r w:rsidRPr="00EC659D">
        <w:rPr>
          <w:sz w:val="22"/>
        </w:rPr>
        <w:t xml:space="preserve"> των </w:t>
      </w:r>
      <w:r>
        <w:rPr>
          <w:sz w:val="22"/>
        </w:rPr>
        <w:t>79 εκατ. ευρώ π</w:t>
      </w:r>
      <w:r>
        <w:rPr>
          <w:sz w:val="22"/>
        </w:rPr>
        <w:t>ε</w:t>
      </w:r>
      <w:r>
        <w:rPr>
          <w:sz w:val="22"/>
        </w:rPr>
        <w:t>ρίπου</w:t>
      </w:r>
      <w:r w:rsidRPr="00EC659D">
        <w:rPr>
          <w:sz w:val="22"/>
        </w:rPr>
        <w:t>.</w:t>
      </w:r>
    </w:p>
    <w:p w:rsidR="00BA1AB3" w:rsidRPr="00BA1AB3" w:rsidRDefault="00BA1AB3" w:rsidP="00BA1AB3">
      <w:pPr>
        <w:spacing w:line="238" w:lineRule="auto"/>
        <w:jc w:val="both"/>
        <w:rPr>
          <w:sz w:val="18"/>
        </w:rPr>
      </w:pPr>
    </w:p>
    <w:p w:rsidR="00BA1AB3" w:rsidRDefault="00BA1AB3" w:rsidP="00BA1AB3">
      <w:pPr>
        <w:pStyle w:val="af"/>
        <w:numPr>
          <w:ilvl w:val="0"/>
          <w:numId w:val="49"/>
        </w:numPr>
        <w:spacing w:line="238" w:lineRule="auto"/>
        <w:ind w:left="284" w:hanging="284"/>
        <w:jc w:val="both"/>
        <w:rPr>
          <w:sz w:val="22"/>
        </w:rPr>
      </w:pPr>
      <w:r w:rsidRPr="0033073A">
        <w:rPr>
          <w:sz w:val="22"/>
        </w:rPr>
        <w:t>Η Ευρωπαϊκή Τράπεζα Επενδύσεων στο πλαίσιο του προγράμματος ενίσχυσης της επιχειρηματ</w:t>
      </w:r>
      <w:r w:rsidRPr="0033073A">
        <w:rPr>
          <w:sz w:val="22"/>
        </w:rPr>
        <w:t>ι</w:t>
      </w:r>
      <w:r w:rsidRPr="0033073A">
        <w:rPr>
          <w:sz w:val="22"/>
        </w:rPr>
        <w:t xml:space="preserve">κότητας χορηγεί δάνεια στα τραπεζικά ιδρύματα με αποκλειστικό σκοπό τη χρηματοδότηση των μικρών και μεσαίων επιχειρήσεων. </w:t>
      </w:r>
    </w:p>
    <w:p w:rsidR="00BA1AB3" w:rsidRPr="00BA1AB3" w:rsidRDefault="00BA1AB3" w:rsidP="00BA1AB3">
      <w:pPr>
        <w:spacing w:line="238" w:lineRule="auto"/>
        <w:jc w:val="both"/>
        <w:rPr>
          <w:sz w:val="18"/>
        </w:rPr>
      </w:pPr>
    </w:p>
    <w:p w:rsidR="00BA1AB3" w:rsidRPr="0033073A" w:rsidRDefault="00BA1AB3" w:rsidP="00BA1AB3">
      <w:pPr>
        <w:pStyle w:val="af"/>
        <w:spacing w:line="238" w:lineRule="auto"/>
        <w:ind w:left="284"/>
        <w:jc w:val="both"/>
        <w:rPr>
          <w:sz w:val="22"/>
        </w:rPr>
      </w:pPr>
      <w:r w:rsidRPr="0033073A">
        <w:rPr>
          <w:sz w:val="22"/>
        </w:rPr>
        <w:t xml:space="preserve">Με βάση το πρόγραμμα αυτό, έχουν μέχρι σήμερα παρασχεθεί εγγυήσεις </w:t>
      </w:r>
      <w:r>
        <w:rPr>
          <w:sz w:val="22"/>
        </w:rPr>
        <w:t xml:space="preserve">προς </w:t>
      </w:r>
      <w:r w:rsidRPr="0033073A">
        <w:rPr>
          <w:sz w:val="22"/>
        </w:rPr>
        <w:t xml:space="preserve">την Ευρωπαϊκή Τράπεζα Επενδύσεων για την κάλυψη δανείων συνολικού ποσού </w:t>
      </w:r>
      <w:r>
        <w:rPr>
          <w:sz w:val="22"/>
        </w:rPr>
        <w:t>1.010 εκατ.</w:t>
      </w:r>
      <w:r w:rsidRPr="0033073A">
        <w:rPr>
          <w:sz w:val="22"/>
        </w:rPr>
        <w:t xml:space="preserve"> ευρώ.</w:t>
      </w:r>
      <w:r>
        <w:rPr>
          <w:sz w:val="22"/>
        </w:rPr>
        <w:t xml:space="preserve"> Το ανεξόφλητο υπόλοιπο αυτών των δανείων είναι 911,3 εκατ. ευρώ και έχει εισπραχθεί προμήθεια 4,6 εκατ. ευρώ μέχρι τις 30/9/2017.</w:t>
      </w:r>
    </w:p>
    <w:p w:rsidR="00BA1AB3" w:rsidRPr="00BA1AB3" w:rsidRDefault="00BA1AB3" w:rsidP="00BA1AB3">
      <w:pPr>
        <w:spacing w:line="238" w:lineRule="auto"/>
        <w:jc w:val="both"/>
        <w:rPr>
          <w:sz w:val="18"/>
        </w:rPr>
      </w:pPr>
    </w:p>
    <w:p w:rsidR="00BA1AB3" w:rsidRDefault="00BA1AB3" w:rsidP="00BA1AB3">
      <w:pPr>
        <w:pStyle w:val="af"/>
        <w:numPr>
          <w:ilvl w:val="0"/>
          <w:numId w:val="49"/>
        </w:numPr>
        <w:spacing w:line="238" w:lineRule="auto"/>
        <w:ind w:left="284" w:hanging="284"/>
        <w:jc w:val="both"/>
        <w:rPr>
          <w:sz w:val="22"/>
        </w:rPr>
      </w:pPr>
      <w:r w:rsidRPr="0033073A">
        <w:rPr>
          <w:sz w:val="22"/>
        </w:rPr>
        <w:t>H  Ευρωπαϊκή Τράπεζα Επενδύσεων έχει θέσει σε εφαρμογή το πρόγραμμα Ενίσχυσης της Χρ</w:t>
      </w:r>
      <w:r w:rsidRPr="0033073A">
        <w:rPr>
          <w:sz w:val="22"/>
        </w:rPr>
        <w:t>η</w:t>
      </w:r>
      <w:r w:rsidRPr="0033073A">
        <w:rPr>
          <w:sz w:val="22"/>
        </w:rPr>
        <w:t>ματοδότησης του Εμπορίου (</w:t>
      </w:r>
      <w:proofErr w:type="spellStart"/>
      <w:r w:rsidRPr="0033073A">
        <w:rPr>
          <w:sz w:val="22"/>
        </w:rPr>
        <w:t>Trade</w:t>
      </w:r>
      <w:proofErr w:type="spellEnd"/>
      <w:r w:rsidRPr="0033073A">
        <w:rPr>
          <w:sz w:val="22"/>
        </w:rPr>
        <w:t xml:space="preserve"> </w:t>
      </w:r>
      <w:proofErr w:type="spellStart"/>
      <w:r w:rsidRPr="0033073A">
        <w:rPr>
          <w:sz w:val="22"/>
        </w:rPr>
        <w:t>Finance</w:t>
      </w:r>
      <w:proofErr w:type="spellEnd"/>
      <w:r w:rsidRPr="0033073A">
        <w:rPr>
          <w:sz w:val="22"/>
        </w:rPr>
        <w:t xml:space="preserve"> </w:t>
      </w:r>
      <w:proofErr w:type="spellStart"/>
      <w:r w:rsidRPr="0033073A">
        <w:rPr>
          <w:sz w:val="22"/>
        </w:rPr>
        <w:t>Facility</w:t>
      </w:r>
      <w:proofErr w:type="spellEnd"/>
      <w:r w:rsidRPr="0033073A">
        <w:rPr>
          <w:sz w:val="22"/>
        </w:rPr>
        <w:t>), ένα νέο εργαλείο βραχυπρόθεσμης εγγύησης, προσφέροντας έως και 500</w:t>
      </w:r>
      <w:r>
        <w:rPr>
          <w:sz w:val="22"/>
        </w:rPr>
        <w:t xml:space="preserve"> εκατ. </w:t>
      </w:r>
      <w:r w:rsidRPr="0033073A">
        <w:rPr>
          <w:sz w:val="22"/>
        </w:rPr>
        <w:t>ευρώ για τη στήριξη του διεθνούς εμπορίου των ελληνικών μ</w:t>
      </w:r>
      <w:r w:rsidRPr="0033073A">
        <w:rPr>
          <w:sz w:val="22"/>
        </w:rPr>
        <w:t>ι</w:t>
      </w:r>
      <w:r w:rsidRPr="0033073A">
        <w:rPr>
          <w:sz w:val="22"/>
        </w:rPr>
        <w:t xml:space="preserve">κρών και μεσαίων επιχειρήσεων. </w:t>
      </w:r>
    </w:p>
    <w:p w:rsidR="0020579F" w:rsidRDefault="00BA1AB3" w:rsidP="00BA1AB3">
      <w:pPr>
        <w:pStyle w:val="af"/>
        <w:spacing w:line="238" w:lineRule="auto"/>
        <w:ind w:left="284"/>
        <w:jc w:val="both"/>
        <w:rPr>
          <w:sz w:val="22"/>
          <w:szCs w:val="22"/>
        </w:rPr>
      </w:pPr>
      <w:r w:rsidRPr="0033073A">
        <w:rPr>
          <w:sz w:val="22"/>
        </w:rPr>
        <w:t xml:space="preserve">Με βάση το πρόγραμμα αυτό </w:t>
      </w:r>
      <w:r>
        <w:rPr>
          <w:sz w:val="22"/>
        </w:rPr>
        <w:t xml:space="preserve">έχει μέχρι σήμερα παρασχεθεί </w:t>
      </w:r>
      <w:r w:rsidRPr="0033073A">
        <w:rPr>
          <w:sz w:val="22"/>
        </w:rPr>
        <w:t>εγγύηση του Ελληνικού Δημοσίου προς την Ευρωπαϊκή Τράπεζα Επενδύσεων συνολικού ποσού 10</w:t>
      </w:r>
      <w:r>
        <w:rPr>
          <w:sz w:val="22"/>
        </w:rPr>
        <w:t xml:space="preserve"> εκατ.</w:t>
      </w:r>
      <w:r w:rsidRPr="0033073A">
        <w:rPr>
          <w:sz w:val="22"/>
        </w:rPr>
        <w:t xml:space="preserve"> ευρώ.</w:t>
      </w:r>
    </w:p>
    <w:sectPr w:rsidR="0020579F" w:rsidSect="00787B20">
      <w:headerReference w:type="even" r:id="rId16"/>
      <w:headerReference w:type="default" r:id="rId17"/>
      <w:footerReference w:type="even" r:id="rId18"/>
      <w:footerReference w:type="default" r:id="rId19"/>
      <w:pgSz w:w="11906" w:h="16838" w:code="9"/>
      <w:pgMar w:top="1418" w:right="1247" w:bottom="1418" w:left="1588" w:header="709" w:footer="709" w:gutter="0"/>
      <w:pgNumType w:start="11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0B0" w:rsidRDefault="005F10B0">
      <w:r>
        <w:separator/>
      </w:r>
    </w:p>
  </w:endnote>
  <w:endnote w:type="continuationSeparator" w:id="0">
    <w:p w:rsidR="005F10B0" w:rsidRDefault="005F10B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imesNewRoman,Bold">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TimesNewRoman,Bold+1">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C9" w:rsidRPr="009A2CF7" w:rsidRDefault="00F74901" w:rsidP="00F85CFF">
    <w:pPr>
      <w:pStyle w:val="a4"/>
      <w:jc w:val="both"/>
      <w:rPr>
        <w:color w:val="333333"/>
      </w:rPr>
    </w:pPr>
    <w:r w:rsidRPr="00715F2C">
      <w:rPr>
        <w:rStyle w:val="a5"/>
        <w:b/>
        <w:sz w:val="28"/>
      </w:rPr>
      <w:fldChar w:fldCharType="begin"/>
    </w:r>
    <w:r w:rsidR="00E203C9" w:rsidRPr="00715F2C">
      <w:rPr>
        <w:rStyle w:val="a5"/>
        <w:b/>
        <w:sz w:val="28"/>
      </w:rPr>
      <w:instrText xml:space="preserve"> PAGE </w:instrText>
    </w:r>
    <w:r w:rsidRPr="00715F2C">
      <w:rPr>
        <w:rStyle w:val="a5"/>
        <w:b/>
        <w:sz w:val="28"/>
      </w:rPr>
      <w:fldChar w:fldCharType="separate"/>
    </w:r>
    <w:r w:rsidR="00787B20">
      <w:rPr>
        <w:rStyle w:val="a5"/>
        <w:b/>
        <w:noProof/>
        <w:sz w:val="28"/>
      </w:rPr>
      <w:t>120</w:t>
    </w:r>
    <w:r w:rsidRPr="00715F2C">
      <w:rPr>
        <w:rStyle w:val="a5"/>
        <w:b/>
        <w:sz w:val="28"/>
      </w:rPr>
      <w:fldChar w:fldCharType="end"/>
    </w:r>
    <w:r w:rsidR="00E203C9">
      <w:rPr>
        <w:rStyle w:val="a5"/>
        <w:b/>
        <w:color w:val="000080"/>
        <w:sz w:val="28"/>
      </w:rPr>
      <w:t xml:space="preserve">  </w:t>
    </w:r>
    <w:r w:rsidR="00E203C9">
      <w:rPr>
        <w:rFonts w:ascii="Arial Narrow" w:hAnsi="Arial Narrow"/>
        <w:color w:val="333333"/>
        <w:sz w:val="22"/>
      </w:rPr>
      <w:t>ΚΡΑΤΙΚΟΣ ΠΡΟΫΠΟΛΟΓΙΣΜΟΣ 2018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C9" w:rsidRPr="00D40E4A" w:rsidRDefault="00E203C9" w:rsidP="00D40E4A">
    <w:pPr>
      <w:pStyle w:val="a4"/>
      <w:jc w:val="right"/>
      <w:rPr>
        <w:rFonts w:ascii="Arial Narrow" w:hAnsi="Arial Narrow"/>
        <w:sz w:val="22"/>
      </w:rPr>
    </w:pPr>
    <w:r>
      <w:rPr>
        <w:rFonts w:ascii="Arial Narrow" w:hAnsi="Arial Narrow"/>
        <w:color w:val="333333"/>
        <w:sz w:val="22"/>
      </w:rPr>
      <w:t>ΚΡΑΤΙΚΟΣ ΠΡΟΫΠΟΛΟΓΙΣΜΟΣ 2018</w:t>
    </w:r>
    <w:r w:rsidRPr="008857CA">
      <w:rPr>
        <w:rFonts w:ascii="Arial Narrow" w:hAnsi="Arial Narrow"/>
        <w:color w:val="333333"/>
        <w:sz w:val="22"/>
      </w:rPr>
      <w:t xml:space="preserve">  </w:t>
    </w:r>
    <w:r w:rsidR="00F74901" w:rsidRPr="00715F2C">
      <w:rPr>
        <w:rStyle w:val="a5"/>
        <w:b/>
        <w:sz w:val="28"/>
      </w:rPr>
      <w:fldChar w:fldCharType="begin"/>
    </w:r>
    <w:r w:rsidRPr="00715F2C">
      <w:rPr>
        <w:rStyle w:val="a5"/>
        <w:b/>
        <w:sz w:val="28"/>
      </w:rPr>
      <w:instrText xml:space="preserve"> PAGE </w:instrText>
    </w:r>
    <w:r w:rsidR="00F74901" w:rsidRPr="00715F2C">
      <w:rPr>
        <w:rStyle w:val="a5"/>
        <w:b/>
        <w:sz w:val="28"/>
      </w:rPr>
      <w:fldChar w:fldCharType="separate"/>
    </w:r>
    <w:r w:rsidR="00787B20">
      <w:rPr>
        <w:rStyle w:val="a5"/>
        <w:b/>
        <w:noProof/>
        <w:sz w:val="28"/>
      </w:rPr>
      <w:t>119</w:t>
    </w:r>
    <w:r w:rsidR="00F74901" w:rsidRPr="00715F2C">
      <w:rPr>
        <w:rStyle w:val="a5"/>
        <w:b/>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0B0" w:rsidRDefault="005F10B0">
      <w:r>
        <w:separator/>
      </w:r>
    </w:p>
  </w:footnote>
  <w:footnote w:type="continuationSeparator" w:id="0">
    <w:p w:rsidR="005F10B0" w:rsidRDefault="005F10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C9" w:rsidRPr="00D40E4A" w:rsidRDefault="00E203C9" w:rsidP="00D40E4A">
    <w:pPr>
      <w:pStyle w:val="a3"/>
      <w:jc w:val="both"/>
      <w:rPr>
        <w:rFonts w:ascii="Arial Narrow" w:hAnsi="Arial Narrow"/>
        <w:b/>
        <w:color w:val="808080"/>
        <w:sz w:val="22"/>
      </w:rPr>
    </w:pPr>
    <w:r w:rsidRPr="008857CA">
      <w:rPr>
        <w:rFonts w:ascii="Arial Narrow" w:hAnsi="Arial Narrow"/>
        <w:color w:val="333333"/>
        <w:sz w:val="22"/>
      </w:rPr>
      <w:t>ΕΙΣΗΓΗΤΙΚΗ ΕΚΘΕΣΗ</w:t>
    </w:r>
    <w:r w:rsidRPr="00D40E4A">
      <w:rPr>
        <w:rFonts w:ascii="Arial Narrow" w:hAnsi="Arial Narrow"/>
        <w:b/>
        <w:color w:val="808080"/>
        <w:sz w:val="22"/>
      </w:rPr>
      <w:t xml:space="preserve"> </w:t>
    </w:r>
    <w:r>
      <w:rPr>
        <w:rFonts w:ascii="Arial Narrow" w:hAnsi="Arial Narrow"/>
        <w:b/>
        <w:color w:val="808080"/>
        <w:sz w:val="22"/>
        <w:lang w:val="en-US"/>
      </w:rPr>
      <w:t xml:space="preserve"> </w:t>
    </w:r>
    <w:r>
      <w:rPr>
        <w:rFonts w:ascii="Arial Narrow" w:hAnsi="Arial Narrow"/>
        <w:b/>
        <w:color w:val="808080"/>
        <w:sz w:val="22"/>
      </w:rPr>
      <w:t>ΚΕΦΑΛΑΙΟ 4</w:t>
    </w:r>
    <w:r w:rsidRPr="00D40E4A">
      <w:rPr>
        <w:rFonts w:ascii="Arial Narrow" w:hAnsi="Arial Narrow"/>
        <w:b/>
        <w:color w:val="808080"/>
        <w:sz w:val="22"/>
      </w:rPr>
      <w:t xml:space="preserve">  </w:t>
    </w:r>
  </w:p>
  <w:p w:rsidR="00E203C9" w:rsidRDefault="00E203C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C9" w:rsidRPr="00D40E4A" w:rsidRDefault="00E203C9" w:rsidP="00D40E4A">
    <w:pPr>
      <w:pStyle w:val="a3"/>
      <w:jc w:val="right"/>
      <w:rPr>
        <w:rFonts w:ascii="Arial Narrow" w:hAnsi="Arial Narrow"/>
        <w:b/>
        <w:color w:val="808080"/>
        <w:sz w:val="22"/>
      </w:rPr>
    </w:pPr>
    <w:r w:rsidRPr="008857CA">
      <w:rPr>
        <w:rFonts w:ascii="Arial Narrow" w:hAnsi="Arial Narrow"/>
        <w:color w:val="333333"/>
        <w:sz w:val="22"/>
      </w:rPr>
      <w:t>ΕΙΣΗΓΗΤΙΚΗ ΕΚΘΕΣΗ</w:t>
    </w:r>
    <w:r w:rsidRPr="00D40E4A">
      <w:rPr>
        <w:rFonts w:ascii="Arial Narrow" w:hAnsi="Arial Narrow"/>
        <w:b/>
        <w:color w:val="808080"/>
        <w:sz w:val="22"/>
      </w:rPr>
      <w:t xml:space="preserve"> </w:t>
    </w:r>
    <w:r>
      <w:rPr>
        <w:rFonts w:ascii="Arial Narrow" w:hAnsi="Arial Narrow"/>
        <w:b/>
        <w:color w:val="808080"/>
        <w:sz w:val="22"/>
        <w:lang w:val="en-US"/>
      </w:rPr>
      <w:t xml:space="preserve"> </w:t>
    </w:r>
    <w:r w:rsidRPr="00D40E4A">
      <w:rPr>
        <w:rFonts w:ascii="Arial Narrow" w:hAnsi="Arial Narrow"/>
        <w:b/>
        <w:color w:val="808080"/>
        <w:sz w:val="22"/>
      </w:rPr>
      <w:t xml:space="preserve">ΚΕΦΑΛΑΙΟ </w:t>
    </w:r>
    <w:r>
      <w:rPr>
        <w:rFonts w:ascii="Arial Narrow" w:hAnsi="Arial Narrow"/>
        <w:b/>
        <w:color w:val="808080"/>
        <w:sz w:val="22"/>
      </w:rPr>
      <w:t>4</w:t>
    </w:r>
    <w:r w:rsidRPr="00D40E4A">
      <w:rPr>
        <w:rFonts w:ascii="Arial Narrow" w:hAnsi="Arial Narrow"/>
        <w:b/>
        <w:color w:val="808080"/>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188C"/>
    <w:multiLevelType w:val="hybridMultilevel"/>
    <w:tmpl w:val="D04ED81A"/>
    <w:lvl w:ilvl="0" w:tplc="14A08F94">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960"/>
        </w:tabs>
        <w:ind w:left="960" w:hanging="360"/>
      </w:pPr>
      <w:rPr>
        <w:rFonts w:ascii="Courier New" w:hAnsi="Courier New" w:cs="Courier New" w:hint="default"/>
      </w:rPr>
    </w:lvl>
    <w:lvl w:ilvl="2" w:tplc="04080005" w:tentative="1">
      <w:start w:val="1"/>
      <w:numFmt w:val="bullet"/>
      <w:lvlText w:val=""/>
      <w:lvlJc w:val="left"/>
      <w:pPr>
        <w:tabs>
          <w:tab w:val="num" w:pos="1680"/>
        </w:tabs>
        <w:ind w:left="1680" w:hanging="360"/>
      </w:pPr>
      <w:rPr>
        <w:rFonts w:ascii="Wingdings" w:hAnsi="Wingdings" w:hint="default"/>
      </w:rPr>
    </w:lvl>
    <w:lvl w:ilvl="3" w:tplc="04080001" w:tentative="1">
      <w:start w:val="1"/>
      <w:numFmt w:val="bullet"/>
      <w:lvlText w:val=""/>
      <w:lvlJc w:val="left"/>
      <w:pPr>
        <w:tabs>
          <w:tab w:val="num" w:pos="2400"/>
        </w:tabs>
        <w:ind w:left="2400" w:hanging="360"/>
      </w:pPr>
      <w:rPr>
        <w:rFonts w:ascii="Symbol" w:hAnsi="Symbol" w:hint="default"/>
      </w:rPr>
    </w:lvl>
    <w:lvl w:ilvl="4" w:tplc="04080003" w:tentative="1">
      <w:start w:val="1"/>
      <w:numFmt w:val="bullet"/>
      <w:lvlText w:val="o"/>
      <w:lvlJc w:val="left"/>
      <w:pPr>
        <w:tabs>
          <w:tab w:val="num" w:pos="3120"/>
        </w:tabs>
        <w:ind w:left="3120" w:hanging="360"/>
      </w:pPr>
      <w:rPr>
        <w:rFonts w:ascii="Courier New" w:hAnsi="Courier New" w:cs="Courier New" w:hint="default"/>
      </w:rPr>
    </w:lvl>
    <w:lvl w:ilvl="5" w:tplc="04080005" w:tentative="1">
      <w:start w:val="1"/>
      <w:numFmt w:val="bullet"/>
      <w:lvlText w:val=""/>
      <w:lvlJc w:val="left"/>
      <w:pPr>
        <w:tabs>
          <w:tab w:val="num" w:pos="3840"/>
        </w:tabs>
        <w:ind w:left="3840" w:hanging="360"/>
      </w:pPr>
      <w:rPr>
        <w:rFonts w:ascii="Wingdings" w:hAnsi="Wingdings" w:hint="default"/>
      </w:rPr>
    </w:lvl>
    <w:lvl w:ilvl="6" w:tplc="04080001" w:tentative="1">
      <w:start w:val="1"/>
      <w:numFmt w:val="bullet"/>
      <w:lvlText w:val=""/>
      <w:lvlJc w:val="left"/>
      <w:pPr>
        <w:tabs>
          <w:tab w:val="num" w:pos="4560"/>
        </w:tabs>
        <w:ind w:left="4560" w:hanging="360"/>
      </w:pPr>
      <w:rPr>
        <w:rFonts w:ascii="Symbol" w:hAnsi="Symbol" w:hint="default"/>
      </w:rPr>
    </w:lvl>
    <w:lvl w:ilvl="7" w:tplc="04080003" w:tentative="1">
      <w:start w:val="1"/>
      <w:numFmt w:val="bullet"/>
      <w:lvlText w:val="o"/>
      <w:lvlJc w:val="left"/>
      <w:pPr>
        <w:tabs>
          <w:tab w:val="num" w:pos="5280"/>
        </w:tabs>
        <w:ind w:left="5280" w:hanging="360"/>
      </w:pPr>
      <w:rPr>
        <w:rFonts w:ascii="Courier New" w:hAnsi="Courier New" w:cs="Courier New" w:hint="default"/>
      </w:rPr>
    </w:lvl>
    <w:lvl w:ilvl="8" w:tplc="04080005" w:tentative="1">
      <w:start w:val="1"/>
      <w:numFmt w:val="bullet"/>
      <w:lvlText w:val=""/>
      <w:lvlJc w:val="left"/>
      <w:pPr>
        <w:tabs>
          <w:tab w:val="num" w:pos="6000"/>
        </w:tabs>
        <w:ind w:left="6000" w:hanging="360"/>
      </w:pPr>
      <w:rPr>
        <w:rFonts w:ascii="Wingdings" w:hAnsi="Wingdings" w:hint="default"/>
      </w:rPr>
    </w:lvl>
  </w:abstractNum>
  <w:abstractNum w:abstractNumId="1">
    <w:nsid w:val="00E16342"/>
    <w:multiLevelType w:val="hybridMultilevel"/>
    <w:tmpl w:val="59AC7B44"/>
    <w:lvl w:ilvl="0" w:tplc="14A08F94">
      <w:start w:val="1"/>
      <w:numFmt w:val="bullet"/>
      <w:lvlText w:val=""/>
      <w:lvlJc w:val="left"/>
      <w:pPr>
        <w:tabs>
          <w:tab w:val="num" w:pos="360"/>
        </w:tabs>
        <w:ind w:left="360" w:hanging="360"/>
      </w:pPr>
      <w:rPr>
        <w:rFonts w:ascii="Wingdings" w:hAnsi="Wingdings" w:hint="default"/>
      </w:rPr>
    </w:lvl>
    <w:lvl w:ilvl="1" w:tplc="0408000F">
      <w:start w:val="1"/>
      <w:numFmt w:val="decimal"/>
      <w:lvlText w:val="%2."/>
      <w:lvlJc w:val="left"/>
      <w:pPr>
        <w:tabs>
          <w:tab w:val="num" w:pos="960"/>
        </w:tabs>
        <w:ind w:left="960" w:hanging="360"/>
      </w:pPr>
      <w:rPr>
        <w:rFonts w:hint="default"/>
      </w:rPr>
    </w:lvl>
    <w:lvl w:ilvl="2" w:tplc="04080005" w:tentative="1">
      <w:start w:val="1"/>
      <w:numFmt w:val="bullet"/>
      <w:lvlText w:val=""/>
      <w:lvlJc w:val="left"/>
      <w:pPr>
        <w:tabs>
          <w:tab w:val="num" w:pos="1680"/>
        </w:tabs>
        <w:ind w:left="1680" w:hanging="360"/>
      </w:pPr>
      <w:rPr>
        <w:rFonts w:ascii="Wingdings" w:hAnsi="Wingdings" w:hint="default"/>
      </w:rPr>
    </w:lvl>
    <w:lvl w:ilvl="3" w:tplc="04080001" w:tentative="1">
      <w:start w:val="1"/>
      <w:numFmt w:val="bullet"/>
      <w:lvlText w:val=""/>
      <w:lvlJc w:val="left"/>
      <w:pPr>
        <w:tabs>
          <w:tab w:val="num" w:pos="2400"/>
        </w:tabs>
        <w:ind w:left="2400" w:hanging="360"/>
      </w:pPr>
      <w:rPr>
        <w:rFonts w:ascii="Symbol" w:hAnsi="Symbol" w:hint="default"/>
      </w:rPr>
    </w:lvl>
    <w:lvl w:ilvl="4" w:tplc="04080003" w:tentative="1">
      <w:start w:val="1"/>
      <w:numFmt w:val="bullet"/>
      <w:lvlText w:val="o"/>
      <w:lvlJc w:val="left"/>
      <w:pPr>
        <w:tabs>
          <w:tab w:val="num" w:pos="3120"/>
        </w:tabs>
        <w:ind w:left="3120" w:hanging="360"/>
      </w:pPr>
      <w:rPr>
        <w:rFonts w:ascii="Courier New" w:hAnsi="Courier New" w:cs="Courier New" w:hint="default"/>
      </w:rPr>
    </w:lvl>
    <w:lvl w:ilvl="5" w:tplc="04080005" w:tentative="1">
      <w:start w:val="1"/>
      <w:numFmt w:val="bullet"/>
      <w:lvlText w:val=""/>
      <w:lvlJc w:val="left"/>
      <w:pPr>
        <w:tabs>
          <w:tab w:val="num" w:pos="3840"/>
        </w:tabs>
        <w:ind w:left="3840" w:hanging="360"/>
      </w:pPr>
      <w:rPr>
        <w:rFonts w:ascii="Wingdings" w:hAnsi="Wingdings" w:hint="default"/>
      </w:rPr>
    </w:lvl>
    <w:lvl w:ilvl="6" w:tplc="04080001" w:tentative="1">
      <w:start w:val="1"/>
      <w:numFmt w:val="bullet"/>
      <w:lvlText w:val=""/>
      <w:lvlJc w:val="left"/>
      <w:pPr>
        <w:tabs>
          <w:tab w:val="num" w:pos="4560"/>
        </w:tabs>
        <w:ind w:left="4560" w:hanging="360"/>
      </w:pPr>
      <w:rPr>
        <w:rFonts w:ascii="Symbol" w:hAnsi="Symbol" w:hint="default"/>
      </w:rPr>
    </w:lvl>
    <w:lvl w:ilvl="7" w:tplc="04080003" w:tentative="1">
      <w:start w:val="1"/>
      <w:numFmt w:val="bullet"/>
      <w:lvlText w:val="o"/>
      <w:lvlJc w:val="left"/>
      <w:pPr>
        <w:tabs>
          <w:tab w:val="num" w:pos="5280"/>
        </w:tabs>
        <w:ind w:left="5280" w:hanging="360"/>
      </w:pPr>
      <w:rPr>
        <w:rFonts w:ascii="Courier New" w:hAnsi="Courier New" w:cs="Courier New" w:hint="default"/>
      </w:rPr>
    </w:lvl>
    <w:lvl w:ilvl="8" w:tplc="04080005" w:tentative="1">
      <w:start w:val="1"/>
      <w:numFmt w:val="bullet"/>
      <w:lvlText w:val=""/>
      <w:lvlJc w:val="left"/>
      <w:pPr>
        <w:tabs>
          <w:tab w:val="num" w:pos="6000"/>
        </w:tabs>
        <w:ind w:left="6000" w:hanging="360"/>
      </w:pPr>
      <w:rPr>
        <w:rFonts w:ascii="Wingdings" w:hAnsi="Wingdings" w:hint="default"/>
      </w:rPr>
    </w:lvl>
  </w:abstractNum>
  <w:abstractNum w:abstractNumId="2">
    <w:nsid w:val="01820C6F"/>
    <w:multiLevelType w:val="hybridMultilevel"/>
    <w:tmpl w:val="7D78CC5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31C7152"/>
    <w:multiLevelType w:val="hybridMultilevel"/>
    <w:tmpl w:val="342C0B72"/>
    <w:lvl w:ilvl="0" w:tplc="EDE279A0">
      <w:start w:val="1"/>
      <w:numFmt w:val="bullet"/>
      <w:lvlText w:val=""/>
      <w:lvlJc w:val="left"/>
      <w:pPr>
        <w:tabs>
          <w:tab w:val="num" w:pos="1080"/>
        </w:tabs>
        <w:ind w:left="1080" w:hanging="360"/>
      </w:pPr>
      <w:rPr>
        <w:rFonts w:ascii="Symbol" w:hAnsi="Symbol" w:hint="default"/>
        <w:sz w:val="22"/>
        <w:szCs w:val="22"/>
      </w:rPr>
    </w:lvl>
    <w:lvl w:ilvl="1" w:tplc="04080003">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
    <w:nsid w:val="0462466F"/>
    <w:multiLevelType w:val="hybridMultilevel"/>
    <w:tmpl w:val="C25A70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0275D8"/>
    <w:multiLevelType w:val="hybridMultilevel"/>
    <w:tmpl w:val="564635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EB729C5"/>
    <w:multiLevelType w:val="hybridMultilevel"/>
    <w:tmpl w:val="508C84E0"/>
    <w:lvl w:ilvl="0" w:tplc="78A867A2">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1627E28"/>
    <w:multiLevelType w:val="hybridMultilevel"/>
    <w:tmpl w:val="4DB20BAA"/>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C6C101E"/>
    <w:multiLevelType w:val="hybridMultilevel"/>
    <w:tmpl w:val="261ED9C6"/>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3442623"/>
    <w:multiLevelType w:val="hybridMultilevel"/>
    <w:tmpl w:val="75165F56"/>
    <w:lvl w:ilvl="0" w:tplc="2D36F198">
      <w:start w:val="1"/>
      <w:numFmt w:val="bullet"/>
      <w:lvlText w:val=""/>
      <w:lvlJc w:val="left"/>
      <w:pPr>
        <w:tabs>
          <w:tab w:val="num" w:pos="360"/>
        </w:tabs>
        <w:ind w:left="360" w:hanging="360"/>
      </w:pPr>
      <w:rPr>
        <w:rFonts w:ascii="Wingdings" w:hAnsi="Wingdings" w:hint="default"/>
        <w:sz w:val="18"/>
        <w:szCs w:val="18"/>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0">
    <w:nsid w:val="23B20CE5"/>
    <w:multiLevelType w:val="hybridMultilevel"/>
    <w:tmpl w:val="A7E226A6"/>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24742D56"/>
    <w:multiLevelType w:val="hybridMultilevel"/>
    <w:tmpl w:val="E514F392"/>
    <w:lvl w:ilvl="0" w:tplc="36583020">
      <w:start w:val="1"/>
      <w:numFmt w:val="bullet"/>
      <w:lvlText w:val=""/>
      <w:lvlJc w:val="left"/>
      <w:pPr>
        <w:tabs>
          <w:tab w:val="num" w:pos="284"/>
        </w:tabs>
        <w:ind w:left="284" w:hanging="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5043CBD"/>
    <w:multiLevelType w:val="hybridMultilevel"/>
    <w:tmpl w:val="BF2EC5CE"/>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76504E0"/>
    <w:multiLevelType w:val="hybridMultilevel"/>
    <w:tmpl w:val="E46810A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CB143CA"/>
    <w:multiLevelType w:val="hybridMultilevel"/>
    <w:tmpl w:val="9BFA7324"/>
    <w:lvl w:ilvl="0" w:tplc="35E62788">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DCF0DC6"/>
    <w:multiLevelType w:val="hybridMultilevel"/>
    <w:tmpl w:val="1C0C6AFE"/>
    <w:lvl w:ilvl="0" w:tplc="35E62788">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1F71E47"/>
    <w:multiLevelType w:val="hybridMultilevel"/>
    <w:tmpl w:val="8F8A48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20B7DBF"/>
    <w:multiLevelType w:val="hybridMultilevel"/>
    <w:tmpl w:val="D36C4E6E"/>
    <w:lvl w:ilvl="0" w:tplc="36583020">
      <w:start w:val="1"/>
      <w:numFmt w:val="bullet"/>
      <w:lvlText w:val=""/>
      <w:lvlJc w:val="left"/>
      <w:pPr>
        <w:tabs>
          <w:tab w:val="num" w:pos="284"/>
        </w:tabs>
        <w:ind w:left="284" w:hanging="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32F401AA"/>
    <w:multiLevelType w:val="hybridMultilevel"/>
    <w:tmpl w:val="26027E1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36563BAE"/>
    <w:multiLevelType w:val="hybridMultilevel"/>
    <w:tmpl w:val="20385256"/>
    <w:lvl w:ilvl="0" w:tplc="4ADEA5F4">
      <w:start w:val="8"/>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3BFE3887"/>
    <w:multiLevelType w:val="hybridMultilevel"/>
    <w:tmpl w:val="9B42A650"/>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C652119"/>
    <w:multiLevelType w:val="hybridMultilevel"/>
    <w:tmpl w:val="D7B24704"/>
    <w:lvl w:ilvl="0" w:tplc="04080001">
      <w:start w:val="1"/>
      <w:numFmt w:val="bullet"/>
      <w:lvlText w:val=""/>
      <w:lvlJc w:val="left"/>
      <w:pPr>
        <w:tabs>
          <w:tab w:val="num" w:pos="1019"/>
        </w:tabs>
        <w:ind w:left="1019" w:hanging="360"/>
      </w:pPr>
      <w:rPr>
        <w:rFonts w:ascii="Symbol" w:hAnsi="Symbol" w:hint="default"/>
      </w:rPr>
    </w:lvl>
    <w:lvl w:ilvl="1" w:tplc="04080003" w:tentative="1">
      <w:start w:val="1"/>
      <w:numFmt w:val="bullet"/>
      <w:lvlText w:val="o"/>
      <w:lvlJc w:val="left"/>
      <w:pPr>
        <w:tabs>
          <w:tab w:val="num" w:pos="1739"/>
        </w:tabs>
        <w:ind w:left="1739" w:hanging="360"/>
      </w:pPr>
      <w:rPr>
        <w:rFonts w:ascii="Courier New" w:hAnsi="Courier New" w:cs="Courier New" w:hint="default"/>
      </w:rPr>
    </w:lvl>
    <w:lvl w:ilvl="2" w:tplc="04080005" w:tentative="1">
      <w:start w:val="1"/>
      <w:numFmt w:val="bullet"/>
      <w:lvlText w:val=""/>
      <w:lvlJc w:val="left"/>
      <w:pPr>
        <w:tabs>
          <w:tab w:val="num" w:pos="2459"/>
        </w:tabs>
        <w:ind w:left="2459" w:hanging="360"/>
      </w:pPr>
      <w:rPr>
        <w:rFonts w:ascii="Wingdings" w:hAnsi="Wingdings" w:hint="default"/>
      </w:rPr>
    </w:lvl>
    <w:lvl w:ilvl="3" w:tplc="04080001" w:tentative="1">
      <w:start w:val="1"/>
      <w:numFmt w:val="bullet"/>
      <w:lvlText w:val=""/>
      <w:lvlJc w:val="left"/>
      <w:pPr>
        <w:tabs>
          <w:tab w:val="num" w:pos="3179"/>
        </w:tabs>
        <w:ind w:left="3179" w:hanging="360"/>
      </w:pPr>
      <w:rPr>
        <w:rFonts w:ascii="Symbol" w:hAnsi="Symbol" w:hint="default"/>
      </w:rPr>
    </w:lvl>
    <w:lvl w:ilvl="4" w:tplc="04080003" w:tentative="1">
      <w:start w:val="1"/>
      <w:numFmt w:val="bullet"/>
      <w:lvlText w:val="o"/>
      <w:lvlJc w:val="left"/>
      <w:pPr>
        <w:tabs>
          <w:tab w:val="num" w:pos="3899"/>
        </w:tabs>
        <w:ind w:left="3899" w:hanging="360"/>
      </w:pPr>
      <w:rPr>
        <w:rFonts w:ascii="Courier New" w:hAnsi="Courier New" w:cs="Courier New" w:hint="default"/>
      </w:rPr>
    </w:lvl>
    <w:lvl w:ilvl="5" w:tplc="04080005" w:tentative="1">
      <w:start w:val="1"/>
      <w:numFmt w:val="bullet"/>
      <w:lvlText w:val=""/>
      <w:lvlJc w:val="left"/>
      <w:pPr>
        <w:tabs>
          <w:tab w:val="num" w:pos="4619"/>
        </w:tabs>
        <w:ind w:left="4619" w:hanging="360"/>
      </w:pPr>
      <w:rPr>
        <w:rFonts w:ascii="Wingdings" w:hAnsi="Wingdings" w:hint="default"/>
      </w:rPr>
    </w:lvl>
    <w:lvl w:ilvl="6" w:tplc="04080001" w:tentative="1">
      <w:start w:val="1"/>
      <w:numFmt w:val="bullet"/>
      <w:lvlText w:val=""/>
      <w:lvlJc w:val="left"/>
      <w:pPr>
        <w:tabs>
          <w:tab w:val="num" w:pos="5339"/>
        </w:tabs>
        <w:ind w:left="5339" w:hanging="360"/>
      </w:pPr>
      <w:rPr>
        <w:rFonts w:ascii="Symbol" w:hAnsi="Symbol" w:hint="default"/>
      </w:rPr>
    </w:lvl>
    <w:lvl w:ilvl="7" w:tplc="04080003" w:tentative="1">
      <w:start w:val="1"/>
      <w:numFmt w:val="bullet"/>
      <w:lvlText w:val="o"/>
      <w:lvlJc w:val="left"/>
      <w:pPr>
        <w:tabs>
          <w:tab w:val="num" w:pos="6059"/>
        </w:tabs>
        <w:ind w:left="6059" w:hanging="360"/>
      </w:pPr>
      <w:rPr>
        <w:rFonts w:ascii="Courier New" w:hAnsi="Courier New" w:cs="Courier New" w:hint="default"/>
      </w:rPr>
    </w:lvl>
    <w:lvl w:ilvl="8" w:tplc="04080005" w:tentative="1">
      <w:start w:val="1"/>
      <w:numFmt w:val="bullet"/>
      <w:lvlText w:val=""/>
      <w:lvlJc w:val="left"/>
      <w:pPr>
        <w:tabs>
          <w:tab w:val="num" w:pos="6779"/>
        </w:tabs>
        <w:ind w:left="6779" w:hanging="360"/>
      </w:pPr>
      <w:rPr>
        <w:rFonts w:ascii="Wingdings" w:hAnsi="Wingdings" w:hint="default"/>
      </w:rPr>
    </w:lvl>
  </w:abstractNum>
  <w:abstractNum w:abstractNumId="22">
    <w:nsid w:val="41EF3FAC"/>
    <w:multiLevelType w:val="hybridMultilevel"/>
    <w:tmpl w:val="6016C134"/>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3">
    <w:nsid w:val="43165804"/>
    <w:multiLevelType w:val="hybridMultilevel"/>
    <w:tmpl w:val="D8C0E8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36E4DE8">
      <w:numFmt w:val="bullet"/>
      <w:lvlText w:val="-"/>
      <w:lvlJc w:val="left"/>
      <w:pPr>
        <w:tabs>
          <w:tab w:val="num" w:pos="2160"/>
        </w:tabs>
        <w:ind w:left="2160" w:hanging="360"/>
      </w:pPr>
      <w:rPr>
        <w:rFonts w:ascii="Times New Roman" w:eastAsia="Times New Roman" w:hAnsi="Times New Roman" w:cs="Times New Roman" w:hint="default"/>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3E3243E"/>
    <w:multiLevelType w:val="hybridMultilevel"/>
    <w:tmpl w:val="93C20E84"/>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B610260"/>
    <w:multiLevelType w:val="hybridMultilevel"/>
    <w:tmpl w:val="82E4DB4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6">
    <w:nsid w:val="4E456317"/>
    <w:multiLevelType w:val="hybridMultilevel"/>
    <w:tmpl w:val="8818A072"/>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01D3265"/>
    <w:multiLevelType w:val="hybridMultilevel"/>
    <w:tmpl w:val="F8626E28"/>
    <w:lvl w:ilvl="0" w:tplc="04080001">
      <w:start w:val="1"/>
      <w:numFmt w:val="bullet"/>
      <w:lvlText w:val=""/>
      <w:lvlJc w:val="left"/>
      <w:pPr>
        <w:tabs>
          <w:tab w:val="num" w:pos="1260"/>
        </w:tabs>
        <w:ind w:left="1260" w:hanging="360"/>
      </w:pPr>
      <w:rPr>
        <w:rFonts w:ascii="Symbol" w:hAnsi="Symbol" w:hint="default"/>
      </w:rPr>
    </w:lvl>
    <w:lvl w:ilvl="1" w:tplc="04080003" w:tentative="1">
      <w:start w:val="1"/>
      <w:numFmt w:val="bullet"/>
      <w:lvlText w:val="o"/>
      <w:lvlJc w:val="left"/>
      <w:pPr>
        <w:tabs>
          <w:tab w:val="num" w:pos="1980"/>
        </w:tabs>
        <w:ind w:left="1980" w:hanging="360"/>
      </w:pPr>
      <w:rPr>
        <w:rFonts w:ascii="Courier New" w:hAnsi="Courier New" w:cs="Courier New" w:hint="default"/>
      </w:rPr>
    </w:lvl>
    <w:lvl w:ilvl="2" w:tplc="04080005" w:tentative="1">
      <w:start w:val="1"/>
      <w:numFmt w:val="bullet"/>
      <w:lvlText w:val=""/>
      <w:lvlJc w:val="left"/>
      <w:pPr>
        <w:tabs>
          <w:tab w:val="num" w:pos="2700"/>
        </w:tabs>
        <w:ind w:left="2700" w:hanging="360"/>
      </w:pPr>
      <w:rPr>
        <w:rFonts w:ascii="Wingdings" w:hAnsi="Wingdings" w:hint="default"/>
      </w:rPr>
    </w:lvl>
    <w:lvl w:ilvl="3" w:tplc="04080001" w:tentative="1">
      <w:start w:val="1"/>
      <w:numFmt w:val="bullet"/>
      <w:lvlText w:val=""/>
      <w:lvlJc w:val="left"/>
      <w:pPr>
        <w:tabs>
          <w:tab w:val="num" w:pos="3420"/>
        </w:tabs>
        <w:ind w:left="3420" w:hanging="360"/>
      </w:pPr>
      <w:rPr>
        <w:rFonts w:ascii="Symbol" w:hAnsi="Symbol" w:hint="default"/>
      </w:rPr>
    </w:lvl>
    <w:lvl w:ilvl="4" w:tplc="04080003" w:tentative="1">
      <w:start w:val="1"/>
      <w:numFmt w:val="bullet"/>
      <w:lvlText w:val="o"/>
      <w:lvlJc w:val="left"/>
      <w:pPr>
        <w:tabs>
          <w:tab w:val="num" w:pos="4140"/>
        </w:tabs>
        <w:ind w:left="4140" w:hanging="360"/>
      </w:pPr>
      <w:rPr>
        <w:rFonts w:ascii="Courier New" w:hAnsi="Courier New" w:cs="Courier New" w:hint="default"/>
      </w:rPr>
    </w:lvl>
    <w:lvl w:ilvl="5" w:tplc="04080005" w:tentative="1">
      <w:start w:val="1"/>
      <w:numFmt w:val="bullet"/>
      <w:lvlText w:val=""/>
      <w:lvlJc w:val="left"/>
      <w:pPr>
        <w:tabs>
          <w:tab w:val="num" w:pos="4860"/>
        </w:tabs>
        <w:ind w:left="4860" w:hanging="360"/>
      </w:pPr>
      <w:rPr>
        <w:rFonts w:ascii="Wingdings" w:hAnsi="Wingdings" w:hint="default"/>
      </w:rPr>
    </w:lvl>
    <w:lvl w:ilvl="6" w:tplc="04080001" w:tentative="1">
      <w:start w:val="1"/>
      <w:numFmt w:val="bullet"/>
      <w:lvlText w:val=""/>
      <w:lvlJc w:val="left"/>
      <w:pPr>
        <w:tabs>
          <w:tab w:val="num" w:pos="5580"/>
        </w:tabs>
        <w:ind w:left="5580" w:hanging="360"/>
      </w:pPr>
      <w:rPr>
        <w:rFonts w:ascii="Symbol" w:hAnsi="Symbol" w:hint="default"/>
      </w:rPr>
    </w:lvl>
    <w:lvl w:ilvl="7" w:tplc="04080003" w:tentative="1">
      <w:start w:val="1"/>
      <w:numFmt w:val="bullet"/>
      <w:lvlText w:val="o"/>
      <w:lvlJc w:val="left"/>
      <w:pPr>
        <w:tabs>
          <w:tab w:val="num" w:pos="6300"/>
        </w:tabs>
        <w:ind w:left="6300" w:hanging="360"/>
      </w:pPr>
      <w:rPr>
        <w:rFonts w:ascii="Courier New" w:hAnsi="Courier New" w:cs="Courier New" w:hint="default"/>
      </w:rPr>
    </w:lvl>
    <w:lvl w:ilvl="8" w:tplc="04080005" w:tentative="1">
      <w:start w:val="1"/>
      <w:numFmt w:val="bullet"/>
      <w:lvlText w:val=""/>
      <w:lvlJc w:val="left"/>
      <w:pPr>
        <w:tabs>
          <w:tab w:val="num" w:pos="7020"/>
        </w:tabs>
        <w:ind w:left="7020" w:hanging="360"/>
      </w:pPr>
      <w:rPr>
        <w:rFonts w:ascii="Wingdings" w:hAnsi="Wingdings" w:hint="default"/>
      </w:rPr>
    </w:lvl>
  </w:abstractNum>
  <w:abstractNum w:abstractNumId="28">
    <w:nsid w:val="51D359BC"/>
    <w:multiLevelType w:val="hybridMultilevel"/>
    <w:tmpl w:val="71B466E2"/>
    <w:lvl w:ilvl="0" w:tplc="35E62788">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535A61EC"/>
    <w:multiLevelType w:val="hybridMultilevel"/>
    <w:tmpl w:val="C94A8EB8"/>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55D46B44"/>
    <w:multiLevelType w:val="hybridMultilevel"/>
    <w:tmpl w:val="CFC2CCEA"/>
    <w:lvl w:ilvl="0" w:tplc="EDE279A0">
      <w:start w:val="1"/>
      <w:numFmt w:val="bullet"/>
      <w:lvlText w:val=""/>
      <w:lvlJc w:val="left"/>
      <w:pPr>
        <w:tabs>
          <w:tab w:val="num" w:pos="1080"/>
        </w:tabs>
        <w:ind w:left="1080" w:hanging="360"/>
      </w:pPr>
      <w:rPr>
        <w:rFonts w:ascii="Symbol" w:hAnsi="Symbol" w:hint="default"/>
        <w:sz w:val="22"/>
        <w:szCs w:val="22"/>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1">
    <w:nsid w:val="596375C3"/>
    <w:multiLevelType w:val="hybridMultilevel"/>
    <w:tmpl w:val="1492A7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5A734595"/>
    <w:multiLevelType w:val="hybridMultilevel"/>
    <w:tmpl w:val="2AD48A02"/>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5BDA7F4B"/>
    <w:multiLevelType w:val="hybridMultilevel"/>
    <w:tmpl w:val="7CBCB0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5DBF3337"/>
    <w:multiLevelType w:val="hybridMultilevel"/>
    <w:tmpl w:val="F77E4D04"/>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DC22728"/>
    <w:multiLevelType w:val="hybridMultilevel"/>
    <w:tmpl w:val="CADC0A54"/>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nsid w:val="5E5066C6"/>
    <w:multiLevelType w:val="hybridMultilevel"/>
    <w:tmpl w:val="FAA67B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5ED61359"/>
    <w:multiLevelType w:val="hybridMultilevel"/>
    <w:tmpl w:val="E1FC4330"/>
    <w:lvl w:ilvl="0" w:tplc="4C32A2A8">
      <w:start w:val="1"/>
      <w:numFmt w:val="bullet"/>
      <w:lvlText w:val=""/>
      <w:lvlJc w:val="left"/>
      <w:pPr>
        <w:tabs>
          <w:tab w:val="num" w:pos="1364"/>
        </w:tabs>
        <w:ind w:left="1004" w:hanging="32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643A497E"/>
    <w:multiLevelType w:val="hybridMultilevel"/>
    <w:tmpl w:val="78BE7DC6"/>
    <w:lvl w:ilvl="0" w:tplc="213446D6">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67795D09"/>
    <w:multiLevelType w:val="hybridMultilevel"/>
    <w:tmpl w:val="ED0C8712"/>
    <w:lvl w:ilvl="0" w:tplc="B44E87DC">
      <w:start w:val="1"/>
      <w:numFmt w:val="bullet"/>
      <w:lvlText w:val=""/>
      <w:lvlJc w:val="left"/>
      <w:pPr>
        <w:tabs>
          <w:tab w:val="num" w:pos="583"/>
        </w:tabs>
        <w:ind w:left="583" w:hanging="284"/>
      </w:pPr>
      <w:rPr>
        <w:rFonts w:ascii="Symbol" w:hAnsi="Symbol" w:hint="default"/>
        <w:color w:val="auto"/>
      </w:rPr>
    </w:lvl>
    <w:lvl w:ilvl="1" w:tplc="04080003" w:tentative="1">
      <w:start w:val="1"/>
      <w:numFmt w:val="bullet"/>
      <w:lvlText w:val="o"/>
      <w:lvlJc w:val="left"/>
      <w:pPr>
        <w:tabs>
          <w:tab w:val="num" w:pos="1739"/>
        </w:tabs>
        <w:ind w:left="1739" w:hanging="360"/>
      </w:pPr>
      <w:rPr>
        <w:rFonts w:ascii="Courier New" w:hAnsi="Courier New" w:cs="Courier New" w:hint="default"/>
      </w:rPr>
    </w:lvl>
    <w:lvl w:ilvl="2" w:tplc="04080005" w:tentative="1">
      <w:start w:val="1"/>
      <w:numFmt w:val="bullet"/>
      <w:lvlText w:val=""/>
      <w:lvlJc w:val="left"/>
      <w:pPr>
        <w:tabs>
          <w:tab w:val="num" w:pos="2459"/>
        </w:tabs>
        <w:ind w:left="2459" w:hanging="360"/>
      </w:pPr>
      <w:rPr>
        <w:rFonts w:ascii="Wingdings" w:hAnsi="Wingdings" w:hint="default"/>
      </w:rPr>
    </w:lvl>
    <w:lvl w:ilvl="3" w:tplc="04080001" w:tentative="1">
      <w:start w:val="1"/>
      <w:numFmt w:val="bullet"/>
      <w:lvlText w:val=""/>
      <w:lvlJc w:val="left"/>
      <w:pPr>
        <w:tabs>
          <w:tab w:val="num" w:pos="3179"/>
        </w:tabs>
        <w:ind w:left="3179" w:hanging="360"/>
      </w:pPr>
      <w:rPr>
        <w:rFonts w:ascii="Symbol" w:hAnsi="Symbol" w:hint="default"/>
      </w:rPr>
    </w:lvl>
    <w:lvl w:ilvl="4" w:tplc="04080003" w:tentative="1">
      <w:start w:val="1"/>
      <w:numFmt w:val="bullet"/>
      <w:lvlText w:val="o"/>
      <w:lvlJc w:val="left"/>
      <w:pPr>
        <w:tabs>
          <w:tab w:val="num" w:pos="3899"/>
        </w:tabs>
        <w:ind w:left="3899" w:hanging="360"/>
      </w:pPr>
      <w:rPr>
        <w:rFonts w:ascii="Courier New" w:hAnsi="Courier New" w:cs="Courier New" w:hint="default"/>
      </w:rPr>
    </w:lvl>
    <w:lvl w:ilvl="5" w:tplc="04080005" w:tentative="1">
      <w:start w:val="1"/>
      <w:numFmt w:val="bullet"/>
      <w:lvlText w:val=""/>
      <w:lvlJc w:val="left"/>
      <w:pPr>
        <w:tabs>
          <w:tab w:val="num" w:pos="4619"/>
        </w:tabs>
        <w:ind w:left="4619" w:hanging="360"/>
      </w:pPr>
      <w:rPr>
        <w:rFonts w:ascii="Wingdings" w:hAnsi="Wingdings" w:hint="default"/>
      </w:rPr>
    </w:lvl>
    <w:lvl w:ilvl="6" w:tplc="04080001" w:tentative="1">
      <w:start w:val="1"/>
      <w:numFmt w:val="bullet"/>
      <w:lvlText w:val=""/>
      <w:lvlJc w:val="left"/>
      <w:pPr>
        <w:tabs>
          <w:tab w:val="num" w:pos="5339"/>
        </w:tabs>
        <w:ind w:left="5339" w:hanging="360"/>
      </w:pPr>
      <w:rPr>
        <w:rFonts w:ascii="Symbol" w:hAnsi="Symbol" w:hint="default"/>
      </w:rPr>
    </w:lvl>
    <w:lvl w:ilvl="7" w:tplc="04080003" w:tentative="1">
      <w:start w:val="1"/>
      <w:numFmt w:val="bullet"/>
      <w:lvlText w:val="o"/>
      <w:lvlJc w:val="left"/>
      <w:pPr>
        <w:tabs>
          <w:tab w:val="num" w:pos="6059"/>
        </w:tabs>
        <w:ind w:left="6059" w:hanging="360"/>
      </w:pPr>
      <w:rPr>
        <w:rFonts w:ascii="Courier New" w:hAnsi="Courier New" w:cs="Courier New" w:hint="default"/>
      </w:rPr>
    </w:lvl>
    <w:lvl w:ilvl="8" w:tplc="04080005" w:tentative="1">
      <w:start w:val="1"/>
      <w:numFmt w:val="bullet"/>
      <w:lvlText w:val=""/>
      <w:lvlJc w:val="left"/>
      <w:pPr>
        <w:tabs>
          <w:tab w:val="num" w:pos="6779"/>
        </w:tabs>
        <w:ind w:left="6779" w:hanging="360"/>
      </w:pPr>
      <w:rPr>
        <w:rFonts w:ascii="Wingdings" w:hAnsi="Wingdings" w:hint="default"/>
      </w:rPr>
    </w:lvl>
  </w:abstractNum>
  <w:abstractNum w:abstractNumId="40">
    <w:nsid w:val="67D46B15"/>
    <w:multiLevelType w:val="hybridMultilevel"/>
    <w:tmpl w:val="C66E21D8"/>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6F167687"/>
    <w:multiLevelType w:val="hybridMultilevel"/>
    <w:tmpl w:val="C5143686"/>
    <w:lvl w:ilvl="0" w:tplc="CBDA076A">
      <w:start w:val="1"/>
      <w:numFmt w:val="bullet"/>
      <w:lvlText w:val=""/>
      <w:lvlJc w:val="left"/>
      <w:pPr>
        <w:tabs>
          <w:tab w:val="num" w:pos="284"/>
        </w:tabs>
        <w:ind w:left="284" w:hanging="284"/>
      </w:pPr>
      <w:rPr>
        <w:rFonts w:ascii="Symbol" w:hAnsi="Symbol" w:hint="default"/>
        <w:b w:val="0"/>
        <w:i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70FF41AC"/>
    <w:multiLevelType w:val="hybridMultilevel"/>
    <w:tmpl w:val="4AD641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nsid w:val="752C5B6E"/>
    <w:multiLevelType w:val="hybridMultilevel"/>
    <w:tmpl w:val="CAA22054"/>
    <w:lvl w:ilvl="0" w:tplc="B44E87DC">
      <w:start w:val="1"/>
      <w:numFmt w:val="bullet"/>
      <w:lvlText w:val=""/>
      <w:lvlJc w:val="left"/>
      <w:pPr>
        <w:tabs>
          <w:tab w:val="num" w:pos="284"/>
        </w:tabs>
        <w:ind w:left="284" w:hanging="28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764346D6"/>
    <w:multiLevelType w:val="hybridMultilevel"/>
    <w:tmpl w:val="6666F512"/>
    <w:lvl w:ilvl="0" w:tplc="B44E87DC">
      <w:start w:val="1"/>
      <w:numFmt w:val="bullet"/>
      <w:lvlText w:val=""/>
      <w:lvlJc w:val="left"/>
      <w:pPr>
        <w:tabs>
          <w:tab w:val="num" w:pos="464"/>
        </w:tabs>
        <w:ind w:left="464" w:hanging="284"/>
      </w:pPr>
      <w:rPr>
        <w:rFonts w:ascii="Symbol" w:hAnsi="Symbol" w:hint="default"/>
        <w:color w:val="auto"/>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45">
    <w:nsid w:val="771666FC"/>
    <w:multiLevelType w:val="hybridMultilevel"/>
    <w:tmpl w:val="59184574"/>
    <w:lvl w:ilvl="0" w:tplc="04080001">
      <w:start w:val="1"/>
      <w:numFmt w:val="bullet"/>
      <w:lvlText w:val=""/>
      <w:lvlJc w:val="left"/>
      <w:pPr>
        <w:tabs>
          <w:tab w:val="num" w:pos="1515"/>
        </w:tabs>
        <w:ind w:left="1515" w:hanging="360"/>
      </w:pPr>
      <w:rPr>
        <w:rFonts w:ascii="Symbol" w:hAnsi="Symbol" w:hint="default"/>
      </w:rPr>
    </w:lvl>
    <w:lvl w:ilvl="1" w:tplc="04080003" w:tentative="1">
      <w:start w:val="1"/>
      <w:numFmt w:val="bullet"/>
      <w:lvlText w:val="o"/>
      <w:lvlJc w:val="left"/>
      <w:pPr>
        <w:tabs>
          <w:tab w:val="num" w:pos="2235"/>
        </w:tabs>
        <w:ind w:left="2235" w:hanging="360"/>
      </w:pPr>
      <w:rPr>
        <w:rFonts w:ascii="Courier New" w:hAnsi="Courier New" w:cs="Courier New" w:hint="default"/>
      </w:rPr>
    </w:lvl>
    <w:lvl w:ilvl="2" w:tplc="04080005" w:tentative="1">
      <w:start w:val="1"/>
      <w:numFmt w:val="bullet"/>
      <w:lvlText w:val=""/>
      <w:lvlJc w:val="left"/>
      <w:pPr>
        <w:tabs>
          <w:tab w:val="num" w:pos="2955"/>
        </w:tabs>
        <w:ind w:left="2955" w:hanging="360"/>
      </w:pPr>
      <w:rPr>
        <w:rFonts w:ascii="Wingdings" w:hAnsi="Wingdings" w:hint="default"/>
      </w:rPr>
    </w:lvl>
    <w:lvl w:ilvl="3" w:tplc="04080001" w:tentative="1">
      <w:start w:val="1"/>
      <w:numFmt w:val="bullet"/>
      <w:lvlText w:val=""/>
      <w:lvlJc w:val="left"/>
      <w:pPr>
        <w:tabs>
          <w:tab w:val="num" w:pos="3675"/>
        </w:tabs>
        <w:ind w:left="3675" w:hanging="360"/>
      </w:pPr>
      <w:rPr>
        <w:rFonts w:ascii="Symbol" w:hAnsi="Symbol" w:hint="default"/>
      </w:rPr>
    </w:lvl>
    <w:lvl w:ilvl="4" w:tplc="04080003" w:tentative="1">
      <w:start w:val="1"/>
      <w:numFmt w:val="bullet"/>
      <w:lvlText w:val="o"/>
      <w:lvlJc w:val="left"/>
      <w:pPr>
        <w:tabs>
          <w:tab w:val="num" w:pos="4395"/>
        </w:tabs>
        <w:ind w:left="4395" w:hanging="360"/>
      </w:pPr>
      <w:rPr>
        <w:rFonts w:ascii="Courier New" w:hAnsi="Courier New" w:cs="Courier New" w:hint="default"/>
      </w:rPr>
    </w:lvl>
    <w:lvl w:ilvl="5" w:tplc="04080005" w:tentative="1">
      <w:start w:val="1"/>
      <w:numFmt w:val="bullet"/>
      <w:lvlText w:val=""/>
      <w:lvlJc w:val="left"/>
      <w:pPr>
        <w:tabs>
          <w:tab w:val="num" w:pos="5115"/>
        </w:tabs>
        <w:ind w:left="5115" w:hanging="360"/>
      </w:pPr>
      <w:rPr>
        <w:rFonts w:ascii="Wingdings" w:hAnsi="Wingdings" w:hint="default"/>
      </w:rPr>
    </w:lvl>
    <w:lvl w:ilvl="6" w:tplc="04080001" w:tentative="1">
      <w:start w:val="1"/>
      <w:numFmt w:val="bullet"/>
      <w:lvlText w:val=""/>
      <w:lvlJc w:val="left"/>
      <w:pPr>
        <w:tabs>
          <w:tab w:val="num" w:pos="5835"/>
        </w:tabs>
        <w:ind w:left="5835" w:hanging="360"/>
      </w:pPr>
      <w:rPr>
        <w:rFonts w:ascii="Symbol" w:hAnsi="Symbol" w:hint="default"/>
      </w:rPr>
    </w:lvl>
    <w:lvl w:ilvl="7" w:tplc="04080003" w:tentative="1">
      <w:start w:val="1"/>
      <w:numFmt w:val="bullet"/>
      <w:lvlText w:val="o"/>
      <w:lvlJc w:val="left"/>
      <w:pPr>
        <w:tabs>
          <w:tab w:val="num" w:pos="6555"/>
        </w:tabs>
        <w:ind w:left="6555" w:hanging="360"/>
      </w:pPr>
      <w:rPr>
        <w:rFonts w:ascii="Courier New" w:hAnsi="Courier New" w:cs="Courier New" w:hint="default"/>
      </w:rPr>
    </w:lvl>
    <w:lvl w:ilvl="8" w:tplc="04080005" w:tentative="1">
      <w:start w:val="1"/>
      <w:numFmt w:val="bullet"/>
      <w:lvlText w:val=""/>
      <w:lvlJc w:val="left"/>
      <w:pPr>
        <w:tabs>
          <w:tab w:val="num" w:pos="7275"/>
        </w:tabs>
        <w:ind w:left="7275" w:hanging="360"/>
      </w:pPr>
      <w:rPr>
        <w:rFonts w:ascii="Wingdings" w:hAnsi="Wingdings" w:hint="default"/>
      </w:rPr>
    </w:lvl>
  </w:abstractNum>
  <w:abstractNum w:abstractNumId="46">
    <w:nsid w:val="7AF723DD"/>
    <w:multiLevelType w:val="hybridMultilevel"/>
    <w:tmpl w:val="3F2A95F8"/>
    <w:lvl w:ilvl="0" w:tplc="213446D6">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nsid w:val="7C9659C6"/>
    <w:multiLevelType w:val="hybridMultilevel"/>
    <w:tmpl w:val="8CF2A2A2"/>
    <w:lvl w:ilvl="0" w:tplc="B44E87DC">
      <w:start w:val="1"/>
      <w:numFmt w:val="bullet"/>
      <w:lvlText w:val=""/>
      <w:lvlJc w:val="left"/>
      <w:pPr>
        <w:tabs>
          <w:tab w:val="num" w:pos="644"/>
        </w:tabs>
        <w:ind w:left="644" w:hanging="284"/>
      </w:pPr>
      <w:rPr>
        <w:rFonts w:ascii="Symbol" w:hAnsi="Symbol" w:hint="default"/>
        <w:color w:val="auto"/>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8">
    <w:nsid w:val="7E1657DE"/>
    <w:multiLevelType w:val="hybridMultilevel"/>
    <w:tmpl w:val="5C1C27F0"/>
    <w:lvl w:ilvl="0" w:tplc="04080001">
      <w:start w:val="1"/>
      <w:numFmt w:val="bullet"/>
      <w:lvlText w:val=""/>
      <w:lvlJc w:val="left"/>
      <w:pPr>
        <w:tabs>
          <w:tab w:val="num" w:pos="900"/>
        </w:tabs>
        <w:ind w:left="900" w:hanging="360"/>
      </w:pPr>
      <w:rPr>
        <w:rFonts w:ascii="Symbol" w:hAnsi="Symbol"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num w:numId="1">
    <w:abstractNumId w:val="40"/>
  </w:num>
  <w:num w:numId="2">
    <w:abstractNumId w:val="32"/>
  </w:num>
  <w:num w:numId="3">
    <w:abstractNumId w:val="41"/>
  </w:num>
  <w:num w:numId="4">
    <w:abstractNumId w:val="7"/>
  </w:num>
  <w:num w:numId="5">
    <w:abstractNumId w:val="15"/>
  </w:num>
  <w:num w:numId="6">
    <w:abstractNumId w:val="18"/>
  </w:num>
  <w:num w:numId="7">
    <w:abstractNumId w:val="25"/>
  </w:num>
  <w:num w:numId="8">
    <w:abstractNumId w:val="36"/>
  </w:num>
  <w:num w:numId="9">
    <w:abstractNumId w:val="14"/>
  </w:num>
  <w:num w:numId="10">
    <w:abstractNumId w:val="28"/>
  </w:num>
  <w:num w:numId="11">
    <w:abstractNumId w:val="0"/>
  </w:num>
  <w:num w:numId="12">
    <w:abstractNumId w:val="1"/>
  </w:num>
  <w:num w:numId="13">
    <w:abstractNumId w:val="34"/>
  </w:num>
  <w:num w:numId="14">
    <w:abstractNumId w:val="29"/>
  </w:num>
  <w:num w:numId="15">
    <w:abstractNumId w:val="35"/>
  </w:num>
  <w:num w:numId="16">
    <w:abstractNumId w:val="5"/>
  </w:num>
  <w:num w:numId="17">
    <w:abstractNumId w:val="2"/>
  </w:num>
  <w:num w:numId="18">
    <w:abstractNumId w:val="26"/>
  </w:num>
  <w:num w:numId="19">
    <w:abstractNumId w:val="37"/>
  </w:num>
  <w:num w:numId="20">
    <w:abstractNumId w:val="16"/>
  </w:num>
  <w:num w:numId="21">
    <w:abstractNumId w:val="17"/>
  </w:num>
  <w:num w:numId="22">
    <w:abstractNumId w:val="11"/>
  </w:num>
  <w:num w:numId="23">
    <w:abstractNumId w:val="31"/>
  </w:num>
  <w:num w:numId="24">
    <w:abstractNumId w:val="9"/>
  </w:num>
  <w:num w:numId="25">
    <w:abstractNumId w:val="19"/>
  </w:num>
  <w:num w:numId="26">
    <w:abstractNumId w:val="13"/>
  </w:num>
  <w:num w:numId="27">
    <w:abstractNumId w:val="23"/>
  </w:num>
  <w:num w:numId="28">
    <w:abstractNumId w:val="27"/>
  </w:num>
  <w:num w:numId="29">
    <w:abstractNumId w:val="22"/>
  </w:num>
  <w:num w:numId="30">
    <w:abstractNumId w:val="45"/>
  </w:num>
  <w:num w:numId="31">
    <w:abstractNumId w:val="48"/>
  </w:num>
  <w:num w:numId="32">
    <w:abstractNumId w:val="47"/>
  </w:num>
  <w:num w:numId="33">
    <w:abstractNumId w:val="44"/>
  </w:num>
  <w:num w:numId="34">
    <w:abstractNumId w:val="12"/>
  </w:num>
  <w:num w:numId="35">
    <w:abstractNumId w:val="43"/>
  </w:num>
  <w:num w:numId="36">
    <w:abstractNumId w:val="8"/>
  </w:num>
  <w:num w:numId="37">
    <w:abstractNumId w:val="3"/>
  </w:num>
  <w:num w:numId="38">
    <w:abstractNumId w:val="24"/>
  </w:num>
  <w:num w:numId="39">
    <w:abstractNumId w:val="21"/>
  </w:num>
  <w:num w:numId="40">
    <w:abstractNumId w:val="39"/>
  </w:num>
  <w:num w:numId="41">
    <w:abstractNumId w:val="10"/>
  </w:num>
  <w:num w:numId="42">
    <w:abstractNumId w:val="20"/>
  </w:num>
  <w:num w:numId="43">
    <w:abstractNumId w:val="30"/>
  </w:num>
  <w:num w:numId="44">
    <w:abstractNumId w:val="6"/>
  </w:num>
  <w:num w:numId="45">
    <w:abstractNumId w:val="38"/>
  </w:num>
  <w:num w:numId="46">
    <w:abstractNumId w:val="46"/>
  </w:num>
  <w:num w:numId="47">
    <w:abstractNumId w:val="33"/>
  </w:num>
  <w:num w:numId="48">
    <w:abstractNumId w:val="42"/>
  </w:num>
  <w:num w:numId="4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onysis Mouzakis">
    <w15:presenceInfo w15:providerId="AD" w15:userId="S-1-5-21-506546393-3255317081-1193680798-113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mirrorMargins/>
  <w:proofState w:spelling="clean" w:grammar="clean"/>
  <w:attachedTemplate r:id="rId1"/>
  <w:stylePaneFormatFilter w:val="3F01"/>
  <w:defaultTabStop w:val="720"/>
  <w:autoHyphenation/>
  <w:hyphenationZone w:val="284"/>
  <w:evenAndOddHeaders/>
  <w:noPunctuationKerning/>
  <w:characterSpacingControl w:val="doNotCompress"/>
  <w:footnotePr>
    <w:footnote w:id="-1"/>
    <w:footnote w:id="0"/>
  </w:footnotePr>
  <w:endnotePr>
    <w:endnote w:id="-1"/>
    <w:endnote w:id="0"/>
  </w:endnotePr>
  <w:compat/>
  <w:rsids>
    <w:rsidRoot w:val="00D40E4A"/>
    <w:rsid w:val="000004AC"/>
    <w:rsid w:val="00000FFB"/>
    <w:rsid w:val="000039B8"/>
    <w:rsid w:val="000107A3"/>
    <w:rsid w:val="00010A99"/>
    <w:rsid w:val="000122B0"/>
    <w:rsid w:val="00012851"/>
    <w:rsid w:val="0001554D"/>
    <w:rsid w:val="0001593B"/>
    <w:rsid w:val="00015BEA"/>
    <w:rsid w:val="00015D0B"/>
    <w:rsid w:val="00015F55"/>
    <w:rsid w:val="00016192"/>
    <w:rsid w:val="00016990"/>
    <w:rsid w:val="000179AF"/>
    <w:rsid w:val="00022012"/>
    <w:rsid w:val="00023B2A"/>
    <w:rsid w:val="0002413E"/>
    <w:rsid w:val="00024267"/>
    <w:rsid w:val="00026B5F"/>
    <w:rsid w:val="00026EF0"/>
    <w:rsid w:val="000302A8"/>
    <w:rsid w:val="00031CB7"/>
    <w:rsid w:val="00032F3C"/>
    <w:rsid w:val="00032FBA"/>
    <w:rsid w:val="00035398"/>
    <w:rsid w:val="00037206"/>
    <w:rsid w:val="00037608"/>
    <w:rsid w:val="00037944"/>
    <w:rsid w:val="00037CF5"/>
    <w:rsid w:val="00040F85"/>
    <w:rsid w:val="00042730"/>
    <w:rsid w:val="000453DA"/>
    <w:rsid w:val="0004664D"/>
    <w:rsid w:val="00047271"/>
    <w:rsid w:val="00047FBE"/>
    <w:rsid w:val="000519B2"/>
    <w:rsid w:val="00051CBE"/>
    <w:rsid w:val="00051FCC"/>
    <w:rsid w:val="00053C6C"/>
    <w:rsid w:val="00053FC1"/>
    <w:rsid w:val="00054969"/>
    <w:rsid w:val="000554C7"/>
    <w:rsid w:val="00057C99"/>
    <w:rsid w:val="000604B7"/>
    <w:rsid w:val="00060655"/>
    <w:rsid w:val="00060EFA"/>
    <w:rsid w:val="00063239"/>
    <w:rsid w:val="00063F39"/>
    <w:rsid w:val="00064EF9"/>
    <w:rsid w:val="00066606"/>
    <w:rsid w:val="00067DD1"/>
    <w:rsid w:val="0007009A"/>
    <w:rsid w:val="00072567"/>
    <w:rsid w:val="00073D02"/>
    <w:rsid w:val="000749A7"/>
    <w:rsid w:val="00080FAA"/>
    <w:rsid w:val="00083359"/>
    <w:rsid w:val="000834E3"/>
    <w:rsid w:val="00083ABC"/>
    <w:rsid w:val="000843A1"/>
    <w:rsid w:val="000852A8"/>
    <w:rsid w:val="00085BD5"/>
    <w:rsid w:val="00086D01"/>
    <w:rsid w:val="00087EB9"/>
    <w:rsid w:val="000906BC"/>
    <w:rsid w:val="00090936"/>
    <w:rsid w:val="00090F04"/>
    <w:rsid w:val="00091F40"/>
    <w:rsid w:val="000934F1"/>
    <w:rsid w:val="0009422B"/>
    <w:rsid w:val="000A08B3"/>
    <w:rsid w:val="000A1484"/>
    <w:rsid w:val="000A154E"/>
    <w:rsid w:val="000A190C"/>
    <w:rsid w:val="000A3D2F"/>
    <w:rsid w:val="000A3E64"/>
    <w:rsid w:val="000A55D8"/>
    <w:rsid w:val="000A5D5B"/>
    <w:rsid w:val="000A7EF2"/>
    <w:rsid w:val="000B1539"/>
    <w:rsid w:val="000B15E5"/>
    <w:rsid w:val="000B2C67"/>
    <w:rsid w:val="000B5ABB"/>
    <w:rsid w:val="000B6759"/>
    <w:rsid w:val="000B67FE"/>
    <w:rsid w:val="000C2662"/>
    <w:rsid w:val="000C2E98"/>
    <w:rsid w:val="000C366F"/>
    <w:rsid w:val="000C5443"/>
    <w:rsid w:val="000C7353"/>
    <w:rsid w:val="000D08DD"/>
    <w:rsid w:val="000D0A85"/>
    <w:rsid w:val="000D18B1"/>
    <w:rsid w:val="000D1D7A"/>
    <w:rsid w:val="000D662A"/>
    <w:rsid w:val="000D6D97"/>
    <w:rsid w:val="000D6FBF"/>
    <w:rsid w:val="000D70E5"/>
    <w:rsid w:val="000D74D1"/>
    <w:rsid w:val="000E16B6"/>
    <w:rsid w:val="000E309F"/>
    <w:rsid w:val="000E7E22"/>
    <w:rsid w:val="000F039F"/>
    <w:rsid w:val="000F42E7"/>
    <w:rsid w:val="000F67B9"/>
    <w:rsid w:val="000F6DF8"/>
    <w:rsid w:val="000F70B8"/>
    <w:rsid w:val="00102360"/>
    <w:rsid w:val="00102B0B"/>
    <w:rsid w:val="00103D2B"/>
    <w:rsid w:val="00104C50"/>
    <w:rsid w:val="0010729F"/>
    <w:rsid w:val="001124EF"/>
    <w:rsid w:val="001128BF"/>
    <w:rsid w:val="00114BA7"/>
    <w:rsid w:val="0011536E"/>
    <w:rsid w:val="00115C55"/>
    <w:rsid w:val="00117441"/>
    <w:rsid w:val="0012069B"/>
    <w:rsid w:val="0012344C"/>
    <w:rsid w:val="001236E3"/>
    <w:rsid w:val="00125463"/>
    <w:rsid w:val="00126C1F"/>
    <w:rsid w:val="00132525"/>
    <w:rsid w:val="00132CC5"/>
    <w:rsid w:val="00132FE8"/>
    <w:rsid w:val="001330C1"/>
    <w:rsid w:val="00133A8F"/>
    <w:rsid w:val="001362A3"/>
    <w:rsid w:val="00140452"/>
    <w:rsid w:val="00140DA4"/>
    <w:rsid w:val="00141B72"/>
    <w:rsid w:val="00142F5D"/>
    <w:rsid w:val="00145CD1"/>
    <w:rsid w:val="001471E5"/>
    <w:rsid w:val="0015043C"/>
    <w:rsid w:val="0015181A"/>
    <w:rsid w:val="00151E27"/>
    <w:rsid w:val="00151F03"/>
    <w:rsid w:val="00153748"/>
    <w:rsid w:val="0015500E"/>
    <w:rsid w:val="00155D14"/>
    <w:rsid w:val="00155EE5"/>
    <w:rsid w:val="001561CD"/>
    <w:rsid w:val="00164759"/>
    <w:rsid w:val="00166BA6"/>
    <w:rsid w:val="00166E89"/>
    <w:rsid w:val="00167E24"/>
    <w:rsid w:val="00172632"/>
    <w:rsid w:val="00173DFF"/>
    <w:rsid w:val="001755EE"/>
    <w:rsid w:val="001765AE"/>
    <w:rsid w:val="0017686E"/>
    <w:rsid w:val="00176B84"/>
    <w:rsid w:val="00176C15"/>
    <w:rsid w:val="00177B26"/>
    <w:rsid w:val="00177F7B"/>
    <w:rsid w:val="001807C2"/>
    <w:rsid w:val="00181440"/>
    <w:rsid w:val="001829F9"/>
    <w:rsid w:val="001843BC"/>
    <w:rsid w:val="00184CCC"/>
    <w:rsid w:val="00185485"/>
    <w:rsid w:val="0018754F"/>
    <w:rsid w:val="00190D86"/>
    <w:rsid w:val="00191382"/>
    <w:rsid w:val="00191857"/>
    <w:rsid w:val="001926D6"/>
    <w:rsid w:val="00192797"/>
    <w:rsid w:val="00192D70"/>
    <w:rsid w:val="0019382D"/>
    <w:rsid w:val="00194744"/>
    <w:rsid w:val="00195C0D"/>
    <w:rsid w:val="0019660D"/>
    <w:rsid w:val="0019671A"/>
    <w:rsid w:val="00196E37"/>
    <w:rsid w:val="00197ACD"/>
    <w:rsid w:val="00197D83"/>
    <w:rsid w:val="00197D9B"/>
    <w:rsid w:val="001A208F"/>
    <w:rsid w:val="001A2801"/>
    <w:rsid w:val="001A642D"/>
    <w:rsid w:val="001A7B47"/>
    <w:rsid w:val="001B0B9D"/>
    <w:rsid w:val="001B1A7B"/>
    <w:rsid w:val="001B5737"/>
    <w:rsid w:val="001B6368"/>
    <w:rsid w:val="001B72B3"/>
    <w:rsid w:val="001C0134"/>
    <w:rsid w:val="001C06DA"/>
    <w:rsid w:val="001C263A"/>
    <w:rsid w:val="001C2ECD"/>
    <w:rsid w:val="001C3CFF"/>
    <w:rsid w:val="001C5E1B"/>
    <w:rsid w:val="001C7790"/>
    <w:rsid w:val="001C7DB6"/>
    <w:rsid w:val="001D0A58"/>
    <w:rsid w:val="001D135B"/>
    <w:rsid w:val="001D1548"/>
    <w:rsid w:val="001D23C5"/>
    <w:rsid w:val="001D3CD0"/>
    <w:rsid w:val="001D4324"/>
    <w:rsid w:val="001D4D1C"/>
    <w:rsid w:val="001D7685"/>
    <w:rsid w:val="001E13AB"/>
    <w:rsid w:val="001E2856"/>
    <w:rsid w:val="001E2E84"/>
    <w:rsid w:val="001E3036"/>
    <w:rsid w:val="001E3245"/>
    <w:rsid w:val="001E6C56"/>
    <w:rsid w:val="001E6FCE"/>
    <w:rsid w:val="001F007B"/>
    <w:rsid w:val="001F3282"/>
    <w:rsid w:val="001F38E9"/>
    <w:rsid w:val="001F627C"/>
    <w:rsid w:val="001F65B3"/>
    <w:rsid w:val="00203FE9"/>
    <w:rsid w:val="0020407F"/>
    <w:rsid w:val="002051BA"/>
    <w:rsid w:val="0020579F"/>
    <w:rsid w:val="00206E7C"/>
    <w:rsid w:val="00207F4B"/>
    <w:rsid w:val="002104B4"/>
    <w:rsid w:val="00210FA7"/>
    <w:rsid w:val="002115DB"/>
    <w:rsid w:val="002121CD"/>
    <w:rsid w:val="002125E4"/>
    <w:rsid w:val="002138C3"/>
    <w:rsid w:val="00216B51"/>
    <w:rsid w:val="002214EB"/>
    <w:rsid w:val="00225AAF"/>
    <w:rsid w:val="00227CC0"/>
    <w:rsid w:val="002308F9"/>
    <w:rsid w:val="00230B39"/>
    <w:rsid w:val="00231350"/>
    <w:rsid w:val="002326FA"/>
    <w:rsid w:val="00234F04"/>
    <w:rsid w:val="002357A0"/>
    <w:rsid w:val="0023604D"/>
    <w:rsid w:val="0023638D"/>
    <w:rsid w:val="002425FE"/>
    <w:rsid w:val="002435FC"/>
    <w:rsid w:val="00244D19"/>
    <w:rsid w:val="00245CB5"/>
    <w:rsid w:val="00250766"/>
    <w:rsid w:val="00251F70"/>
    <w:rsid w:val="002524BC"/>
    <w:rsid w:val="00253D21"/>
    <w:rsid w:val="00260119"/>
    <w:rsid w:val="00261431"/>
    <w:rsid w:val="00261F75"/>
    <w:rsid w:val="0026225E"/>
    <w:rsid w:val="002622E0"/>
    <w:rsid w:val="0026521B"/>
    <w:rsid w:val="002663F1"/>
    <w:rsid w:val="00266D31"/>
    <w:rsid w:val="00267829"/>
    <w:rsid w:val="00271D68"/>
    <w:rsid w:val="00271F40"/>
    <w:rsid w:val="002733CE"/>
    <w:rsid w:val="00276F62"/>
    <w:rsid w:val="002824D4"/>
    <w:rsid w:val="002828BC"/>
    <w:rsid w:val="00282901"/>
    <w:rsid w:val="00286D4D"/>
    <w:rsid w:val="00286FEA"/>
    <w:rsid w:val="00287B32"/>
    <w:rsid w:val="00287E57"/>
    <w:rsid w:val="00291429"/>
    <w:rsid w:val="00291703"/>
    <w:rsid w:val="00291D29"/>
    <w:rsid w:val="002940DC"/>
    <w:rsid w:val="00294963"/>
    <w:rsid w:val="00296AA2"/>
    <w:rsid w:val="00297FF8"/>
    <w:rsid w:val="002A1902"/>
    <w:rsid w:val="002A1D91"/>
    <w:rsid w:val="002A20EE"/>
    <w:rsid w:val="002A3B3F"/>
    <w:rsid w:val="002A57D8"/>
    <w:rsid w:val="002A60B6"/>
    <w:rsid w:val="002A6F49"/>
    <w:rsid w:val="002A762E"/>
    <w:rsid w:val="002A7C79"/>
    <w:rsid w:val="002B0124"/>
    <w:rsid w:val="002B01F4"/>
    <w:rsid w:val="002B060F"/>
    <w:rsid w:val="002B210A"/>
    <w:rsid w:val="002B59E2"/>
    <w:rsid w:val="002B5CA2"/>
    <w:rsid w:val="002B5D03"/>
    <w:rsid w:val="002B6E51"/>
    <w:rsid w:val="002C25C4"/>
    <w:rsid w:val="002C2AED"/>
    <w:rsid w:val="002C2FFE"/>
    <w:rsid w:val="002C3CFD"/>
    <w:rsid w:val="002C425D"/>
    <w:rsid w:val="002C5896"/>
    <w:rsid w:val="002C7E79"/>
    <w:rsid w:val="002D004C"/>
    <w:rsid w:val="002D0391"/>
    <w:rsid w:val="002D1100"/>
    <w:rsid w:val="002D225A"/>
    <w:rsid w:val="002D31AC"/>
    <w:rsid w:val="002D37DA"/>
    <w:rsid w:val="002D40CF"/>
    <w:rsid w:val="002D4851"/>
    <w:rsid w:val="002D76DA"/>
    <w:rsid w:val="002E2DCC"/>
    <w:rsid w:val="002E3318"/>
    <w:rsid w:val="002E36D2"/>
    <w:rsid w:val="002E4FC6"/>
    <w:rsid w:val="002E6488"/>
    <w:rsid w:val="002E7BCE"/>
    <w:rsid w:val="002F16DF"/>
    <w:rsid w:val="002F1E14"/>
    <w:rsid w:val="002F3C60"/>
    <w:rsid w:val="002F7A4F"/>
    <w:rsid w:val="003004DF"/>
    <w:rsid w:val="00301006"/>
    <w:rsid w:val="00302109"/>
    <w:rsid w:val="00302A80"/>
    <w:rsid w:val="00303342"/>
    <w:rsid w:val="00304612"/>
    <w:rsid w:val="00304F47"/>
    <w:rsid w:val="00305016"/>
    <w:rsid w:val="00305CDF"/>
    <w:rsid w:val="00306E55"/>
    <w:rsid w:val="00307304"/>
    <w:rsid w:val="0030798A"/>
    <w:rsid w:val="00307B18"/>
    <w:rsid w:val="00311B43"/>
    <w:rsid w:val="00311EB5"/>
    <w:rsid w:val="0031480D"/>
    <w:rsid w:val="00322219"/>
    <w:rsid w:val="0032391B"/>
    <w:rsid w:val="00326CBA"/>
    <w:rsid w:val="00326F4C"/>
    <w:rsid w:val="003318B9"/>
    <w:rsid w:val="00331C44"/>
    <w:rsid w:val="00334BED"/>
    <w:rsid w:val="00335905"/>
    <w:rsid w:val="00335E75"/>
    <w:rsid w:val="00340582"/>
    <w:rsid w:val="00340A3F"/>
    <w:rsid w:val="0034417E"/>
    <w:rsid w:val="003446E0"/>
    <w:rsid w:val="003457C0"/>
    <w:rsid w:val="00346B90"/>
    <w:rsid w:val="00347160"/>
    <w:rsid w:val="00350D3F"/>
    <w:rsid w:val="00353A2E"/>
    <w:rsid w:val="003570E6"/>
    <w:rsid w:val="0036027E"/>
    <w:rsid w:val="003602DB"/>
    <w:rsid w:val="003625AA"/>
    <w:rsid w:val="00365969"/>
    <w:rsid w:val="00365C1B"/>
    <w:rsid w:val="00365D3E"/>
    <w:rsid w:val="00365D3F"/>
    <w:rsid w:val="00366D00"/>
    <w:rsid w:val="0037018B"/>
    <w:rsid w:val="00370C12"/>
    <w:rsid w:val="00370F54"/>
    <w:rsid w:val="00372024"/>
    <w:rsid w:val="00374601"/>
    <w:rsid w:val="00374909"/>
    <w:rsid w:val="003817A0"/>
    <w:rsid w:val="003845B2"/>
    <w:rsid w:val="00385EB7"/>
    <w:rsid w:val="00391719"/>
    <w:rsid w:val="00391B5E"/>
    <w:rsid w:val="00392028"/>
    <w:rsid w:val="00392857"/>
    <w:rsid w:val="00393005"/>
    <w:rsid w:val="003957CB"/>
    <w:rsid w:val="003A1BB5"/>
    <w:rsid w:val="003A2E92"/>
    <w:rsid w:val="003A5A56"/>
    <w:rsid w:val="003A5D13"/>
    <w:rsid w:val="003A619B"/>
    <w:rsid w:val="003A6794"/>
    <w:rsid w:val="003B057F"/>
    <w:rsid w:val="003B0C22"/>
    <w:rsid w:val="003B1741"/>
    <w:rsid w:val="003B282D"/>
    <w:rsid w:val="003B2987"/>
    <w:rsid w:val="003B4F7E"/>
    <w:rsid w:val="003B5F2D"/>
    <w:rsid w:val="003B685F"/>
    <w:rsid w:val="003C0492"/>
    <w:rsid w:val="003C08C0"/>
    <w:rsid w:val="003C0918"/>
    <w:rsid w:val="003C6F33"/>
    <w:rsid w:val="003C789E"/>
    <w:rsid w:val="003C7D53"/>
    <w:rsid w:val="003D0B03"/>
    <w:rsid w:val="003D3100"/>
    <w:rsid w:val="003D323B"/>
    <w:rsid w:val="003D3B98"/>
    <w:rsid w:val="003D45C0"/>
    <w:rsid w:val="003D68E3"/>
    <w:rsid w:val="003D7DDC"/>
    <w:rsid w:val="003E0BB6"/>
    <w:rsid w:val="003E3F3C"/>
    <w:rsid w:val="003E46F5"/>
    <w:rsid w:val="003E538D"/>
    <w:rsid w:val="003E6270"/>
    <w:rsid w:val="003E64DF"/>
    <w:rsid w:val="003F1CA6"/>
    <w:rsid w:val="003F32D3"/>
    <w:rsid w:val="003F38E9"/>
    <w:rsid w:val="003F67F4"/>
    <w:rsid w:val="003F6F34"/>
    <w:rsid w:val="003F7B07"/>
    <w:rsid w:val="00402B9A"/>
    <w:rsid w:val="00403457"/>
    <w:rsid w:val="004034BF"/>
    <w:rsid w:val="004037D7"/>
    <w:rsid w:val="00404291"/>
    <w:rsid w:val="00405B1A"/>
    <w:rsid w:val="0040671D"/>
    <w:rsid w:val="00406BAB"/>
    <w:rsid w:val="00406C90"/>
    <w:rsid w:val="00407653"/>
    <w:rsid w:val="00407761"/>
    <w:rsid w:val="004079D8"/>
    <w:rsid w:val="00407C20"/>
    <w:rsid w:val="00412F33"/>
    <w:rsid w:val="004139AE"/>
    <w:rsid w:val="00415BB7"/>
    <w:rsid w:val="004164D1"/>
    <w:rsid w:val="004202FE"/>
    <w:rsid w:val="00420859"/>
    <w:rsid w:val="00421575"/>
    <w:rsid w:val="0043078A"/>
    <w:rsid w:val="00431204"/>
    <w:rsid w:val="00433535"/>
    <w:rsid w:val="00434FB2"/>
    <w:rsid w:val="00435430"/>
    <w:rsid w:val="0043603C"/>
    <w:rsid w:val="0043655D"/>
    <w:rsid w:val="004436B8"/>
    <w:rsid w:val="00446348"/>
    <w:rsid w:val="004464BF"/>
    <w:rsid w:val="004467A5"/>
    <w:rsid w:val="004469DC"/>
    <w:rsid w:val="00447B0F"/>
    <w:rsid w:val="0045087F"/>
    <w:rsid w:val="00451018"/>
    <w:rsid w:val="004516EE"/>
    <w:rsid w:val="00451ECA"/>
    <w:rsid w:val="00452662"/>
    <w:rsid w:val="00453993"/>
    <w:rsid w:val="00453F78"/>
    <w:rsid w:val="0045431A"/>
    <w:rsid w:val="00457A54"/>
    <w:rsid w:val="00457BDF"/>
    <w:rsid w:val="00457EDD"/>
    <w:rsid w:val="00460970"/>
    <w:rsid w:val="004614B4"/>
    <w:rsid w:val="0046228D"/>
    <w:rsid w:val="00463416"/>
    <w:rsid w:val="004667A7"/>
    <w:rsid w:val="00467BEF"/>
    <w:rsid w:val="0047101B"/>
    <w:rsid w:val="00471A32"/>
    <w:rsid w:val="00471C60"/>
    <w:rsid w:val="00472315"/>
    <w:rsid w:val="0047519D"/>
    <w:rsid w:val="00476BA7"/>
    <w:rsid w:val="00480F47"/>
    <w:rsid w:val="00481432"/>
    <w:rsid w:val="00482B95"/>
    <w:rsid w:val="00482C45"/>
    <w:rsid w:val="00483540"/>
    <w:rsid w:val="00484EF0"/>
    <w:rsid w:val="004850CB"/>
    <w:rsid w:val="00485456"/>
    <w:rsid w:val="00486931"/>
    <w:rsid w:val="00492CB8"/>
    <w:rsid w:val="004933CF"/>
    <w:rsid w:val="004968FB"/>
    <w:rsid w:val="00497D00"/>
    <w:rsid w:val="004A467F"/>
    <w:rsid w:val="004A60D1"/>
    <w:rsid w:val="004A7A24"/>
    <w:rsid w:val="004B1949"/>
    <w:rsid w:val="004B1E25"/>
    <w:rsid w:val="004B3D2A"/>
    <w:rsid w:val="004B63C3"/>
    <w:rsid w:val="004B75B1"/>
    <w:rsid w:val="004C3C3A"/>
    <w:rsid w:val="004C66AB"/>
    <w:rsid w:val="004C7DD9"/>
    <w:rsid w:val="004D164F"/>
    <w:rsid w:val="004D2886"/>
    <w:rsid w:val="004D6C3C"/>
    <w:rsid w:val="004D77CD"/>
    <w:rsid w:val="004D7859"/>
    <w:rsid w:val="004E0C26"/>
    <w:rsid w:val="004E1C9D"/>
    <w:rsid w:val="004E20E4"/>
    <w:rsid w:val="004E2477"/>
    <w:rsid w:val="004E2560"/>
    <w:rsid w:val="004F115B"/>
    <w:rsid w:val="004F2446"/>
    <w:rsid w:val="004F2C26"/>
    <w:rsid w:val="004F4E47"/>
    <w:rsid w:val="004F6C01"/>
    <w:rsid w:val="004F792C"/>
    <w:rsid w:val="004F79DC"/>
    <w:rsid w:val="004F7A1F"/>
    <w:rsid w:val="004F7B7A"/>
    <w:rsid w:val="005019F7"/>
    <w:rsid w:val="00503DD1"/>
    <w:rsid w:val="00504337"/>
    <w:rsid w:val="00504707"/>
    <w:rsid w:val="005051AA"/>
    <w:rsid w:val="00505F81"/>
    <w:rsid w:val="00506AC1"/>
    <w:rsid w:val="00510ABA"/>
    <w:rsid w:val="00510AF4"/>
    <w:rsid w:val="00511879"/>
    <w:rsid w:val="00511D4A"/>
    <w:rsid w:val="00514902"/>
    <w:rsid w:val="00517D72"/>
    <w:rsid w:val="00520090"/>
    <w:rsid w:val="00521574"/>
    <w:rsid w:val="0052297F"/>
    <w:rsid w:val="005245AF"/>
    <w:rsid w:val="005261BA"/>
    <w:rsid w:val="00526B53"/>
    <w:rsid w:val="00526ED3"/>
    <w:rsid w:val="00527625"/>
    <w:rsid w:val="0053031D"/>
    <w:rsid w:val="005308A6"/>
    <w:rsid w:val="00530B2F"/>
    <w:rsid w:val="0053224F"/>
    <w:rsid w:val="0053287A"/>
    <w:rsid w:val="00532ED5"/>
    <w:rsid w:val="0053337C"/>
    <w:rsid w:val="0053481D"/>
    <w:rsid w:val="00536655"/>
    <w:rsid w:val="005368A0"/>
    <w:rsid w:val="00537E86"/>
    <w:rsid w:val="005406EB"/>
    <w:rsid w:val="005407EB"/>
    <w:rsid w:val="00542705"/>
    <w:rsid w:val="00542EBC"/>
    <w:rsid w:val="00542F1E"/>
    <w:rsid w:val="00546B70"/>
    <w:rsid w:val="00547D71"/>
    <w:rsid w:val="005513E1"/>
    <w:rsid w:val="0055148A"/>
    <w:rsid w:val="005524C2"/>
    <w:rsid w:val="0055448A"/>
    <w:rsid w:val="00555065"/>
    <w:rsid w:val="005578AA"/>
    <w:rsid w:val="00560C81"/>
    <w:rsid w:val="005612E9"/>
    <w:rsid w:val="00561D9A"/>
    <w:rsid w:val="00563BD3"/>
    <w:rsid w:val="00563FD5"/>
    <w:rsid w:val="00564C39"/>
    <w:rsid w:val="00567A28"/>
    <w:rsid w:val="00570018"/>
    <w:rsid w:val="0057097C"/>
    <w:rsid w:val="00572914"/>
    <w:rsid w:val="005729BF"/>
    <w:rsid w:val="00572F21"/>
    <w:rsid w:val="00573703"/>
    <w:rsid w:val="00576984"/>
    <w:rsid w:val="00576DBF"/>
    <w:rsid w:val="00577C96"/>
    <w:rsid w:val="00580AF5"/>
    <w:rsid w:val="00580EB4"/>
    <w:rsid w:val="00582546"/>
    <w:rsid w:val="00582730"/>
    <w:rsid w:val="00582EC4"/>
    <w:rsid w:val="00582EDB"/>
    <w:rsid w:val="005831DC"/>
    <w:rsid w:val="00583CD6"/>
    <w:rsid w:val="005841C0"/>
    <w:rsid w:val="00584575"/>
    <w:rsid w:val="005848C7"/>
    <w:rsid w:val="0058527B"/>
    <w:rsid w:val="0058791E"/>
    <w:rsid w:val="00587BF1"/>
    <w:rsid w:val="00591106"/>
    <w:rsid w:val="00592629"/>
    <w:rsid w:val="0059473E"/>
    <w:rsid w:val="00595BBD"/>
    <w:rsid w:val="00596FB6"/>
    <w:rsid w:val="005A1FE1"/>
    <w:rsid w:val="005A2114"/>
    <w:rsid w:val="005A24C6"/>
    <w:rsid w:val="005A2D5B"/>
    <w:rsid w:val="005A2F7F"/>
    <w:rsid w:val="005A3EBA"/>
    <w:rsid w:val="005A5D59"/>
    <w:rsid w:val="005A627B"/>
    <w:rsid w:val="005B086E"/>
    <w:rsid w:val="005B106C"/>
    <w:rsid w:val="005B33A4"/>
    <w:rsid w:val="005B4528"/>
    <w:rsid w:val="005B54D9"/>
    <w:rsid w:val="005B6578"/>
    <w:rsid w:val="005B675D"/>
    <w:rsid w:val="005B6E0D"/>
    <w:rsid w:val="005B7185"/>
    <w:rsid w:val="005B78F1"/>
    <w:rsid w:val="005C0AFA"/>
    <w:rsid w:val="005C2692"/>
    <w:rsid w:val="005C31BE"/>
    <w:rsid w:val="005C3A3A"/>
    <w:rsid w:val="005C53FD"/>
    <w:rsid w:val="005D0128"/>
    <w:rsid w:val="005D149F"/>
    <w:rsid w:val="005D18E7"/>
    <w:rsid w:val="005D6CBA"/>
    <w:rsid w:val="005D70D6"/>
    <w:rsid w:val="005E0887"/>
    <w:rsid w:val="005E2191"/>
    <w:rsid w:val="005E2883"/>
    <w:rsid w:val="005E7EBC"/>
    <w:rsid w:val="005F0617"/>
    <w:rsid w:val="005F0C1C"/>
    <w:rsid w:val="005F10B0"/>
    <w:rsid w:val="005F24E1"/>
    <w:rsid w:val="005F2A0F"/>
    <w:rsid w:val="005F31A2"/>
    <w:rsid w:val="005F557F"/>
    <w:rsid w:val="005F6798"/>
    <w:rsid w:val="005F68A1"/>
    <w:rsid w:val="005F6B08"/>
    <w:rsid w:val="005F7D92"/>
    <w:rsid w:val="006024DE"/>
    <w:rsid w:val="00602608"/>
    <w:rsid w:val="006033E5"/>
    <w:rsid w:val="006049BB"/>
    <w:rsid w:val="006051A2"/>
    <w:rsid w:val="00605AAB"/>
    <w:rsid w:val="00607377"/>
    <w:rsid w:val="006104B4"/>
    <w:rsid w:val="00612E0E"/>
    <w:rsid w:val="006131FC"/>
    <w:rsid w:val="006134C7"/>
    <w:rsid w:val="0061373B"/>
    <w:rsid w:val="006145A4"/>
    <w:rsid w:val="00620F98"/>
    <w:rsid w:val="0062272F"/>
    <w:rsid w:val="006229D1"/>
    <w:rsid w:val="006262C8"/>
    <w:rsid w:val="00630D63"/>
    <w:rsid w:val="006315BE"/>
    <w:rsid w:val="00632384"/>
    <w:rsid w:val="00633093"/>
    <w:rsid w:val="00635253"/>
    <w:rsid w:val="00635D8D"/>
    <w:rsid w:val="00640B79"/>
    <w:rsid w:val="00641B2F"/>
    <w:rsid w:val="00643C60"/>
    <w:rsid w:val="0064460E"/>
    <w:rsid w:val="00645566"/>
    <w:rsid w:val="0064657A"/>
    <w:rsid w:val="006475C8"/>
    <w:rsid w:val="00647B40"/>
    <w:rsid w:val="006509A0"/>
    <w:rsid w:val="00650A6D"/>
    <w:rsid w:val="00650FDC"/>
    <w:rsid w:val="00651C8B"/>
    <w:rsid w:val="00651D4B"/>
    <w:rsid w:val="006522BD"/>
    <w:rsid w:val="006528A4"/>
    <w:rsid w:val="006547D6"/>
    <w:rsid w:val="00656791"/>
    <w:rsid w:val="006602F7"/>
    <w:rsid w:val="0066103D"/>
    <w:rsid w:val="006615D1"/>
    <w:rsid w:val="00662396"/>
    <w:rsid w:val="00662C44"/>
    <w:rsid w:val="00662C84"/>
    <w:rsid w:val="006643A9"/>
    <w:rsid w:val="006643AC"/>
    <w:rsid w:val="0066505B"/>
    <w:rsid w:val="00666622"/>
    <w:rsid w:val="006714D8"/>
    <w:rsid w:val="006726CA"/>
    <w:rsid w:val="00672F1A"/>
    <w:rsid w:val="006730C6"/>
    <w:rsid w:val="006754C5"/>
    <w:rsid w:val="0067763C"/>
    <w:rsid w:val="006800A9"/>
    <w:rsid w:val="006805E7"/>
    <w:rsid w:val="00681D5E"/>
    <w:rsid w:val="00682C39"/>
    <w:rsid w:val="00683058"/>
    <w:rsid w:val="00684DBA"/>
    <w:rsid w:val="0068583C"/>
    <w:rsid w:val="0069143F"/>
    <w:rsid w:val="006917F5"/>
    <w:rsid w:val="00693362"/>
    <w:rsid w:val="0069593E"/>
    <w:rsid w:val="00695E23"/>
    <w:rsid w:val="00697470"/>
    <w:rsid w:val="006A2A00"/>
    <w:rsid w:val="006A2FA9"/>
    <w:rsid w:val="006A3653"/>
    <w:rsid w:val="006A3DAC"/>
    <w:rsid w:val="006B103E"/>
    <w:rsid w:val="006B29A4"/>
    <w:rsid w:val="006B3DA2"/>
    <w:rsid w:val="006B48DC"/>
    <w:rsid w:val="006B570D"/>
    <w:rsid w:val="006B5DF3"/>
    <w:rsid w:val="006B61BF"/>
    <w:rsid w:val="006B682B"/>
    <w:rsid w:val="006B723C"/>
    <w:rsid w:val="006C32E1"/>
    <w:rsid w:val="006C491B"/>
    <w:rsid w:val="006C7224"/>
    <w:rsid w:val="006D17FF"/>
    <w:rsid w:val="006D337B"/>
    <w:rsid w:val="006D3745"/>
    <w:rsid w:val="006D7885"/>
    <w:rsid w:val="006D7A75"/>
    <w:rsid w:val="006E07E7"/>
    <w:rsid w:val="006E0FB3"/>
    <w:rsid w:val="006E18B4"/>
    <w:rsid w:val="006E2F5B"/>
    <w:rsid w:val="006E57BD"/>
    <w:rsid w:val="006E60EA"/>
    <w:rsid w:val="006E6670"/>
    <w:rsid w:val="006F0EFF"/>
    <w:rsid w:val="006F1685"/>
    <w:rsid w:val="006F1BFC"/>
    <w:rsid w:val="006F2038"/>
    <w:rsid w:val="006F33F9"/>
    <w:rsid w:val="006F3551"/>
    <w:rsid w:val="006F3592"/>
    <w:rsid w:val="006F35C3"/>
    <w:rsid w:val="006F4ECD"/>
    <w:rsid w:val="006F546F"/>
    <w:rsid w:val="006F61AF"/>
    <w:rsid w:val="006F633D"/>
    <w:rsid w:val="006F65FC"/>
    <w:rsid w:val="006F6A8F"/>
    <w:rsid w:val="00700390"/>
    <w:rsid w:val="00703289"/>
    <w:rsid w:val="00703566"/>
    <w:rsid w:val="00705D7D"/>
    <w:rsid w:val="00705F93"/>
    <w:rsid w:val="00707CA6"/>
    <w:rsid w:val="00707F23"/>
    <w:rsid w:val="007106E5"/>
    <w:rsid w:val="00710B46"/>
    <w:rsid w:val="00711DBD"/>
    <w:rsid w:val="0071237A"/>
    <w:rsid w:val="00712488"/>
    <w:rsid w:val="007124FC"/>
    <w:rsid w:val="00712D5E"/>
    <w:rsid w:val="00715F2C"/>
    <w:rsid w:val="007202BA"/>
    <w:rsid w:val="00721235"/>
    <w:rsid w:val="00721CFC"/>
    <w:rsid w:val="00721FA9"/>
    <w:rsid w:val="007229F3"/>
    <w:rsid w:val="00725ECC"/>
    <w:rsid w:val="00730863"/>
    <w:rsid w:val="0073255E"/>
    <w:rsid w:val="00732BB7"/>
    <w:rsid w:val="00734053"/>
    <w:rsid w:val="0073421E"/>
    <w:rsid w:val="00735876"/>
    <w:rsid w:val="00735AF7"/>
    <w:rsid w:val="00736A65"/>
    <w:rsid w:val="00737143"/>
    <w:rsid w:val="00737E32"/>
    <w:rsid w:val="007420CD"/>
    <w:rsid w:val="007443AD"/>
    <w:rsid w:val="00744D62"/>
    <w:rsid w:val="007453AA"/>
    <w:rsid w:val="007458E4"/>
    <w:rsid w:val="00746504"/>
    <w:rsid w:val="00747075"/>
    <w:rsid w:val="00747775"/>
    <w:rsid w:val="00747FF6"/>
    <w:rsid w:val="0075033F"/>
    <w:rsid w:val="00750915"/>
    <w:rsid w:val="00754EB9"/>
    <w:rsid w:val="007551FC"/>
    <w:rsid w:val="00756DBE"/>
    <w:rsid w:val="00756F84"/>
    <w:rsid w:val="00757B1B"/>
    <w:rsid w:val="00757BCF"/>
    <w:rsid w:val="0076226A"/>
    <w:rsid w:val="00762D57"/>
    <w:rsid w:val="00763126"/>
    <w:rsid w:val="0076494A"/>
    <w:rsid w:val="0076541A"/>
    <w:rsid w:val="007662D8"/>
    <w:rsid w:val="00766993"/>
    <w:rsid w:val="007722C6"/>
    <w:rsid w:val="007727A2"/>
    <w:rsid w:val="00773029"/>
    <w:rsid w:val="0077531E"/>
    <w:rsid w:val="00777123"/>
    <w:rsid w:val="0077730E"/>
    <w:rsid w:val="007773FA"/>
    <w:rsid w:val="0077794A"/>
    <w:rsid w:val="00780041"/>
    <w:rsid w:val="00780080"/>
    <w:rsid w:val="007823DC"/>
    <w:rsid w:val="0078262D"/>
    <w:rsid w:val="00785439"/>
    <w:rsid w:val="007856AE"/>
    <w:rsid w:val="00786F6D"/>
    <w:rsid w:val="007876E6"/>
    <w:rsid w:val="00787AED"/>
    <w:rsid w:val="00787B20"/>
    <w:rsid w:val="00787DE7"/>
    <w:rsid w:val="00787F18"/>
    <w:rsid w:val="00790952"/>
    <w:rsid w:val="007910DA"/>
    <w:rsid w:val="00792164"/>
    <w:rsid w:val="007957ED"/>
    <w:rsid w:val="00795ED5"/>
    <w:rsid w:val="007A178C"/>
    <w:rsid w:val="007A25CB"/>
    <w:rsid w:val="007A467D"/>
    <w:rsid w:val="007A5194"/>
    <w:rsid w:val="007A6B7A"/>
    <w:rsid w:val="007A7609"/>
    <w:rsid w:val="007B261E"/>
    <w:rsid w:val="007B50E4"/>
    <w:rsid w:val="007B5390"/>
    <w:rsid w:val="007B748F"/>
    <w:rsid w:val="007B7A07"/>
    <w:rsid w:val="007C3E6A"/>
    <w:rsid w:val="007C4208"/>
    <w:rsid w:val="007C5CF6"/>
    <w:rsid w:val="007C6B00"/>
    <w:rsid w:val="007C7BB8"/>
    <w:rsid w:val="007D4269"/>
    <w:rsid w:val="007D4DF9"/>
    <w:rsid w:val="007D7923"/>
    <w:rsid w:val="007D7CB0"/>
    <w:rsid w:val="007E0201"/>
    <w:rsid w:val="007E07D4"/>
    <w:rsid w:val="007E0B64"/>
    <w:rsid w:val="007E10DD"/>
    <w:rsid w:val="007E407E"/>
    <w:rsid w:val="007E445A"/>
    <w:rsid w:val="007E5E5E"/>
    <w:rsid w:val="007F1140"/>
    <w:rsid w:val="007F2658"/>
    <w:rsid w:val="007F2D28"/>
    <w:rsid w:val="007F5A4D"/>
    <w:rsid w:val="007F5EAF"/>
    <w:rsid w:val="007F7262"/>
    <w:rsid w:val="00800DAB"/>
    <w:rsid w:val="00801D78"/>
    <w:rsid w:val="0080235F"/>
    <w:rsid w:val="00803623"/>
    <w:rsid w:val="00804D72"/>
    <w:rsid w:val="00805C8A"/>
    <w:rsid w:val="00806429"/>
    <w:rsid w:val="0080718D"/>
    <w:rsid w:val="00807B9C"/>
    <w:rsid w:val="00807F77"/>
    <w:rsid w:val="008103E2"/>
    <w:rsid w:val="00812157"/>
    <w:rsid w:val="00812A33"/>
    <w:rsid w:val="00813B36"/>
    <w:rsid w:val="008140C0"/>
    <w:rsid w:val="00815776"/>
    <w:rsid w:val="0081578B"/>
    <w:rsid w:val="00816232"/>
    <w:rsid w:val="00816DBD"/>
    <w:rsid w:val="008175E7"/>
    <w:rsid w:val="00822460"/>
    <w:rsid w:val="00822AEB"/>
    <w:rsid w:val="00822C1C"/>
    <w:rsid w:val="008264B5"/>
    <w:rsid w:val="00827E9A"/>
    <w:rsid w:val="00831B4E"/>
    <w:rsid w:val="00835BA4"/>
    <w:rsid w:val="00835C8A"/>
    <w:rsid w:val="008413BC"/>
    <w:rsid w:val="00844297"/>
    <w:rsid w:val="0084443D"/>
    <w:rsid w:val="008450D8"/>
    <w:rsid w:val="00845C62"/>
    <w:rsid w:val="00846BA5"/>
    <w:rsid w:val="00847CDF"/>
    <w:rsid w:val="00847F4C"/>
    <w:rsid w:val="008500D7"/>
    <w:rsid w:val="00852700"/>
    <w:rsid w:val="00853750"/>
    <w:rsid w:val="00853FC4"/>
    <w:rsid w:val="008546FE"/>
    <w:rsid w:val="00854BFA"/>
    <w:rsid w:val="00855605"/>
    <w:rsid w:val="00857EA7"/>
    <w:rsid w:val="00865189"/>
    <w:rsid w:val="008653E2"/>
    <w:rsid w:val="0087469A"/>
    <w:rsid w:val="0087486E"/>
    <w:rsid w:val="00875067"/>
    <w:rsid w:val="00876899"/>
    <w:rsid w:val="00876E7F"/>
    <w:rsid w:val="00880896"/>
    <w:rsid w:val="00880EA5"/>
    <w:rsid w:val="008857CA"/>
    <w:rsid w:val="008858CC"/>
    <w:rsid w:val="0088634A"/>
    <w:rsid w:val="00886D04"/>
    <w:rsid w:val="00890877"/>
    <w:rsid w:val="00890DB8"/>
    <w:rsid w:val="00892F58"/>
    <w:rsid w:val="00893D70"/>
    <w:rsid w:val="00894A84"/>
    <w:rsid w:val="0089610A"/>
    <w:rsid w:val="00897135"/>
    <w:rsid w:val="008A19A5"/>
    <w:rsid w:val="008A48CB"/>
    <w:rsid w:val="008A51DA"/>
    <w:rsid w:val="008A5F9D"/>
    <w:rsid w:val="008B2940"/>
    <w:rsid w:val="008B4852"/>
    <w:rsid w:val="008B66AC"/>
    <w:rsid w:val="008B6F84"/>
    <w:rsid w:val="008C00F1"/>
    <w:rsid w:val="008C0A39"/>
    <w:rsid w:val="008C1ABF"/>
    <w:rsid w:val="008C5637"/>
    <w:rsid w:val="008C5850"/>
    <w:rsid w:val="008C6F59"/>
    <w:rsid w:val="008C70C3"/>
    <w:rsid w:val="008D2A32"/>
    <w:rsid w:val="008D339D"/>
    <w:rsid w:val="008D4836"/>
    <w:rsid w:val="008D6BA4"/>
    <w:rsid w:val="008E0E20"/>
    <w:rsid w:val="008E2711"/>
    <w:rsid w:val="008E58D3"/>
    <w:rsid w:val="008F3EC2"/>
    <w:rsid w:val="008F5EF6"/>
    <w:rsid w:val="008F6F9B"/>
    <w:rsid w:val="008F7502"/>
    <w:rsid w:val="008F7E4D"/>
    <w:rsid w:val="008F7F39"/>
    <w:rsid w:val="0090122D"/>
    <w:rsid w:val="00901771"/>
    <w:rsid w:val="0090256F"/>
    <w:rsid w:val="009026BD"/>
    <w:rsid w:val="00902D9D"/>
    <w:rsid w:val="00903C3C"/>
    <w:rsid w:val="00904274"/>
    <w:rsid w:val="009048DA"/>
    <w:rsid w:val="00905E09"/>
    <w:rsid w:val="00907551"/>
    <w:rsid w:val="00910574"/>
    <w:rsid w:val="00911032"/>
    <w:rsid w:val="00913680"/>
    <w:rsid w:val="009139D3"/>
    <w:rsid w:val="009142CA"/>
    <w:rsid w:val="0091695B"/>
    <w:rsid w:val="00916CA1"/>
    <w:rsid w:val="00917D8F"/>
    <w:rsid w:val="00920178"/>
    <w:rsid w:val="0092104F"/>
    <w:rsid w:val="00923334"/>
    <w:rsid w:val="00925D70"/>
    <w:rsid w:val="00927861"/>
    <w:rsid w:val="00931978"/>
    <w:rsid w:val="009400CD"/>
    <w:rsid w:val="00942412"/>
    <w:rsid w:val="0094337B"/>
    <w:rsid w:val="00943547"/>
    <w:rsid w:val="00943E3B"/>
    <w:rsid w:val="00943EC2"/>
    <w:rsid w:val="00944465"/>
    <w:rsid w:val="00946433"/>
    <w:rsid w:val="0095123C"/>
    <w:rsid w:val="009513BA"/>
    <w:rsid w:val="00951665"/>
    <w:rsid w:val="00952B40"/>
    <w:rsid w:val="009533FA"/>
    <w:rsid w:val="00953460"/>
    <w:rsid w:val="009552A3"/>
    <w:rsid w:val="009555BF"/>
    <w:rsid w:val="00961B72"/>
    <w:rsid w:val="00961C52"/>
    <w:rsid w:val="00961DFF"/>
    <w:rsid w:val="00962E66"/>
    <w:rsid w:val="00963F41"/>
    <w:rsid w:val="00963FE1"/>
    <w:rsid w:val="009708E3"/>
    <w:rsid w:val="009716A8"/>
    <w:rsid w:val="00971E0D"/>
    <w:rsid w:val="009730E4"/>
    <w:rsid w:val="00973914"/>
    <w:rsid w:val="00973EF7"/>
    <w:rsid w:val="00975610"/>
    <w:rsid w:val="00977365"/>
    <w:rsid w:val="00977FBD"/>
    <w:rsid w:val="009804EC"/>
    <w:rsid w:val="009805E6"/>
    <w:rsid w:val="0098101A"/>
    <w:rsid w:val="009810F3"/>
    <w:rsid w:val="00982FA5"/>
    <w:rsid w:val="00983E48"/>
    <w:rsid w:val="00985156"/>
    <w:rsid w:val="00986A29"/>
    <w:rsid w:val="009871C0"/>
    <w:rsid w:val="00990623"/>
    <w:rsid w:val="0099106B"/>
    <w:rsid w:val="00991BB4"/>
    <w:rsid w:val="00993306"/>
    <w:rsid w:val="00994B81"/>
    <w:rsid w:val="009955B0"/>
    <w:rsid w:val="009967E5"/>
    <w:rsid w:val="009967FD"/>
    <w:rsid w:val="00996CA3"/>
    <w:rsid w:val="009971F0"/>
    <w:rsid w:val="00997622"/>
    <w:rsid w:val="009A0004"/>
    <w:rsid w:val="009A1586"/>
    <w:rsid w:val="009A23FA"/>
    <w:rsid w:val="009A2CF7"/>
    <w:rsid w:val="009A30BF"/>
    <w:rsid w:val="009A48F9"/>
    <w:rsid w:val="009A7F90"/>
    <w:rsid w:val="009B071B"/>
    <w:rsid w:val="009B1F40"/>
    <w:rsid w:val="009B349B"/>
    <w:rsid w:val="009B3AB2"/>
    <w:rsid w:val="009B7AFA"/>
    <w:rsid w:val="009C1A50"/>
    <w:rsid w:val="009C23E2"/>
    <w:rsid w:val="009C38B1"/>
    <w:rsid w:val="009C45F4"/>
    <w:rsid w:val="009C4B5D"/>
    <w:rsid w:val="009C52EA"/>
    <w:rsid w:val="009C590A"/>
    <w:rsid w:val="009C705E"/>
    <w:rsid w:val="009C7AB2"/>
    <w:rsid w:val="009D024D"/>
    <w:rsid w:val="009D050D"/>
    <w:rsid w:val="009D29B2"/>
    <w:rsid w:val="009D6BB2"/>
    <w:rsid w:val="009D76B3"/>
    <w:rsid w:val="009D7D98"/>
    <w:rsid w:val="009E0966"/>
    <w:rsid w:val="009E3990"/>
    <w:rsid w:val="009E39D2"/>
    <w:rsid w:val="009E4F7D"/>
    <w:rsid w:val="009E7119"/>
    <w:rsid w:val="009E7B11"/>
    <w:rsid w:val="009F00E5"/>
    <w:rsid w:val="009F1B89"/>
    <w:rsid w:val="009F2782"/>
    <w:rsid w:val="00A022DE"/>
    <w:rsid w:val="00A023AA"/>
    <w:rsid w:val="00A03D96"/>
    <w:rsid w:val="00A03FCE"/>
    <w:rsid w:val="00A048D1"/>
    <w:rsid w:val="00A05164"/>
    <w:rsid w:val="00A05401"/>
    <w:rsid w:val="00A06ED1"/>
    <w:rsid w:val="00A10B0B"/>
    <w:rsid w:val="00A126C2"/>
    <w:rsid w:val="00A12813"/>
    <w:rsid w:val="00A13421"/>
    <w:rsid w:val="00A15564"/>
    <w:rsid w:val="00A1564A"/>
    <w:rsid w:val="00A15FA5"/>
    <w:rsid w:val="00A170EA"/>
    <w:rsid w:val="00A17E97"/>
    <w:rsid w:val="00A204E4"/>
    <w:rsid w:val="00A24CC1"/>
    <w:rsid w:val="00A27B7A"/>
    <w:rsid w:val="00A27C15"/>
    <w:rsid w:val="00A30612"/>
    <w:rsid w:val="00A30FD7"/>
    <w:rsid w:val="00A3218B"/>
    <w:rsid w:val="00A332FE"/>
    <w:rsid w:val="00A338EA"/>
    <w:rsid w:val="00A36A26"/>
    <w:rsid w:val="00A36C1C"/>
    <w:rsid w:val="00A374CE"/>
    <w:rsid w:val="00A37F47"/>
    <w:rsid w:val="00A4030E"/>
    <w:rsid w:val="00A41018"/>
    <w:rsid w:val="00A418E1"/>
    <w:rsid w:val="00A43EBB"/>
    <w:rsid w:val="00A448B8"/>
    <w:rsid w:val="00A44A86"/>
    <w:rsid w:val="00A45BB6"/>
    <w:rsid w:val="00A46C87"/>
    <w:rsid w:val="00A46E22"/>
    <w:rsid w:val="00A47197"/>
    <w:rsid w:val="00A472C8"/>
    <w:rsid w:val="00A51823"/>
    <w:rsid w:val="00A521A3"/>
    <w:rsid w:val="00A5362B"/>
    <w:rsid w:val="00A53B1D"/>
    <w:rsid w:val="00A53F7C"/>
    <w:rsid w:val="00A54C54"/>
    <w:rsid w:val="00A561E1"/>
    <w:rsid w:val="00A5668C"/>
    <w:rsid w:val="00A56AF4"/>
    <w:rsid w:val="00A61061"/>
    <w:rsid w:val="00A61582"/>
    <w:rsid w:val="00A61601"/>
    <w:rsid w:val="00A618D2"/>
    <w:rsid w:val="00A62226"/>
    <w:rsid w:val="00A627F3"/>
    <w:rsid w:val="00A6604D"/>
    <w:rsid w:val="00A6675E"/>
    <w:rsid w:val="00A674F9"/>
    <w:rsid w:val="00A676D0"/>
    <w:rsid w:val="00A67F09"/>
    <w:rsid w:val="00A70A8B"/>
    <w:rsid w:val="00A71670"/>
    <w:rsid w:val="00A7325A"/>
    <w:rsid w:val="00A745C1"/>
    <w:rsid w:val="00A751F9"/>
    <w:rsid w:val="00A763AB"/>
    <w:rsid w:val="00A77597"/>
    <w:rsid w:val="00A77998"/>
    <w:rsid w:val="00A77C7A"/>
    <w:rsid w:val="00A802E9"/>
    <w:rsid w:val="00A80A3A"/>
    <w:rsid w:val="00A820F3"/>
    <w:rsid w:val="00A82314"/>
    <w:rsid w:val="00A8395E"/>
    <w:rsid w:val="00A83B83"/>
    <w:rsid w:val="00A8433E"/>
    <w:rsid w:val="00A87479"/>
    <w:rsid w:val="00A90053"/>
    <w:rsid w:val="00A956BD"/>
    <w:rsid w:val="00A965FE"/>
    <w:rsid w:val="00A96B0B"/>
    <w:rsid w:val="00A9719A"/>
    <w:rsid w:val="00A97A01"/>
    <w:rsid w:val="00A97FAF"/>
    <w:rsid w:val="00AA15EB"/>
    <w:rsid w:val="00AA1D90"/>
    <w:rsid w:val="00AA2B62"/>
    <w:rsid w:val="00AA3440"/>
    <w:rsid w:val="00AA35B5"/>
    <w:rsid w:val="00AA3A95"/>
    <w:rsid w:val="00AA4308"/>
    <w:rsid w:val="00AA4A79"/>
    <w:rsid w:val="00AA72EB"/>
    <w:rsid w:val="00AA7912"/>
    <w:rsid w:val="00AB06B8"/>
    <w:rsid w:val="00AB0889"/>
    <w:rsid w:val="00AB11DD"/>
    <w:rsid w:val="00AB5D9C"/>
    <w:rsid w:val="00AB5DEE"/>
    <w:rsid w:val="00AB607D"/>
    <w:rsid w:val="00AB730B"/>
    <w:rsid w:val="00AB7583"/>
    <w:rsid w:val="00AC0B3C"/>
    <w:rsid w:val="00AC1E44"/>
    <w:rsid w:val="00AC1F64"/>
    <w:rsid w:val="00AC25C9"/>
    <w:rsid w:val="00AC29DC"/>
    <w:rsid w:val="00AC3208"/>
    <w:rsid w:val="00AC326B"/>
    <w:rsid w:val="00AC3F28"/>
    <w:rsid w:val="00AC41E5"/>
    <w:rsid w:val="00AC469D"/>
    <w:rsid w:val="00AC4C99"/>
    <w:rsid w:val="00AC50E4"/>
    <w:rsid w:val="00AC6830"/>
    <w:rsid w:val="00AC7FCB"/>
    <w:rsid w:val="00AD113E"/>
    <w:rsid w:val="00AD31D7"/>
    <w:rsid w:val="00AD6F9A"/>
    <w:rsid w:val="00AD7BC4"/>
    <w:rsid w:val="00AE0F7D"/>
    <w:rsid w:val="00AE198F"/>
    <w:rsid w:val="00AE1B83"/>
    <w:rsid w:val="00AE1D1F"/>
    <w:rsid w:val="00AF0058"/>
    <w:rsid w:val="00AF0E08"/>
    <w:rsid w:val="00AF0FCD"/>
    <w:rsid w:val="00AF10D9"/>
    <w:rsid w:val="00AF1A29"/>
    <w:rsid w:val="00AF25DD"/>
    <w:rsid w:val="00AF2B71"/>
    <w:rsid w:val="00AF38E9"/>
    <w:rsid w:val="00B00D0C"/>
    <w:rsid w:val="00B00EEF"/>
    <w:rsid w:val="00B013CD"/>
    <w:rsid w:val="00B01F1E"/>
    <w:rsid w:val="00B04DEF"/>
    <w:rsid w:val="00B05E6E"/>
    <w:rsid w:val="00B106BF"/>
    <w:rsid w:val="00B11AAC"/>
    <w:rsid w:val="00B12226"/>
    <w:rsid w:val="00B13539"/>
    <w:rsid w:val="00B14D84"/>
    <w:rsid w:val="00B14F99"/>
    <w:rsid w:val="00B17DDA"/>
    <w:rsid w:val="00B21ACB"/>
    <w:rsid w:val="00B25759"/>
    <w:rsid w:val="00B2692E"/>
    <w:rsid w:val="00B26D7A"/>
    <w:rsid w:val="00B2790B"/>
    <w:rsid w:val="00B27E1E"/>
    <w:rsid w:val="00B31291"/>
    <w:rsid w:val="00B325CF"/>
    <w:rsid w:val="00B331C8"/>
    <w:rsid w:val="00B3324B"/>
    <w:rsid w:val="00B34C2B"/>
    <w:rsid w:val="00B35D11"/>
    <w:rsid w:val="00B36B49"/>
    <w:rsid w:val="00B40CCB"/>
    <w:rsid w:val="00B42FFC"/>
    <w:rsid w:val="00B44242"/>
    <w:rsid w:val="00B4456A"/>
    <w:rsid w:val="00B51613"/>
    <w:rsid w:val="00B51B9C"/>
    <w:rsid w:val="00B535BF"/>
    <w:rsid w:val="00B54E47"/>
    <w:rsid w:val="00B57527"/>
    <w:rsid w:val="00B57B25"/>
    <w:rsid w:val="00B608B9"/>
    <w:rsid w:val="00B60D15"/>
    <w:rsid w:val="00B61E70"/>
    <w:rsid w:val="00B63277"/>
    <w:rsid w:val="00B636FE"/>
    <w:rsid w:val="00B664F6"/>
    <w:rsid w:val="00B665E2"/>
    <w:rsid w:val="00B67773"/>
    <w:rsid w:val="00B72489"/>
    <w:rsid w:val="00B738C1"/>
    <w:rsid w:val="00B76AAD"/>
    <w:rsid w:val="00B804EB"/>
    <w:rsid w:val="00B811AE"/>
    <w:rsid w:val="00B82B6C"/>
    <w:rsid w:val="00B83FFA"/>
    <w:rsid w:val="00B845E7"/>
    <w:rsid w:val="00B90E27"/>
    <w:rsid w:val="00B91598"/>
    <w:rsid w:val="00B9196E"/>
    <w:rsid w:val="00B9225E"/>
    <w:rsid w:val="00B92502"/>
    <w:rsid w:val="00B93361"/>
    <w:rsid w:val="00B96109"/>
    <w:rsid w:val="00B96575"/>
    <w:rsid w:val="00BA1AB3"/>
    <w:rsid w:val="00BA2422"/>
    <w:rsid w:val="00BA2477"/>
    <w:rsid w:val="00BA322A"/>
    <w:rsid w:val="00BA4272"/>
    <w:rsid w:val="00BA505D"/>
    <w:rsid w:val="00BA6E86"/>
    <w:rsid w:val="00BA7671"/>
    <w:rsid w:val="00BB16A3"/>
    <w:rsid w:val="00BB2B4C"/>
    <w:rsid w:val="00BB40FC"/>
    <w:rsid w:val="00BB4C76"/>
    <w:rsid w:val="00BB5C4F"/>
    <w:rsid w:val="00BB7147"/>
    <w:rsid w:val="00BC03F3"/>
    <w:rsid w:val="00BC0AAB"/>
    <w:rsid w:val="00BC18F8"/>
    <w:rsid w:val="00BC5F41"/>
    <w:rsid w:val="00BC6A57"/>
    <w:rsid w:val="00BC728F"/>
    <w:rsid w:val="00BD0558"/>
    <w:rsid w:val="00BD0E2A"/>
    <w:rsid w:val="00BD10A8"/>
    <w:rsid w:val="00BD2134"/>
    <w:rsid w:val="00BD40E5"/>
    <w:rsid w:val="00BD4D6E"/>
    <w:rsid w:val="00BD5E77"/>
    <w:rsid w:val="00BD6367"/>
    <w:rsid w:val="00BD7060"/>
    <w:rsid w:val="00BE0D0D"/>
    <w:rsid w:val="00BE18A3"/>
    <w:rsid w:val="00BE56B7"/>
    <w:rsid w:val="00BE630E"/>
    <w:rsid w:val="00BF112D"/>
    <w:rsid w:val="00BF2B47"/>
    <w:rsid w:val="00BF44A4"/>
    <w:rsid w:val="00BF5857"/>
    <w:rsid w:val="00C02C9B"/>
    <w:rsid w:val="00C03400"/>
    <w:rsid w:val="00C03E42"/>
    <w:rsid w:val="00C0672C"/>
    <w:rsid w:val="00C07924"/>
    <w:rsid w:val="00C10BF4"/>
    <w:rsid w:val="00C12D12"/>
    <w:rsid w:val="00C177B9"/>
    <w:rsid w:val="00C17900"/>
    <w:rsid w:val="00C17DEA"/>
    <w:rsid w:val="00C200B9"/>
    <w:rsid w:val="00C27910"/>
    <w:rsid w:val="00C30D78"/>
    <w:rsid w:val="00C30F80"/>
    <w:rsid w:val="00C31C41"/>
    <w:rsid w:val="00C34F83"/>
    <w:rsid w:val="00C35739"/>
    <w:rsid w:val="00C374F3"/>
    <w:rsid w:val="00C37CE2"/>
    <w:rsid w:val="00C40837"/>
    <w:rsid w:val="00C408CD"/>
    <w:rsid w:val="00C40CBA"/>
    <w:rsid w:val="00C40FC4"/>
    <w:rsid w:val="00C42528"/>
    <w:rsid w:val="00C4693A"/>
    <w:rsid w:val="00C46F6B"/>
    <w:rsid w:val="00C5501E"/>
    <w:rsid w:val="00C55EFC"/>
    <w:rsid w:val="00C56B69"/>
    <w:rsid w:val="00C5708C"/>
    <w:rsid w:val="00C61A53"/>
    <w:rsid w:val="00C62F46"/>
    <w:rsid w:val="00C631F8"/>
    <w:rsid w:val="00C632D1"/>
    <w:rsid w:val="00C64646"/>
    <w:rsid w:val="00C65E71"/>
    <w:rsid w:val="00C6636C"/>
    <w:rsid w:val="00C665F4"/>
    <w:rsid w:val="00C66E84"/>
    <w:rsid w:val="00C67F0A"/>
    <w:rsid w:val="00C70006"/>
    <w:rsid w:val="00C71FB8"/>
    <w:rsid w:val="00C7217C"/>
    <w:rsid w:val="00C723AC"/>
    <w:rsid w:val="00C732C8"/>
    <w:rsid w:val="00C749B9"/>
    <w:rsid w:val="00C75F26"/>
    <w:rsid w:val="00C77B11"/>
    <w:rsid w:val="00C81DB9"/>
    <w:rsid w:val="00C81E4B"/>
    <w:rsid w:val="00C83AD1"/>
    <w:rsid w:val="00C86772"/>
    <w:rsid w:val="00C9012E"/>
    <w:rsid w:val="00C921C8"/>
    <w:rsid w:val="00C930B4"/>
    <w:rsid w:val="00C93C62"/>
    <w:rsid w:val="00C967C2"/>
    <w:rsid w:val="00CA0CC6"/>
    <w:rsid w:val="00CA2010"/>
    <w:rsid w:val="00CA29C1"/>
    <w:rsid w:val="00CA3585"/>
    <w:rsid w:val="00CA35F2"/>
    <w:rsid w:val="00CA36F1"/>
    <w:rsid w:val="00CA39BE"/>
    <w:rsid w:val="00CA4137"/>
    <w:rsid w:val="00CA527F"/>
    <w:rsid w:val="00CA58B2"/>
    <w:rsid w:val="00CA6AA3"/>
    <w:rsid w:val="00CA6E12"/>
    <w:rsid w:val="00CB023A"/>
    <w:rsid w:val="00CB1134"/>
    <w:rsid w:val="00CB12B7"/>
    <w:rsid w:val="00CB20F9"/>
    <w:rsid w:val="00CB5BB4"/>
    <w:rsid w:val="00CC2513"/>
    <w:rsid w:val="00CC4675"/>
    <w:rsid w:val="00CC4CAD"/>
    <w:rsid w:val="00CD06D8"/>
    <w:rsid w:val="00CD1DAB"/>
    <w:rsid w:val="00CD3C32"/>
    <w:rsid w:val="00CD495E"/>
    <w:rsid w:val="00CD62C2"/>
    <w:rsid w:val="00CE02BD"/>
    <w:rsid w:val="00CE0BEF"/>
    <w:rsid w:val="00CE118C"/>
    <w:rsid w:val="00CE1A6C"/>
    <w:rsid w:val="00CE26CE"/>
    <w:rsid w:val="00CE5F58"/>
    <w:rsid w:val="00CE7090"/>
    <w:rsid w:val="00CF1912"/>
    <w:rsid w:val="00CF2212"/>
    <w:rsid w:val="00CF560D"/>
    <w:rsid w:val="00D00D38"/>
    <w:rsid w:val="00D03D59"/>
    <w:rsid w:val="00D0523C"/>
    <w:rsid w:val="00D05D50"/>
    <w:rsid w:val="00D06096"/>
    <w:rsid w:val="00D111EB"/>
    <w:rsid w:val="00D12E82"/>
    <w:rsid w:val="00D139FF"/>
    <w:rsid w:val="00D142D4"/>
    <w:rsid w:val="00D1436D"/>
    <w:rsid w:val="00D14717"/>
    <w:rsid w:val="00D15E17"/>
    <w:rsid w:val="00D161C4"/>
    <w:rsid w:val="00D16CED"/>
    <w:rsid w:val="00D17A96"/>
    <w:rsid w:val="00D17B59"/>
    <w:rsid w:val="00D20DF9"/>
    <w:rsid w:val="00D20EE7"/>
    <w:rsid w:val="00D224B0"/>
    <w:rsid w:val="00D2257E"/>
    <w:rsid w:val="00D22AD9"/>
    <w:rsid w:val="00D26470"/>
    <w:rsid w:val="00D27BB4"/>
    <w:rsid w:val="00D31D93"/>
    <w:rsid w:val="00D32CCC"/>
    <w:rsid w:val="00D34C26"/>
    <w:rsid w:val="00D34D8A"/>
    <w:rsid w:val="00D352C0"/>
    <w:rsid w:val="00D3557A"/>
    <w:rsid w:val="00D366D4"/>
    <w:rsid w:val="00D36A73"/>
    <w:rsid w:val="00D36D89"/>
    <w:rsid w:val="00D36E90"/>
    <w:rsid w:val="00D40E4A"/>
    <w:rsid w:val="00D4241F"/>
    <w:rsid w:val="00D43F2C"/>
    <w:rsid w:val="00D45104"/>
    <w:rsid w:val="00D465B8"/>
    <w:rsid w:val="00D46EA3"/>
    <w:rsid w:val="00D50849"/>
    <w:rsid w:val="00D50CAC"/>
    <w:rsid w:val="00D52082"/>
    <w:rsid w:val="00D53029"/>
    <w:rsid w:val="00D54933"/>
    <w:rsid w:val="00D550D8"/>
    <w:rsid w:val="00D56B90"/>
    <w:rsid w:val="00D57219"/>
    <w:rsid w:val="00D600F0"/>
    <w:rsid w:val="00D602D7"/>
    <w:rsid w:val="00D619CE"/>
    <w:rsid w:val="00D62415"/>
    <w:rsid w:val="00D632F3"/>
    <w:rsid w:val="00D65035"/>
    <w:rsid w:val="00D6591B"/>
    <w:rsid w:val="00D66E90"/>
    <w:rsid w:val="00D674BE"/>
    <w:rsid w:val="00D70623"/>
    <w:rsid w:val="00D714F8"/>
    <w:rsid w:val="00D736B0"/>
    <w:rsid w:val="00D77648"/>
    <w:rsid w:val="00D776AD"/>
    <w:rsid w:val="00D803BC"/>
    <w:rsid w:val="00D807AE"/>
    <w:rsid w:val="00D859CB"/>
    <w:rsid w:val="00D85B2E"/>
    <w:rsid w:val="00D869D2"/>
    <w:rsid w:val="00D86AF6"/>
    <w:rsid w:val="00D86BC6"/>
    <w:rsid w:val="00D86BD3"/>
    <w:rsid w:val="00D877AB"/>
    <w:rsid w:val="00D94160"/>
    <w:rsid w:val="00D941D8"/>
    <w:rsid w:val="00D976B5"/>
    <w:rsid w:val="00D97999"/>
    <w:rsid w:val="00DA0258"/>
    <w:rsid w:val="00DA02CA"/>
    <w:rsid w:val="00DA0D9D"/>
    <w:rsid w:val="00DA160C"/>
    <w:rsid w:val="00DA3AD7"/>
    <w:rsid w:val="00DA3DAF"/>
    <w:rsid w:val="00DB1FF1"/>
    <w:rsid w:val="00DB25CB"/>
    <w:rsid w:val="00DB2698"/>
    <w:rsid w:val="00DB3D41"/>
    <w:rsid w:val="00DB3EAA"/>
    <w:rsid w:val="00DB3EF4"/>
    <w:rsid w:val="00DB4BE3"/>
    <w:rsid w:val="00DB5197"/>
    <w:rsid w:val="00DB5B50"/>
    <w:rsid w:val="00DC0F96"/>
    <w:rsid w:val="00DC1C7E"/>
    <w:rsid w:val="00DC2B9C"/>
    <w:rsid w:val="00DC33EC"/>
    <w:rsid w:val="00DC52E4"/>
    <w:rsid w:val="00DC6C8F"/>
    <w:rsid w:val="00DC7014"/>
    <w:rsid w:val="00DC71FB"/>
    <w:rsid w:val="00DD0949"/>
    <w:rsid w:val="00DD1507"/>
    <w:rsid w:val="00DD208E"/>
    <w:rsid w:val="00DD2D33"/>
    <w:rsid w:val="00DD52E5"/>
    <w:rsid w:val="00DD64D1"/>
    <w:rsid w:val="00DD7403"/>
    <w:rsid w:val="00DD7EAA"/>
    <w:rsid w:val="00DE05D1"/>
    <w:rsid w:val="00DE0770"/>
    <w:rsid w:val="00DE0FF2"/>
    <w:rsid w:val="00DE3042"/>
    <w:rsid w:val="00DE32FD"/>
    <w:rsid w:val="00DE385D"/>
    <w:rsid w:val="00DE4139"/>
    <w:rsid w:val="00DE48FB"/>
    <w:rsid w:val="00DE4D12"/>
    <w:rsid w:val="00DE543B"/>
    <w:rsid w:val="00DE5F66"/>
    <w:rsid w:val="00DE70A1"/>
    <w:rsid w:val="00DE7519"/>
    <w:rsid w:val="00DE7B5F"/>
    <w:rsid w:val="00DE7EF7"/>
    <w:rsid w:val="00DF0864"/>
    <w:rsid w:val="00DF26E0"/>
    <w:rsid w:val="00DF29FE"/>
    <w:rsid w:val="00DF2B2B"/>
    <w:rsid w:val="00DF40E8"/>
    <w:rsid w:val="00DF43CF"/>
    <w:rsid w:val="00DF63B8"/>
    <w:rsid w:val="00DF6DA1"/>
    <w:rsid w:val="00DF71BB"/>
    <w:rsid w:val="00E004BC"/>
    <w:rsid w:val="00E00D3E"/>
    <w:rsid w:val="00E01755"/>
    <w:rsid w:val="00E0502B"/>
    <w:rsid w:val="00E05051"/>
    <w:rsid w:val="00E05583"/>
    <w:rsid w:val="00E05A13"/>
    <w:rsid w:val="00E10A32"/>
    <w:rsid w:val="00E120EF"/>
    <w:rsid w:val="00E12A1C"/>
    <w:rsid w:val="00E135D8"/>
    <w:rsid w:val="00E13D63"/>
    <w:rsid w:val="00E14AA6"/>
    <w:rsid w:val="00E14DFD"/>
    <w:rsid w:val="00E161FD"/>
    <w:rsid w:val="00E16507"/>
    <w:rsid w:val="00E16BFB"/>
    <w:rsid w:val="00E175BC"/>
    <w:rsid w:val="00E203C9"/>
    <w:rsid w:val="00E210AE"/>
    <w:rsid w:val="00E21264"/>
    <w:rsid w:val="00E21CA9"/>
    <w:rsid w:val="00E230F2"/>
    <w:rsid w:val="00E2328D"/>
    <w:rsid w:val="00E233C9"/>
    <w:rsid w:val="00E23B39"/>
    <w:rsid w:val="00E25C37"/>
    <w:rsid w:val="00E27B12"/>
    <w:rsid w:val="00E304E4"/>
    <w:rsid w:val="00E30E1E"/>
    <w:rsid w:val="00E3290D"/>
    <w:rsid w:val="00E33616"/>
    <w:rsid w:val="00E3429F"/>
    <w:rsid w:val="00E34FFD"/>
    <w:rsid w:val="00E36A7B"/>
    <w:rsid w:val="00E37B14"/>
    <w:rsid w:val="00E4025A"/>
    <w:rsid w:val="00E4269D"/>
    <w:rsid w:val="00E42BE0"/>
    <w:rsid w:val="00E43AFA"/>
    <w:rsid w:val="00E4417D"/>
    <w:rsid w:val="00E448E7"/>
    <w:rsid w:val="00E449D2"/>
    <w:rsid w:val="00E4509A"/>
    <w:rsid w:val="00E47AF1"/>
    <w:rsid w:val="00E50CAC"/>
    <w:rsid w:val="00E50D91"/>
    <w:rsid w:val="00E518DF"/>
    <w:rsid w:val="00E52D6E"/>
    <w:rsid w:val="00E5368B"/>
    <w:rsid w:val="00E562C5"/>
    <w:rsid w:val="00E60137"/>
    <w:rsid w:val="00E6386B"/>
    <w:rsid w:val="00E64595"/>
    <w:rsid w:val="00E66598"/>
    <w:rsid w:val="00E66C8A"/>
    <w:rsid w:val="00E671D8"/>
    <w:rsid w:val="00E676DD"/>
    <w:rsid w:val="00E71327"/>
    <w:rsid w:val="00E72BC2"/>
    <w:rsid w:val="00E74FD1"/>
    <w:rsid w:val="00E76164"/>
    <w:rsid w:val="00E76651"/>
    <w:rsid w:val="00E80743"/>
    <w:rsid w:val="00E81583"/>
    <w:rsid w:val="00E8166F"/>
    <w:rsid w:val="00E818F8"/>
    <w:rsid w:val="00E81EAB"/>
    <w:rsid w:val="00E838A2"/>
    <w:rsid w:val="00E8687A"/>
    <w:rsid w:val="00E87739"/>
    <w:rsid w:val="00E90157"/>
    <w:rsid w:val="00E90442"/>
    <w:rsid w:val="00E925AF"/>
    <w:rsid w:val="00E93CD5"/>
    <w:rsid w:val="00E96337"/>
    <w:rsid w:val="00E975D6"/>
    <w:rsid w:val="00EA048F"/>
    <w:rsid w:val="00EA6907"/>
    <w:rsid w:val="00EA7461"/>
    <w:rsid w:val="00EA7C00"/>
    <w:rsid w:val="00EB15C9"/>
    <w:rsid w:val="00EB1BEA"/>
    <w:rsid w:val="00EB3C1A"/>
    <w:rsid w:val="00EB50B5"/>
    <w:rsid w:val="00EB5D1B"/>
    <w:rsid w:val="00EC1063"/>
    <w:rsid w:val="00EC19DB"/>
    <w:rsid w:val="00EC1BAA"/>
    <w:rsid w:val="00EC2C62"/>
    <w:rsid w:val="00EC308C"/>
    <w:rsid w:val="00EC4C43"/>
    <w:rsid w:val="00EC563E"/>
    <w:rsid w:val="00ED11C6"/>
    <w:rsid w:val="00ED129E"/>
    <w:rsid w:val="00ED18D4"/>
    <w:rsid w:val="00ED1BA3"/>
    <w:rsid w:val="00ED2A82"/>
    <w:rsid w:val="00ED2A8B"/>
    <w:rsid w:val="00ED39C1"/>
    <w:rsid w:val="00ED6888"/>
    <w:rsid w:val="00ED717C"/>
    <w:rsid w:val="00ED73BE"/>
    <w:rsid w:val="00ED7D14"/>
    <w:rsid w:val="00EE054F"/>
    <w:rsid w:val="00EE194F"/>
    <w:rsid w:val="00EE1D17"/>
    <w:rsid w:val="00EE24A1"/>
    <w:rsid w:val="00EE3A46"/>
    <w:rsid w:val="00EE411C"/>
    <w:rsid w:val="00EE5CEE"/>
    <w:rsid w:val="00EE6084"/>
    <w:rsid w:val="00EE6786"/>
    <w:rsid w:val="00EE78AB"/>
    <w:rsid w:val="00EF0472"/>
    <w:rsid w:val="00EF0788"/>
    <w:rsid w:val="00EF1AB2"/>
    <w:rsid w:val="00EF312A"/>
    <w:rsid w:val="00EF319F"/>
    <w:rsid w:val="00EF32A1"/>
    <w:rsid w:val="00EF33B4"/>
    <w:rsid w:val="00EF4F48"/>
    <w:rsid w:val="00EF510A"/>
    <w:rsid w:val="00EF632E"/>
    <w:rsid w:val="00EF7225"/>
    <w:rsid w:val="00EF7367"/>
    <w:rsid w:val="00F00174"/>
    <w:rsid w:val="00F01115"/>
    <w:rsid w:val="00F046F7"/>
    <w:rsid w:val="00F046FE"/>
    <w:rsid w:val="00F04E9E"/>
    <w:rsid w:val="00F0733F"/>
    <w:rsid w:val="00F10DC4"/>
    <w:rsid w:val="00F11BA6"/>
    <w:rsid w:val="00F11E5E"/>
    <w:rsid w:val="00F150E3"/>
    <w:rsid w:val="00F15FFA"/>
    <w:rsid w:val="00F16858"/>
    <w:rsid w:val="00F207FA"/>
    <w:rsid w:val="00F20FA2"/>
    <w:rsid w:val="00F21C66"/>
    <w:rsid w:val="00F22616"/>
    <w:rsid w:val="00F24E7B"/>
    <w:rsid w:val="00F2510D"/>
    <w:rsid w:val="00F256C0"/>
    <w:rsid w:val="00F25CE0"/>
    <w:rsid w:val="00F2683B"/>
    <w:rsid w:val="00F2712E"/>
    <w:rsid w:val="00F27484"/>
    <w:rsid w:val="00F27F77"/>
    <w:rsid w:val="00F30211"/>
    <w:rsid w:val="00F30E12"/>
    <w:rsid w:val="00F31FF6"/>
    <w:rsid w:val="00F323BD"/>
    <w:rsid w:val="00F324BD"/>
    <w:rsid w:val="00F33C9C"/>
    <w:rsid w:val="00F34F4C"/>
    <w:rsid w:val="00F3591F"/>
    <w:rsid w:val="00F3632A"/>
    <w:rsid w:val="00F37FEC"/>
    <w:rsid w:val="00F40C52"/>
    <w:rsid w:val="00F417F3"/>
    <w:rsid w:val="00F43A11"/>
    <w:rsid w:val="00F4473E"/>
    <w:rsid w:val="00F4764A"/>
    <w:rsid w:val="00F50BE6"/>
    <w:rsid w:val="00F50D3E"/>
    <w:rsid w:val="00F51267"/>
    <w:rsid w:val="00F60194"/>
    <w:rsid w:val="00F613A4"/>
    <w:rsid w:val="00F619F8"/>
    <w:rsid w:val="00F636BB"/>
    <w:rsid w:val="00F64677"/>
    <w:rsid w:val="00F64DB5"/>
    <w:rsid w:val="00F64E29"/>
    <w:rsid w:val="00F65253"/>
    <w:rsid w:val="00F65459"/>
    <w:rsid w:val="00F70D82"/>
    <w:rsid w:val="00F713CA"/>
    <w:rsid w:val="00F7150D"/>
    <w:rsid w:val="00F71A1C"/>
    <w:rsid w:val="00F725CA"/>
    <w:rsid w:val="00F72E53"/>
    <w:rsid w:val="00F739A7"/>
    <w:rsid w:val="00F74901"/>
    <w:rsid w:val="00F75D13"/>
    <w:rsid w:val="00F8009D"/>
    <w:rsid w:val="00F80FF3"/>
    <w:rsid w:val="00F820C3"/>
    <w:rsid w:val="00F82344"/>
    <w:rsid w:val="00F846B6"/>
    <w:rsid w:val="00F85CFF"/>
    <w:rsid w:val="00F86351"/>
    <w:rsid w:val="00F8658C"/>
    <w:rsid w:val="00F9058B"/>
    <w:rsid w:val="00F90C98"/>
    <w:rsid w:val="00F92352"/>
    <w:rsid w:val="00F941C9"/>
    <w:rsid w:val="00F94993"/>
    <w:rsid w:val="00F94DDC"/>
    <w:rsid w:val="00F956B2"/>
    <w:rsid w:val="00FA0B99"/>
    <w:rsid w:val="00FA2AB9"/>
    <w:rsid w:val="00FA2E06"/>
    <w:rsid w:val="00FA523A"/>
    <w:rsid w:val="00FA70AE"/>
    <w:rsid w:val="00FB1528"/>
    <w:rsid w:val="00FB2BE7"/>
    <w:rsid w:val="00FB2BFA"/>
    <w:rsid w:val="00FB2FB1"/>
    <w:rsid w:val="00FB4F41"/>
    <w:rsid w:val="00FB570C"/>
    <w:rsid w:val="00FB5C55"/>
    <w:rsid w:val="00FB76D0"/>
    <w:rsid w:val="00FB7D54"/>
    <w:rsid w:val="00FC0161"/>
    <w:rsid w:val="00FC0660"/>
    <w:rsid w:val="00FC0D55"/>
    <w:rsid w:val="00FC0D64"/>
    <w:rsid w:val="00FC1425"/>
    <w:rsid w:val="00FC1C12"/>
    <w:rsid w:val="00FC29B8"/>
    <w:rsid w:val="00FC30FF"/>
    <w:rsid w:val="00FC68F4"/>
    <w:rsid w:val="00FC7FBB"/>
    <w:rsid w:val="00FD1351"/>
    <w:rsid w:val="00FD13A7"/>
    <w:rsid w:val="00FD238A"/>
    <w:rsid w:val="00FD3E8A"/>
    <w:rsid w:val="00FD3F67"/>
    <w:rsid w:val="00FD7EE9"/>
    <w:rsid w:val="00FE0572"/>
    <w:rsid w:val="00FE0A16"/>
    <w:rsid w:val="00FE1519"/>
    <w:rsid w:val="00FE34A0"/>
    <w:rsid w:val="00FE3F34"/>
    <w:rsid w:val="00FE4B2A"/>
    <w:rsid w:val="00FE4F69"/>
    <w:rsid w:val="00FE55CE"/>
    <w:rsid w:val="00FE60C3"/>
    <w:rsid w:val="00FE71DF"/>
    <w:rsid w:val="00FF18A7"/>
    <w:rsid w:val="00FF4763"/>
    <w:rsid w:val="00FF4853"/>
    <w:rsid w:val="00FF5663"/>
    <w:rsid w:val="00FF5B3D"/>
    <w:rsid w:val="00FF6877"/>
    <w:rsid w:val="00FF7B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D2F"/>
    <w:rPr>
      <w:sz w:val="24"/>
      <w:szCs w:val="24"/>
    </w:rPr>
  </w:style>
  <w:style w:type="paragraph" w:styleId="1">
    <w:name w:val="heading 1"/>
    <w:basedOn w:val="a"/>
    <w:next w:val="a"/>
    <w:link w:val="1Char"/>
    <w:qFormat/>
    <w:rsid w:val="005B6E0D"/>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993306"/>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AB5DEE"/>
    <w:pPr>
      <w:keepNext/>
      <w:spacing w:before="240" w:after="60"/>
      <w:outlineLvl w:val="2"/>
    </w:pPr>
    <w:rPr>
      <w:rFonts w:ascii="Arial" w:hAnsi="Arial" w:cs="Arial"/>
      <w:b/>
      <w:bCs/>
      <w:sz w:val="26"/>
      <w:szCs w:val="26"/>
    </w:rPr>
  </w:style>
  <w:style w:type="paragraph" w:styleId="4">
    <w:name w:val="heading 4"/>
    <w:basedOn w:val="a"/>
    <w:next w:val="a"/>
    <w:link w:val="4Char"/>
    <w:qFormat/>
    <w:rsid w:val="000A3D2F"/>
    <w:pPr>
      <w:keepNext/>
      <w:jc w:val="both"/>
      <w:outlineLvl w:val="3"/>
    </w:pPr>
    <w:rPr>
      <w:b/>
      <w:color w:val="000080"/>
      <w:sz w:val="40"/>
      <w:szCs w:val="22"/>
    </w:rPr>
  </w:style>
  <w:style w:type="paragraph" w:styleId="5">
    <w:name w:val="heading 5"/>
    <w:basedOn w:val="a"/>
    <w:next w:val="a"/>
    <w:link w:val="5Char"/>
    <w:qFormat/>
    <w:rsid w:val="000A3D2F"/>
    <w:pPr>
      <w:keepNext/>
      <w:shd w:val="clear" w:color="auto" w:fill="A6A6A6"/>
      <w:jc w:val="both"/>
      <w:outlineLvl w:val="4"/>
    </w:pPr>
    <w:rPr>
      <w:b/>
      <w:color w:val="FFFFFF"/>
      <w:sz w:val="26"/>
      <w:szCs w:val="22"/>
    </w:rPr>
  </w:style>
  <w:style w:type="paragraph" w:styleId="6">
    <w:name w:val="heading 6"/>
    <w:basedOn w:val="a"/>
    <w:next w:val="a"/>
    <w:link w:val="6Char"/>
    <w:qFormat/>
    <w:rsid w:val="00FB2BFA"/>
    <w:pPr>
      <w:keepNext/>
      <w:autoSpaceDE w:val="0"/>
      <w:autoSpaceDN w:val="0"/>
      <w:adjustRightInd w:val="0"/>
      <w:jc w:val="center"/>
      <w:outlineLvl w:val="5"/>
    </w:pPr>
    <w:rPr>
      <w:rFonts w:ascii="Arial Narrow" w:hAnsi="Arial Narrow" w:cs="TimesNewRoman,Bold"/>
      <w:b/>
      <w:bCs/>
      <w:sz w:val="16"/>
      <w:szCs w:val="16"/>
    </w:rPr>
  </w:style>
  <w:style w:type="paragraph" w:styleId="7">
    <w:name w:val="heading 7"/>
    <w:basedOn w:val="a"/>
    <w:next w:val="a"/>
    <w:link w:val="7Char"/>
    <w:qFormat/>
    <w:rsid w:val="00FB4F41"/>
    <w:pPr>
      <w:spacing w:before="240" w:after="60"/>
      <w:outlineLvl w:val="6"/>
    </w:pPr>
  </w:style>
  <w:style w:type="paragraph" w:styleId="8">
    <w:name w:val="heading 8"/>
    <w:basedOn w:val="a"/>
    <w:next w:val="a"/>
    <w:link w:val="8Char"/>
    <w:qFormat/>
    <w:rsid w:val="00FB76D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40E4A"/>
    <w:pPr>
      <w:tabs>
        <w:tab w:val="center" w:pos="4153"/>
        <w:tab w:val="right" w:pos="8306"/>
      </w:tabs>
    </w:pPr>
  </w:style>
  <w:style w:type="paragraph" w:styleId="a4">
    <w:name w:val="footer"/>
    <w:basedOn w:val="a"/>
    <w:link w:val="Char0"/>
    <w:rsid w:val="00D40E4A"/>
    <w:pPr>
      <w:tabs>
        <w:tab w:val="center" w:pos="4153"/>
        <w:tab w:val="right" w:pos="8306"/>
      </w:tabs>
    </w:pPr>
  </w:style>
  <w:style w:type="character" w:styleId="a5">
    <w:name w:val="page number"/>
    <w:basedOn w:val="a0"/>
    <w:rsid w:val="00D40E4A"/>
  </w:style>
  <w:style w:type="paragraph" w:styleId="a6">
    <w:name w:val="Balloon Text"/>
    <w:basedOn w:val="a"/>
    <w:link w:val="Char1"/>
    <w:semiHidden/>
    <w:rsid w:val="001561CD"/>
    <w:rPr>
      <w:rFonts w:ascii="Tahoma" w:hAnsi="Tahoma" w:cs="Tahoma"/>
      <w:sz w:val="16"/>
      <w:szCs w:val="16"/>
    </w:rPr>
  </w:style>
  <w:style w:type="table" w:styleId="a7">
    <w:name w:val="Table Grid"/>
    <w:basedOn w:val="a1"/>
    <w:rsid w:val="00CA4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Char2"/>
    <w:rsid w:val="00051FCC"/>
    <w:pPr>
      <w:tabs>
        <w:tab w:val="left" w:pos="1080"/>
        <w:tab w:val="left" w:pos="1260"/>
      </w:tabs>
      <w:ind w:left="1260" w:hanging="900"/>
    </w:pPr>
    <w:rPr>
      <w:rFonts w:ascii="Arial Narrow" w:hAnsi="Arial Narrow"/>
      <w:sz w:val="16"/>
      <w:szCs w:val="16"/>
    </w:rPr>
  </w:style>
  <w:style w:type="paragraph" w:styleId="a9">
    <w:name w:val="Body Text"/>
    <w:basedOn w:val="a"/>
    <w:link w:val="Char3"/>
    <w:rsid w:val="000D6D97"/>
    <w:pPr>
      <w:spacing w:after="120"/>
    </w:pPr>
  </w:style>
  <w:style w:type="paragraph" w:styleId="aa">
    <w:name w:val="footnote text"/>
    <w:basedOn w:val="a"/>
    <w:link w:val="Char4"/>
    <w:semiHidden/>
    <w:rsid w:val="006F4ECD"/>
    <w:rPr>
      <w:sz w:val="20"/>
      <w:szCs w:val="20"/>
      <w:lang w:val="en-GB" w:eastAsia="en-US"/>
    </w:rPr>
  </w:style>
  <w:style w:type="character" w:styleId="ab">
    <w:name w:val="footnote reference"/>
    <w:basedOn w:val="a0"/>
    <w:semiHidden/>
    <w:rsid w:val="006F4ECD"/>
    <w:rPr>
      <w:vertAlign w:val="superscript"/>
    </w:rPr>
  </w:style>
  <w:style w:type="paragraph" w:styleId="30">
    <w:name w:val="Body Text Indent 3"/>
    <w:basedOn w:val="a"/>
    <w:link w:val="3Char0"/>
    <w:rsid w:val="008546FE"/>
    <w:pPr>
      <w:spacing w:after="120"/>
      <w:ind w:left="283"/>
    </w:pPr>
    <w:rPr>
      <w:sz w:val="16"/>
      <w:szCs w:val="16"/>
    </w:rPr>
  </w:style>
  <w:style w:type="character" w:styleId="ac">
    <w:name w:val="annotation reference"/>
    <w:basedOn w:val="a0"/>
    <w:semiHidden/>
    <w:rsid w:val="008413BC"/>
    <w:rPr>
      <w:sz w:val="16"/>
      <w:szCs w:val="16"/>
    </w:rPr>
  </w:style>
  <w:style w:type="paragraph" w:styleId="ad">
    <w:name w:val="annotation text"/>
    <w:basedOn w:val="a"/>
    <w:link w:val="Char5"/>
    <w:semiHidden/>
    <w:rsid w:val="008413BC"/>
    <w:rPr>
      <w:sz w:val="20"/>
      <w:szCs w:val="20"/>
    </w:rPr>
  </w:style>
  <w:style w:type="paragraph" w:styleId="ae">
    <w:name w:val="annotation subject"/>
    <w:basedOn w:val="ad"/>
    <w:next w:val="ad"/>
    <w:link w:val="Char6"/>
    <w:semiHidden/>
    <w:rsid w:val="008413BC"/>
    <w:rPr>
      <w:b/>
      <w:bCs/>
    </w:rPr>
  </w:style>
  <w:style w:type="character" w:customStyle="1" w:styleId="1Char">
    <w:name w:val="Επικεφαλίδα 1 Char"/>
    <w:basedOn w:val="a0"/>
    <w:link w:val="1"/>
    <w:rsid w:val="000D0A85"/>
    <w:rPr>
      <w:rFonts w:ascii="Arial" w:hAnsi="Arial" w:cs="Arial"/>
      <w:b/>
      <w:bCs/>
      <w:kern w:val="32"/>
      <w:sz w:val="32"/>
      <w:szCs w:val="32"/>
    </w:rPr>
  </w:style>
  <w:style w:type="character" w:customStyle="1" w:styleId="2Char">
    <w:name w:val="Επικεφαλίδα 2 Char"/>
    <w:basedOn w:val="a0"/>
    <w:link w:val="2"/>
    <w:rsid w:val="000D0A85"/>
    <w:rPr>
      <w:rFonts w:ascii="Arial" w:hAnsi="Arial" w:cs="Arial"/>
      <w:b/>
      <w:bCs/>
      <w:i/>
      <w:iCs/>
      <w:sz w:val="28"/>
      <w:szCs w:val="28"/>
    </w:rPr>
  </w:style>
  <w:style w:type="character" w:customStyle="1" w:styleId="3Char">
    <w:name w:val="Επικεφαλίδα 3 Char"/>
    <w:basedOn w:val="a0"/>
    <w:link w:val="3"/>
    <w:rsid w:val="000D0A85"/>
    <w:rPr>
      <w:rFonts w:ascii="Arial" w:hAnsi="Arial" w:cs="Arial"/>
      <w:b/>
      <w:bCs/>
      <w:sz w:val="26"/>
      <w:szCs w:val="26"/>
    </w:rPr>
  </w:style>
  <w:style w:type="character" w:customStyle="1" w:styleId="4Char">
    <w:name w:val="Επικεφαλίδα 4 Char"/>
    <w:basedOn w:val="a0"/>
    <w:link w:val="4"/>
    <w:rsid w:val="000D0A85"/>
    <w:rPr>
      <w:b/>
      <w:color w:val="000080"/>
      <w:sz w:val="40"/>
      <w:szCs w:val="22"/>
    </w:rPr>
  </w:style>
  <w:style w:type="character" w:customStyle="1" w:styleId="5Char">
    <w:name w:val="Επικεφαλίδα 5 Char"/>
    <w:basedOn w:val="a0"/>
    <w:link w:val="5"/>
    <w:rsid w:val="000D0A85"/>
    <w:rPr>
      <w:b/>
      <w:color w:val="FFFFFF"/>
      <w:sz w:val="26"/>
      <w:szCs w:val="22"/>
      <w:shd w:val="clear" w:color="auto" w:fill="A6A6A6"/>
    </w:rPr>
  </w:style>
  <w:style w:type="character" w:customStyle="1" w:styleId="6Char">
    <w:name w:val="Επικεφαλίδα 6 Char"/>
    <w:basedOn w:val="a0"/>
    <w:link w:val="6"/>
    <w:rsid w:val="000D0A85"/>
    <w:rPr>
      <w:rFonts w:ascii="Arial Narrow" w:hAnsi="Arial Narrow" w:cs="TimesNewRoman,Bold"/>
      <w:b/>
      <w:bCs/>
      <w:sz w:val="16"/>
      <w:szCs w:val="16"/>
    </w:rPr>
  </w:style>
  <w:style w:type="character" w:customStyle="1" w:styleId="7Char">
    <w:name w:val="Επικεφαλίδα 7 Char"/>
    <w:basedOn w:val="a0"/>
    <w:link w:val="7"/>
    <w:rsid w:val="000D0A85"/>
    <w:rPr>
      <w:sz w:val="24"/>
      <w:szCs w:val="24"/>
    </w:rPr>
  </w:style>
  <w:style w:type="character" w:customStyle="1" w:styleId="8Char">
    <w:name w:val="Επικεφαλίδα 8 Char"/>
    <w:basedOn w:val="a0"/>
    <w:link w:val="8"/>
    <w:rsid w:val="000D0A85"/>
    <w:rPr>
      <w:i/>
      <w:iCs/>
      <w:sz w:val="24"/>
      <w:szCs w:val="24"/>
    </w:rPr>
  </w:style>
  <w:style w:type="character" w:customStyle="1" w:styleId="Char">
    <w:name w:val="Κεφαλίδα Char"/>
    <w:basedOn w:val="a0"/>
    <w:link w:val="a3"/>
    <w:rsid w:val="000D0A85"/>
    <w:rPr>
      <w:sz w:val="24"/>
      <w:szCs w:val="24"/>
    </w:rPr>
  </w:style>
  <w:style w:type="character" w:customStyle="1" w:styleId="Char0">
    <w:name w:val="Υποσέλιδο Char"/>
    <w:basedOn w:val="a0"/>
    <w:link w:val="a4"/>
    <w:rsid w:val="000D0A85"/>
    <w:rPr>
      <w:sz w:val="24"/>
      <w:szCs w:val="24"/>
    </w:rPr>
  </w:style>
  <w:style w:type="character" w:customStyle="1" w:styleId="Char1">
    <w:name w:val="Κείμενο πλαισίου Char"/>
    <w:basedOn w:val="a0"/>
    <w:link w:val="a6"/>
    <w:semiHidden/>
    <w:rsid w:val="000D0A85"/>
    <w:rPr>
      <w:rFonts w:ascii="Tahoma" w:hAnsi="Tahoma" w:cs="Tahoma"/>
      <w:sz w:val="16"/>
      <w:szCs w:val="16"/>
    </w:rPr>
  </w:style>
  <w:style w:type="character" w:customStyle="1" w:styleId="Char2">
    <w:name w:val="Σώμα κείμενου με εσοχή Char"/>
    <w:basedOn w:val="a0"/>
    <w:link w:val="a8"/>
    <w:rsid w:val="000D0A85"/>
    <w:rPr>
      <w:rFonts w:ascii="Arial Narrow" w:hAnsi="Arial Narrow"/>
      <w:sz w:val="16"/>
      <w:szCs w:val="16"/>
    </w:rPr>
  </w:style>
  <w:style w:type="character" w:customStyle="1" w:styleId="Char3">
    <w:name w:val="Σώμα κειμένου Char"/>
    <w:basedOn w:val="a0"/>
    <w:link w:val="a9"/>
    <w:rsid w:val="000D0A85"/>
    <w:rPr>
      <w:sz w:val="24"/>
      <w:szCs w:val="24"/>
    </w:rPr>
  </w:style>
  <w:style w:type="character" w:customStyle="1" w:styleId="Char4">
    <w:name w:val="Κείμενο υποσημείωσης Char"/>
    <w:basedOn w:val="a0"/>
    <w:link w:val="aa"/>
    <w:semiHidden/>
    <w:rsid w:val="000D0A85"/>
    <w:rPr>
      <w:lang w:val="en-GB" w:eastAsia="en-US"/>
    </w:rPr>
  </w:style>
  <w:style w:type="character" w:customStyle="1" w:styleId="3Char0">
    <w:name w:val="Σώμα κείμενου με εσοχή 3 Char"/>
    <w:basedOn w:val="a0"/>
    <w:link w:val="30"/>
    <w:rsid w:val="000D0A85"/>
    <w:rPr>
      <w:sz w:val="16"/>
      <w:szCs w:val="16"/>
    </w:rPr>
  </w:style>
  <w:style w:type="character" w:customStyle="1" w:styleId="Char5">
    <w:name w:val="Κείμενο σχολίου Char"/>
    <w:basedOn w:val="a0"/>
    <w:link w:val="ad"/>
    <w:semiHidden/>
    <w:rsid w:val="000D0A85"/>
  </w:style>
  <w:style w:type="character" w:customStyle="1" w:styleId="Char6">
    <w:name w:val="Θέμα σχολίου Char"/>
    <w:basedOn w:val="Char5"/>
    <w:link w:val="ae"/>
    <w:semiHidden/>
    <w:rsid w:val="000D0A85"/>
    <w:rPr>
      <w:b/>
      <w:bCs/>
    </w:rPr>
  </w:style>
  <w:style w:type="paragraph" w:styleId="af">
    <w:name w:val="List Paragraph"/>
    <w:basedOn w:val="a"/>
    <w:uiPriority w:val="34"/>
    <w:qFormat/>
    <w:rsid w:val="00B14D84"/>
    <w:pPr>
      <w:ind w:left="720"/>
      <w:contextualSpacing/>
    </w:pPr>
  </w:style>
</w:styles>
</file>

<file path=word/webSettings.xml><?xml version="1.0" encoding="utf-8"?>
<w:webSettings xmlns:r="http://schemas.openxmlformats.org/officeDocument/2006/relationships" xmlns:w="http://schemas.openxmlformats.org/wordprocessingml/2006/main">
  <w:divs>
    <w:div w:id="179634313">
      <w:bodyDiv w:val="1"/>
      <w:marLeft w:val="0"/>
      <w:marRight w:val="0"/>
      <w:marTop w:val="0"/>
      <w:marBottom w:val="0"/>
      <w:divBdr>
        <w:top w:val="none" w:sz="0" w:space="0" w:color="auto"/>
        <w:left w:val="none" w:sz="0" w:space="0" w:color="auto"/>
        <w:bottom w:val="none" w:sz="0" w:space="0" w:color="auto"/>
        <w:right w:val="none" w:sz="0" w:space="0" w:color="auto"/>
      </w:divBdr>
    </w:div>
    <w:div w:id="183635223">
      <w:bodyDiv w:val="1"/>
      <w:marLeft w:val="0"/>
      <w:marRight w:val="0"/>
      <w:marTop w:val="0"/>
      <w:marBottom w:val="0"/>
      <w:divBdr>
        <w:top w:val="none" w:sz="0" w:space="0" w:color="auto"/>
        <w:left w:val="none" w:sz="0" w:space="0" w:color="auto"/>
        <w:bottom w:val="none" w:sz="0" w:space="0" w:color="auto"/>
        <w:right w:val="none" w:sz="0" w:space="0" w:color="auto"/>
      </w:divBdr>
    </w:div>
    <w:div w:id="207765354">
      <w:bodyDiv w:val="1"/>
      <w:marLeft w:val="0"/>
      <w:marRight w:val="0"/>
      <w:marTop w:val="0"/>
      <w:marBottom w:val="0"/>
      <w:divBdr>
        <w:top w:val="none" w:sz="0" w:space="0" w:color="auto"/>
        <w:left w:val="none" w:sz="0" w:space="0" w:color="auto"/>
        <w:bottom w:val="none" w:sz="0" w:space="0" w:color="auto"/>
        <w:right w:val="none" w:sz="0" w:space="0" w:color="auto"/>
      </w:divBdr>
    </w:div>
    <w:div w:id="427703205">
      <w:bodyDiv w:val="1"/>
      <w:marLeft w:val="0"/>
      <w:marRight w:val="0"/>
      <w:marTop w:val="0"/>
      <w:marBottom w:val="0"/>
      <w:divBdr>
        <w:top w:val="none" w:sz="0" w:space="0" w:color="auto"/>
        <w:left w:val="none" w:sz="0" w:space="0" w:color="auto"/>
        <w:bottom w:val="none" w:sz="0" w:space="0" w:color="auto"/>
        <w:right w:val="none" w:sz="0" w:space="0" w:color="auto"/>
      </w:divBdr>
    </w:div>
    <w:div w:id="532233174">
      <w:bodyDiv w:val="1"/>
      <w:marLeft w:val="0"/>
      <w:marRight w:val="0"/>
      <w:marTop w:val="0"/>
      <w:marBottom w:val="0"/>
      <w:divBdr>
        <w:top w:val="none" w:sz="0" w:space="0" w:color="auto"/>
        <w:left w:val="none" w:sz="0" w:space="0" w:color="auto"/>
        <w:bottom w:val="none" w:sz="0" w:space="0" w:color="auto"/>
        <w:right w:val="none" w:sz="0" w:space="0" w:color="auto"/>
      </w:divBdr>
    </w:div>
    <w:div w:id="644241699">
      <w:bodyDiv w:val="1"/>
      <w:marLeft w:val="0"/>
      <w:marRight w:val="0"/>
      <w:marTop w:val="0"/>
      <w:marBottom w:val="0"/>
      <w:divBdr>
        <w:top w:val="none" w:sz="0" w:space="0" w:color="auto"/>
        <w:left w:val="none" w:sz="0" w:space="0" w:color="auto"/>
        <w:bottom w:val="none" w:sz="0" w:space="0" w:color="auto"/>
        <w:right w:val="none" w:sz="0" w:space="0" w:color="auto"/>
      </w:divBdr>
    </w:div>
    <w:div w:id="773788644">
      <w:bodyDiv w:val="1"/>
      <w:marLeft w:val="0"/>
      <w:marRight w:val="0"/>
      <w:marTop w:val="0"/>
      <w:marBottom w:val="0"/>
      <w:divBdr>
        <w:top w:val="none" w:sz="0" w:space="0" w:color="auto"/>
        <w:left w:val="none" w:sz="0" w:space="0" w:color="auto"/>
        <w:bottom w:val="none" w:sz="0" w:space="0" w:color="auto"/>
        <w:right w:val="none" w:sz="0" w:space="0" w:color="auto"/>
      </w:divBdr>
    </w:div>
    <w:div w:id="809833804">
      <w:bodyDiv w:val="1"/>
      <w:marLeft w:val="0"/>
      <w:marRight w:val="0"/>
      <w:marTop w:val="0"/>
      <w:marBottom w:val="0"/>
      <w:divBdr>
        <w:top w:val="none" w:sz="0" w:space="0" w:color="auto"/>
        <w:left w:val="none" w:sz="0" w:space="0" w:color="auto"/>
        <w:bottom w:val="none" w:sz="0" w:space="0" w:color="auto"/>
        <w:right w:val="none" w:sz="0" w:space="0" w:color="auto"/>
      </w:divBdr>
    </w:div>
    <w:div w:id="936643766">
      <w:bodyDiv w:val="1"/>
      <w:marLeft w:val="0"/>
      <w:marRight w:val="0"/>
      <w:marTop w:val="0"/>
      <w:marBottom w:val="0"/>
      <w:divBdr>
        <w:top w:val="none" w:sz="0" w:space="0" w:color="auto"/>
        <w:left w:val="none" w:sz="0" w:space="0" w:color="auto"/>
        <w:bottom w:val="none" w:sz="0" w:space="0" w:color="auto"/>
        <w:right w:val="none" w:sz="0" w:space="0" w:color="auto"/>
      </w:divBdr>
    </w:div>
    <w:div w:id="970284907">
      <w:bodyDiv w:val="1"/>
      <w:marLeft w:val="0"/>
      <w:marRight w:val="0"/>
      <w:marTop w:val="0"/>
      <w:marBottom w:val="0"/>
      <w:divBdr>
        <w:top w:val="none" w:sz="0" w:space="0" w:color="auto"/>
        <w:left w:val="none" w:sz="0" w:space="0" w:color="auto"/>
        <w:bottom w:val="none" w:sz="0" w:space="0" w:color="auto"/>
        <w:right w:val="none" w:sz="0" w:space="0" w:color="auto"/>
      </w:divBdr>
    </w:div>
    <w:div w:id="1258367766">
      <w:bodyDiv w:val="1"/>
      <w:marLeft w:val="0"/>
      <w:marRight w:val="0"/>
      <w:marTop w:val="0"/>
      <w:marBottom w:val="0"/>
      <w:divBdr>
        <w:top w:val="none" w:sz="0" w:space="0" w:color="auto"/>
        <w:left w:val="none" w:sz="0" w:space="0" w:color="auto"/>
        <w:bottom w:val="none" w:sz="0" w:space="0" w:color="auto"/>
        <w:right w:val="none" w:sz="0" w:space="0" w:color="auto"/>
      </w:divBdr>
    </w:div>
    <w:div w:id="1264460739">
      <w:bodyDiv w:val="1"/>
      <w:marLeft w:val="0"/>
      <w:marRight w:val="0"/>
      <w:marTop w:val="0"/>
      <w:marBottom w:val="0"/>
      <w:divBdr>
        <w:top w:val="none" w:sz="0" w:space="0" w:color="auto"/>
        <w:left w:val="none" w:sz="0" w:space="0" w:color="auto"/>
        <w:bottom w:val="none" w:sz="0" w:space="0" w:color="auto"/>
        <w:right w:val="none" w:sz="0" w:space="0" w:color="auto"/>
      </w:divBdr>
    </w:div>
    <w:div w:id="1721441617">
      <w:bodyDiv w:val="1"/>
      <w:marLeft w:val="0"/>
      <w:marRight w:val="0"/>
      <w:marTop w:val="0"/>
      <w:marBottom w:val="0"/>
      <w:divBdr>
        <w:top w:val="none" w:sz="0" w:space="0" w:color="auto"/>
        <w:left w:val="none" w:sz="0" w:space="0" w:color="auto"/>
        <w:bottom w:val="none" w:sz="0" w:space="0" w:color="auto"/>
        <w:right w:val="none" w:sz="0" w:space="0" w:color="auto"/>
      </w:divBdr>
    </w:div>
    <w:div w:id="1782188048">
      <w:bodyDiv w:val="1"/>
      <w:marLeft w:val="0"/>
      <w:marRight w:val="0"/>
      <w:marTop w:val="0"/>
      <w:marBottom w:val="0"/>
      <w:divBdr>
        <w:top w:val="none" w:sz="0" w:space="0" w:color="auto"/>
        <w:left w:val="none" w:sz="0" w:space="0" w:color="auto"/>
        <w:bottom w:val="none" w:sz="0" w:space="0" w:color="auto"/>
        <w:right w:val="none" w:sz="0" w:space="0" w:color="auto"/>
      </w:divBdr>
    </w:div>
    <w:div w:id="1789082422">
      <w:bodyDiv w:val="1"/>
      <w:marLeft w:val="0"/>
      <w:marRight w:val="0"/>
      <w:marTop w:val="0"/>
      <w:marBottom w:val="0"/>
      <w:divBdr>
        <w:top w:val="none" w:sz="0" w:space="0" w:color="auto"/>
        <w:left w:val="none" w:sz="0" w:space="0" w:color="auto"/>
        <w:bottom w:val="none" w:sz="0" w:space="0" w:color="auto"/>
        <w:right w:val="none" w:sz="0" w:space="0" w:color="auto"/>
      </w:divBdr>
    </w:div>
    <w:div w:id="182658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EIS_20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pxristoforidou\Desktop\NEO_PC_D20_UO1\OLA_EPIFANEIA\OLD\&#932;&#945;%20&#941;&#947;&#947;&#961;&#945;&#966;&#940;%20&#956;&#959;&#965;\2018\&#917;&#921;&#931;&#919;&#915;&#919;&#932;&#921;&#922;&#919;_2018\16_11_17\&#913;&#960;&#959;&#948;&#972;&#963;&#949;&#953;&#962;%2010-&#949;&#964;&#974;&#957;%20(&#916;&#953;&#940;&#947;&#961;&#945;&#956;&#956;&#945;%204.5).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xristoforidou\Desktop\NEO_PC_D20_UO1\OLA_EPIFANEIA\OLD\&#932;&#945;%20&#941;&#947;&#947;&#961;&#945;&#966;&#940;%20&#956;&#959;&#965;\2016\&#917;&#921;&#931;&#919;&#915;&#919;&#932;&#921;&#922;&#919;%20&#917;&#922;&#920;&#917;&#931;&#919;%202016\&#915;&#961;&#940;&#966;&#951;&#956;&#945;%20&#963;&#964;&#959;%20Microsoft%20Office%20Word_eggyhse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6.9358540227501694E-2"/>
          <c:y val="8.7480925349447597E-2"/>
          <c:w val="0.90957428322190659"/>
          <c:h val="0.71548230889743103"/>
        </c:manualLayout>
      </c:layout>
      <c:barChart>
        <c:barDir val="col"/>
        <c:grouping val="stacked"/>
        <c:ser>
          <c:idx val="0"/>
          <c:order val="0"/>
          <c:tx>
            <c:strRef>
              <c:f>'Diagramma 4-1'!$B$1</c:f>
              <c:strCache>
                <c:ptCount val="1"/>
                <c:pt idx="0">
                  <c:v>Έντοκα</c:v>
                </c:pt>
              </c:strCache>
            </c:strRef>
          </c:tx>
          <c:spPr>
            <a:solidFill>
              <a:srgbClr val="FF6600"/>
            </a:solidFill>
            <a:ln w="12700">
              <a:noFill/>
              <a:prstDash val="solid"/>
            </a:ln>
          </c:spPr>
          <c:cat>
            <c:strRef>
              <c:f>'Diagramma 4-1'!$A$2:$A$44</c:f>
              <c:strCache>
                <c:ptCount val="43"/>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strCache>
            </c:strRef>
          </c:cat>
          <c:val>
            <c:numRef>
              <c:f>'Diagramma 4-1'!$B$2:$B$3</c:f>
              <c:numCache>
                <c:formatCode>#,##0.0</c:formatCode>
                <c:ptCount val="2"/>
                <c:pt idx="0">
                  <c:v>10487.4</c:v>
                </c:pt>
                <c:pt idx="1">
                  <c:v>4446.9000000000005</c:v>
                </c:pt>
              </c:numCache>
            </c:numRef>
          </c:val>
          <c:extLst xmlns:c16r2="http://schemas.microsoft.com/office/drawing/2015/06/chart">
            <c:ext xmlns:c16="http://schemas.microsoft.com/office/drawing/2014/chart" uri="{C3380CC4-5D6E-409C-BE32-E72D297353CC}">
              <c16:uniqueId val="{00000000-FCFC-4202-8ED0-FD1DE2D84DC1}"/>
            </c:ext>
          </c:extLst>
        </c:ser>
        <c:ser>
          <c:idx val="3"/>
          <c:order val="1"/>
          <c:tx>
            <c:strRef>
              <c:f>'Diagramma 4-1'!$C$1</c:f>
              <c:strCache>
                <c:ptCount val="1"/>
                <c:pt idx="0">
                  <c:v>Repos</c:v>
                </c:pt>
              </c:strCache>
            </c:strRef>
          </c:tx>
          <c:spPr>
            <a:solidFill>
              <a:srgbClr val="FFFF00"/>
            </a:solidFill>
          </c:spPr>
          <c:cat>
            <c:strRef>
              <c:f>'Diagramma 4-1'!$A$2:$A$44</c:f>
              <c:strCache>
                <c:ptCount val="43"/>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strCache>
            </c:strRef>
          </c:cat>
          <c:val>
            <c:numRef>
              <c:f>'Diagramma 4-1'!$C$2</c:f>
              <c:numCache>
                <c:formatCode>#,##0.0</c:formatCode>
                <c:ptCount val="1"/>
                <c:pt idx="0">
                  <c:v>13873</c:v>
                </c:pt>
              </c:numCache>
            </c:numRef>
          </c:val>
          <c:extLst xmlns:c16r2="http://schemas.microsoft.com/office/drawing/2015/06/chart">
            <c:ext xmlns:c16="http://schemas.microsoft.com/office/drawing/2014/chart" uri="{C3380CC4-5D6E-409C-BE32-E72D297353CC}">
              <c16:uniqueId val="{00000001-FCFC-4202-8ED0-FD1DE2D84DC1}"/>
            </c:ext>
          </c:extLst>
        </c:ser>
        <c:ser>
          <c:idx val="1"/>
          <c:order val="2"/>
          <c:tx>
            <c:strRef>
              <c:f>'Diagramma 4-1'!$D$1</c:f>
              <c:strCache>
                <c:ptCount val="1"/>
                <c:pt idx="0">
                  <c:v>Ομόλογα</c:v>
                </c:pt>
              </c:strCache>
            </c:strRef>
          </c:tx>
          <c:spPr>
            <a:solidFill>
              <a:srgbClr val="9BBB59">
                <a:lumMod val="75000"/>
              </a:srgbClr>
            </a:solidFill>
          </c:spPr>
          <c:cat>
            <c:strRef>
              <c:f>'Diagramma 4-1'!$A$2:$A$44</c:f>
              <c:strCache>
                <c:ptCount val="43"/>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strCache>
            </c:strRef>
          </c:cat>
          <c:val>
            <c:numRef>
              <c:f>'Diagramma 4-1'!$D$2:$D$44</c:f>
              <c:numCache>
                <c:formatCode>#,##0.0</c:formatCode>
                <c:ptCount val="43"/>
                <c:pt idx="0">
                  <c:v>27.4</c:v>
                </c:pt>
                <c:pt idx="1">
                  <c:v>1899.2</c:v>
                </c:pt>
                <c:pt idx="2">
                  <c:v>8813.2999999999811</c:v>
                </c:pt>
                <c:pt idx="3">
                  <c:v>1366.4</c:v>
                </c:pt>
                <c:pt idx="4">
                  <c:v>0</c:v>
                </c:pt>
                <c:pt idx="5">
                  <c:v>4312.2</c:v>
                </c:pt>
                <c:pt idx="6">
                  <c:v>1792.5</c:v>
                </c:pt>
                <c:pt idx="7">
                  <c:v>3077.4</c:v>
                </c:pt>
                <c:pt idx="8">
                  <c:v>1804.3</c:v>
                </c:pt>
                <c:pt idx="9">
                  <c:v>2435.5</c:v>
                </c:pt>
                <c:pt idx="10">
                  <c:v>1470</c:v>
                </c:pt>
                <c:pt idx="11">
                  <c:v>1725.4</c:v>
                </c:pt>
                <c:pt idx="12">
                  <c:v>1503.9</c:v>
                </c:pt>
                <c:pt idx="13">
                  <c:v>1533.9</c:v>
                </c:pt>
                <c:pt idx="14">
                  <c:v>1368</c:v>
                </c:pt>
                <c:pt idx="15">
                  <c:v>1373.8</c:v>
                </c:pt>
                <c:pt idx="16">
                  <c:v>1452.6</c:v>
                </c:pt>
                <c:pt idx="17">
                  <c:v>1724.2</c:v>
                </c:pt>
                <c:pt idx="18">
                  <c:v>1444.2</c:v>
                </c:pt>
                <c:pt idx="19">
                  <c:v>1505.1</c:v>
                </c:pt>
                <c:pt idx="20">
                  <c:v>1529.1</c:v>
                </c:pt>
                <c:pt idx="21">
                  <c:v>1382.2</c:v>
                </c:pt>
                <c:pt idx="22">
                  <c:v>1337.3</c:v>
                </c:pt>
                <c:pt idx="23">
                  <c:v>1371.9</c:v>
                </c:pt>
                <c:pt idx="24">
                  <c:v>1360.7</c:v>
                </c:pt>
                <c:pt idx="25">
                  <c:v>1432.5</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1158</c:v>
                </c:pt>
                <c:pt idx="41">
                  <c:v>0</c:v>
                </c:pt>
                <c:pt idx="42">
                  <c:v>0</c:v>
                </c:pt>
              </c:numCache>
            </c:numRef>
          </c:val>
          <c:extLst xmlns:c16r2="http://schemas.microsoft.com/office/drawing/2015/06/chart">
            <c:ext xmlns:c16="http://schemas.microsoft.com/office/drawing/2014/chart" uri="{C3380CC4-5D6E-409C-BE32-E72D297353CC}">
              <c16:uniqueId val="{00000002-FCFC-4202-8ED0-FD1DE2D84DC1}"/>
            </c:ext>
          </c:extLst>
        </c:ser>
        <c:ser>
          <c:idx val="2"/>
          <c:order val="3"/>
          <c:tx>
            <c:strRef>
              <c:f>'Diagramma 4-1'!$E$1</c:f>
              <c:strCache>
                <c:ptCount val="1"/>
                <c:pt idx="0">
                  <c:v>Δάνεια</c:v>
                </c:pt>
              </c:strCache>
            </c:strRef>
          </c:tx>
          <c:spPr>
            <a:solidFill>
              <a:srgbClr val="1F497D">
                <a:lumMod val="75000"/>
              </a:srgbClr>
            </a:solidFill>
          </c:spPr>
          <c:cat>
            <c:strRef>
              <c:f>'Diagramma 4-1'!$A$2:$A$44</c:f>
              <c:strCache>
                <c:ptCount val="43"/>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strCache>
            </c:strRef>
          </c:cat>
          <c:val>
            <c:numRef>
              <c:f>'Diagramma 4-1'!$E$2:$E$44</c:f>
              <c:numCache>
                <c:formatCode>#,##0.0</c:formatCode>
                <c:ptCount val="43"/>
                <c:pt idx="0">
                  <c:v>196.29999999999922</c:v>
                </c:pt>
                <c:pt idx="1">
                  <c:v>2648.8</c:v>
                </c:pt>
                <c:pt idx="2">
                  <c:v>2951.8</c:v>
                </c:pt>
                <c:pt idx="3">
                  <c:v>3665</c:v>
                </c:pt>
                <c:pt idx="4">
                  <c:v>5080.8</c:v>
                </c:pt>
                <c:pt idx="5">
                  <c:v>5525.9</c:v>
                </c:pt>
                <c:pt idx="6">
                  <c:v>7296.6</c:v>
                </c:pt>
                <c:pt idx="7">
                  <c:v>5924.1</c:v>
                </c:pt>
                <c:pt idx="8">
                  <c:v>5546.8</c:v>
                </c:pt>
                <c:pt idx="9">
                  <c:v>5553.6</c:v>
                </c:pt>
                <c:pt idx="10">
                  <c:v>6523.6</c:v>
                </c:pt>
                <c:pt idx="11">
                  <c:v>5970.2</c:v>
                </c:pt>
                <c:pt idx="12">
                  <c:v>5432.5</c:v>
                </c:pt>
                <c:pt idx="13">
                  <c:v>6000.5</c:v>
                </c:pt>
                <c:pt idx="14">
                  <c:v>5745.2</c:v>
                </c:pt>
                <c:pt idx="15">
                  <c:v>5737.6</c:v>
                </c:pt>
                <c:pt idx="16">
                  <c:v>5340.7</c:v>
                </c:pt>
                <c:pt idx="17">
                  <c:v>6392.4</c:v>
                </c:pt>
                <c:pt idx="18">
                  <c:v>6414.4</c:v>
                </c:pt>
                <c:pt idx="19">
                  <c:v>6427.2</c:v>
                </c:pt>
                <c:pt idx="20">
                  <c:v>6448.1</c:v>
                </c:pt>
                <c:pt idx="21">
                  <c:v>5862.6</c:v>
                </c:pt>
                <c:pt idx="22">
                  <c:v>5879.6</c:v>
                </c:pt>
                <c:pt idx="23">
                  <c:v>5190.4000000000005</c:v>
                </c:pt>
                <c:pt idx="24">
                  <c:v>3843.3</c:v>
                </c:pt>
                <c:pt idx="25">
                  <c:v>3283.2</c:v>
                </c:pt>
                <c:pt idx="26">
                  <c:v>4727.7</c:v>
                </c:pt>
                <c:pt idx="27">
                  <c:v>4748.1000000000004</c:v>
                </c:pt>
                <c:pt idx="28">
                  <c:v>5351.8</c:v>
                </c:pt>
                <c:pt idx="29">
                  <c:v>5772.2</c:v>
                </c:pt>
                <c:pt idx="30">
                  <c:v>7042.6</c:v>
                </c:pt>
                <c:pt idx="31">
                  <c:v>6862.8</c:v>
                </c:pt>
                <c:pt idx="32">
                  <c:v>7933.1</c:v>
                </c:pt>
                <c:pt idx="33">
                  <c:v>8456.9</c:v>
                </c:pt>
                <c:pt idx="34">
                  <c:v>8572.1</c:v>
                </c:pt>
                <c:pt idx="35">
                  <c:v>8734.5</c:v>
                </c:pt>
                <c:pt idx="36">
                  <c:v>9070.2000000000007</c:v>
                </c:pt>
                <c:pt idx="37">
                  <c:v>9427.2999999999811</c:v>
                </c:pt>
                <c:pt idx="38">
                  <c:v>9436.4</c:v>
                </c:pt>
                <c:pt idx="39">
                  <c:v>9441.7999999999811</c:v>
                </c:pt>
                <c:pt idx="40">
                  <c:v>2209.6999999999998</c:v>
                </c:pt>
                <c:pt idx="41">
                  <c:v>2215.1</c:v>
                </c:pt>
                <c:pt idx="42">
                  <c:v>2222.6</c:v>
                </c:pt>
              </c:numCache>
            </c:numRef>
          </c:val>
          <c:extLst xmlns:c16r2="http://schemas.microsoft.com/office/drawing/2015/06/chart">
            <c:ext xmlns:c16="http://schemas.microsoft.com/office/drawing/2014/chart" uri="{C3380CC4-5D6E-409C-BE32-E72D297353CC}">
              <c16:uniqueId val="{00000003-FCFC-4202-8ED0-FD1DE2D84DC1}"/>
            </c:ext>
          </c:extLst>
        </c:ser>
        <c:gapWidth val="20"/>
        <c:overlap val="100"/>
        <c:axId val="140190848"/>
        <c:axId val="140192384"/>
      </c:barChart>
      <c:catAx>
        <c:axId val="140190848"/>
        <c:scaling>
          <c:orientation val="minMax"/>
        </c:scaling>
        <c:axPos val="b"/>
        <c:numFmt formatCode="General" sourceLinked="1"/>
        <c:tickLblPos val="nextTo"/>
        <c:spPr>
          <a:ln w="3175">
            <a:solidFill>
              <a:srgbClr val="000000"/>
            </a:solidFill>
            <a:prstDash val="solid"/>
          </a:ln>
        </c:spPr>
        <c:txPr>
          <a:bodyPr rot="0" vert="horz"/>
          <a:lstStyle/>
          <a:p>
            <a:pPr>
              <a:defRPr b="0"/>
            </a:pPr>
            <a:endParaRPr lang="el-GR"/>
          </a:p>
        </c:txPr>
        <c:crossAx val="140192384"/>
        <c:crosses val="autoZero"/>
        <c:auto val="1"/>
        <c:lblAlgn val="ctr"/>
        <c:lblOffset val="100"/>
        <c:tickLblSkip val="1"/>
        <c:tickMarkSkip val="1"/>
      </c:catAx>
      <c:valAx>
        <c:axId val="140192384"/>
        <c:scaling>
          <c:orientation val="minMax"/>
          <c:max val="26000"/>
          <c:min val="0"/>
        </c:scaling>
        <c:axPos val="l"/>
        <c:numFmt formatCode="#,##0" sourceLinked="0"/>
        <c:tickLblPos val="nextTo"/>
        <c:spPr>
          <a:ln w="3175">
            <a:solidFill>
              <a:srgbClr val="000000"/>
            </a:solidFill>
            <a:prstDash val="solid"/>
          </a:ln>
        </c:spPr>
        <c:txPr>
          <a:bodyPr rot="0" vert="horz"/>
          <a:lstStyle/>
          <a:p>
            <a:pPr>
              <a:defRPr b="0"/>
            </a:pPr>
            <a:endParaRPr lang="el-GR"/>
          </a:p>
        </c:txPr>
        <c:crossAx val="140190848"/>
        <c:crosses val="autoZero"/>
        <c:crossBetween val="between"/>
        <c:majorUnit val="2000"/>
      </c:valAx>
      <c:spPr>
        <a:solidFill>
          <a:srgbClr val="FFFFFF"/>
        </a:solidFill>
        <a:ln w="25400">
          <a:noFill/>
        </a:ln>
      </c:spPr>
    </c:plotArea>
    <c:legend>
      <c:legendPos val="b"/>
      <c:layout>
        <c:manualLayout>
          <c:xMode val="edge"/>
          <c:yMode val="edge"/>
          <c:x val="0.35963696126769451"/>
          <c:y val="0.90909357260575063"/>
          <c:w val="0.33786493977972704"/>
          <c:h val="5.8822220865802924E-2"/>
        </c:manualLayout>
      </c:layout>
      <c:spPr>
        <a:solidFill>
          <a:srgbClr val="FFFFFF"/>
        </a:solidFill>
        <a:ln w="25400">
          <a:noFill/>
        </a:ln>
      </c:spPr>
    </c:legend>
    <c:plotVisOnly val="1"/>
    <c:dispBlanksAs val="gap"/>
  </c:chart>
  <c:spPr>
    <a:solidFill>
      <a:srgbClr val="FFFFFF"/>
    </a:solidFill>
    <a:ln w="9525">
      <a:noFill/>
    </a:ln>
  </c:spPr>
  <c:txPr>
    <a:bodyPr/>
    <a:lstStyle/>
    <a:p>
      <a:pPr>
        <a:defRPr sz="800" b="1" i="0" u="none" strike="noStrike" baseline="0">
          <a:solidFill>
            <a:srgbClr val="000000"/>
          </a:solidFill>
          <a:latin typeface="Arial Narrow" pitchFamily="34" charset="0"/>
          <a:ea typeface="Times New Roman"/>
          <a:cs typeface="Times New Roman"/>
        </a:defRPr>
      </a:pPr>
      <a:endParaRPr lang="el-G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view3D>
      <c:perspective val="0"/>
    </c:view3D>
    <c:plotArea>
      <c:layout>
        <c:manualLayout>
          <c:layoutTarget val="inner"/>
          <c:xMode val="edge"/>
          <c:yMode val="edge"/>
          <c:x val="9.5495663526998065E-2"/>
          <c:y val="0.22741502207159714"/>
          <c:w val="0.7261274037996267"/>
          <c:h val="0.49844388399254286"/>
        </c:manualLayout>
      </c:layout>
      <c:pie3DChart>
        <c:varyColors val="1"/>
        <c:ser>
          <c:idx val="0"/>
          <c:order val="0"/>
          <c:spPr>
            <a:solidFill>
              <a:srgbClr val="9999FF"/>
            </a:solidFill>
            <a:ln w="12700">
              <a:solidFill>
                <a:srgbClr val="000000"/>
              </a:solidFill>
              <a:prstDash val="solid"/>
            </a:ln>
          </c:spPr>
          <c:explosion val="3"/>
          <c:dPt>
            <c:idx val="1"/>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8D9D-41BD-868E-293CADC0576E}"/>
              </c:ext>
            </c:extLst>
          </c:dPt>
          <c:dPt>
            <c:idx val="2"/>
            <c:spPr>
              <a:solidFill>
                <a:srgbClr val="00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3-8D9D-41BD-868E-293CADC0576E}"/>
              </c:ext>
            </c:extLst>
          </c:dPt>
          <c:dPt>
            <c:idx val="3"/>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05-8D9D-41BD-868E-293CADC0576E}"/>
              </c:ext>
            </c:extLst>
          </c:dPt>
          <c:dPt>
            <c:idx val="4"/>
            <c:spPr>
              <a:solidFill>
                <a:srgbClr val="00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7-8D9D-41BD-868E-293CADC0576E}"/>
              </c:ext>
            </c:extLst>
          </c:dPt>
          <c:dPt>
            <c:idx val="5"/>
            <c:spPr>
              <a:solidFill>
                <a:srgbClr val="FFCC00"/>
              </a:solidFill>
              <a:ln w="12700">
                <a:solidFill>
                  <a:srgbClr val="000000"/>
                </a:solidFill>
                <a:prstDash val="solid"/>
              </a:ln>
            </c:spPr>
            <c:extLst xmlns:c16r2="http://schemas.microsoft.com/office/drawing/2015/06/chart">
              <c:ext xmlns:c16="http://schemas.microsoft.com/office/drawing/2014/chart" uri="{C3380CC4-5D6E-409C-BE32-E72D297353CC}">
                <c16:uniqueId val="{00000009-8D9D-41BD-868E-293CADC0576E}"/>
              </c:ext>
            </c:extLst>
          </c:dPt>
          <c:dPt>
            <c:idx val="6"/>
            <c:spPr>
              <a:solidFill>
                <a:srgbClr val="FF6600"/>
              </a:solidFill>
              <a:ln w="12700">
                <a:solidFill>
                  <a:srgbClr val="000000"/>
                </a:solidFill>
                <a:prstDash val="solid"/>
              </a:ln>
            </c:spPr>
            <c:extLst xmlns:c16r2="http://schemas.microsoft.com/office/drawing/2015/06/chart">
              <c:ext xmlns:c16="http://schemas.microsoft.com/office/drawing/2014/chart" uri="{C3380CC4-5D6E-409C-BE32-E72D297353CC}">
                <c16:uniqueId val="{0000000B-8D9D-41BD-868E-293CADC0576E}"/>
              </c:ext>
            </c:extLst>
          </c:dPt>
          <c:dLbls>
            <c:dLbl>
              <c:idx val="0"/>
              <c:layout>
                <c:manualLayout>
                  <c:x val="-0.13041199699504041"/>
                  <c:y val="-0.1711860012279596"/>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D9D-41BD-868E-293CADC0576E}"/>
                </c:ext>
              </c:extLst>
            </c:dLbl>
            <c:dLbl>
              <c:idx val="1"/>
              <c:layout>
                <c:manualLayout>
                  <c:x val="-3.4545192783309225E-2"/>
                  <c:y val="-0.22974467966628839"/>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9D-41BD-868E-293CADC0576E}"/>
                </c:ext>
              </c:extLst>
            </c:dLbl>
            <c:dLbl>
              <c:idx val="2"/>
              <c:layout>
                <c:manualLayout>
                  <c:x val="4.8138847508926294E-3"/>
                  <c:y val="-0.12128731572104888"/>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9D-41BD-868E-293CADC0576E}"/>
                </c:ext>
              </c:extLst>
            </c:dLbl>
            <c:dLbl>
              <c:idx val="3"/>
              <c:layout>
                <c:manualLayout>
                  <c:x val="3.7345818259204272E-2"/>
                  <c:y val="3.589569995339368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D9D-41BD-868E-293CADC0576E}"/>
                </c:ext>
              </c:extLst>
            </c:dLbl>
            <c:dLbl>
              <c:idx val="4"/>
              <c:layout>
                <c:manualLayout>
                  <c:x val="0"/>
                  <c:y val="0.21847370344529796"/>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9D-41BD-868E-293CADC0576E}"/>
                </c:ext>
              </c:extLst>
            </c:dLbl>
            <c:dLbl>
              <c:idx val="5"/>
              <c:layout>
                <c:manualLayout>
                  <c:x val="0.10090107844362096"/>
                  <c:y val="0.13081321161108081"/>
                </c:manualLayout>
              </c:layout>
              <c:tx>
                <c:rich>
                  <a:bodyPr/>
                  <a:lstStyle/>
                  <a:p>
                    <a:r>
                      <a:rPr lang="el-GR" sz="700" b="0" i="0" u="none" strike="noStrike" baseline="0">
                        <a:solidFill>
                          <a:srgbClr val="000000"/>
                        </a:solidFill>
                        <a:latin typeface="Arial Narrow" pitchFamily="34" charset="0"/>
                        <a:cs typeface="Arial"/>
                      </a:rPr>
                      <a:t>Δάνεια Μηχ/σμού Στήριξης</a:t>
                    </a:r>
                  </a:p>
                  <a:p>
                    <a:r>
                      <a:rPr lang="el-GR" sz="700" b="0" i="0" u="none" strike="noStrike" baseline="0">
                        <a:solidFill>
                          <a:srgbClr val="000000"/>
                        </a:solidFill>
                        <a:latin typeface="Arial Narrow" pitchFamily="34" charset="0"/>
                        <a:cs typeface="Arial"/>
                      </a:rPr>
                      <a:t>71,2%</a:t>
                    </a:r>
                  </a:p>
                </c:rich>
              </c:tx>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9D-41BD-868E-293CADC0576E}"/>
                </c:ext>
              </c:extLst>
            </c:dLbl>
            <c:dLbl>
              <c:idx val="6"/>
              <c:layout>
                <c:manualLayout>
                  <c:x val="-8.8287674288379872E-2"/>
                  <c:y val="-7.3017739948847263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D9D-41BD-868E-293CADC0576E}"/>
                </c:ext>
              </c:extLst>
            </c:dLbl>
            <c:dLbl>
              <c:idx val="7"/>
              <c:layout>
                <c:manualLayout>
                  <c:x val="1.8374216736421457E-2"/>
                  <c:y val="-9.5634541009477256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D9D-41BD-868E-293CADC0576E}"/>
                </c:ext>
              </c:extLst>
            </c:dLbl>
            <c:numFmt formatCode="0.0%" sourceLinked="0"/>
            <c:spPr>
              <a:noFill/>
              <a:ln w="25400">
                <a:noFill/>
              </a:ln>
            </c:spPr>
            <c:txPr>
              <a:bodyPr/>
              <a:lstStyle/>
              <a:p>
                <a:pPr>
                  <a:defRPr sz="700" b="0" i="0" u="none" strike="noStrike" baseline="0">
                    <a:solidFill>
                      <a:srgbClr val="000000"/>
                    </a:solidFill>
                    <a:latin typeface="Arial Narrow" pitchFamily="34" charset="0"/>
                    <a:ea typeface="Arial"/>
                    <a:cs typeface="Arial"/>
                  </a:defRPr>
                </a:pPr>
                <a:endParaRPr lang="el-GR"/>
              </a:p>
            </c:txPr>
            <c:showCatName val="1"/>
            <c:showPercent val="1"/>
            <c:showLeaderLines val="1"/>
            <c:extLst xmlns:c16r2="http://schemas.microsoft.com/office/drawing/2015/06/chart">
              <c:ext xmlns:c15="http://schemas.microsoft.com/office/drawing/2012/chart" uri="{CE6537A1-D6FC-4f65-9D91-7224C49458BB}"/>
            </c:extLst>
          </c:dLbls>
          <c:cat>
            <c:strRef>
              <c:f>'Diagramma 4-2'!$Q$1:$Q$8</c:f>
              <c:strCache>
                <c:ptCount val="8"/>
                <c:pt idx="0">
                  <c:v>Ομόλογα εσωτερικού</c:v>
                </c:pt>
                <c:pt idx="1">
                  <c:v>Ομόλογα εξωτερικού και τιτλοποιήσεις</c:v>
                </c:pt>
                <c:pt idx="2">
                  <c:v>Έντοκα γραμμάτια</c:v>
                </c:pt>
                <c:pt idx="3">
                  <c:v>Δάνεια Τράπεζας Ελλάδος και Λοιπά</c:v>
                </c:pt>
                <c:pt idx="4">
                  <c:v>Ειδικά και  διακρατικά δάνεια</c:v>
                </c:pt>
                <c:pt idx="5">
                  <c:v>Δάνεια Μηχανισμού Στήριξης</c:v>
                </c:pt>
                <c:pt idx="6">
                  <c:v>Λοιπά δάνεια εξωτερικού</c:v>
                </c:pt>
                <c:pt idx="7">
                  <c:v>Repos</c:v>
                </c:pt>
              </c:strCache>
            </c:strRef>
          </c:cat>
          <c:val>
            <c:numRef>
              <c:f>'Diagramma 4-2'!$R$1:$R$8</c:f>
              <c:numCache>
                <c:formatCode>0.00000%</c:formatCode>
                <c:ptCount val="8"/>
                <c:pt idx="0">
                  <c:v>0.14843582305574124</c:v>
                </c:pt>
                <c:pt idx="1">
                  <c:v>5.5011437718098894E-3</c:v>
                </c:pt>
                <c:pt idx="2">
                  <c:v>4.5793802167340324E-2</c:v>
                </c:pt>
                <c:pt idx="3">
                  <c:v>9.5089447248508183E-3</c:v>
                </c:pt>
                <c:pt idx="4">
                  <c:v>2.2449204879275514E-2</c:v>
                </c:pt>
                <c:pt idx="5">
                  <c:v>0.71250544288193696</c:v>
                </c:pt>
                <c:pt idx="6">
                  <c:v>1.3265299864464581E-2</c:v>
                </c:pt>
                <c:pt idx="7">
                  <c:v>4.2540338654580886E-2</c:v>
                </c:pt>
              </c:numCache>
            </c:numRef>
          </c:val>
          <c:extLst xmlns:c16r2="http://schemas.microsoft.com/office/drawing/2015/06/chart">
            <c:ext xmlns:c16="http://schemas.microsoft.com/office/drawing/2014/chart" uri="{C3380CC4-5D6E-409C-BE32-E72D297353CC}">
              <c16:uniqueId val="{0000000E-8D9D-41BD-868E-293CADC0576E}"/>
            </c:ext>
          </c:extLst>
        </c:ser>
      </c:pie3DChart>
      <c:spPr>
        <a:noFill/>
        <a:ln w="25400">
          <a:noFill/>
        </a:ln>
      </c:spPr>
    </c:plotArea>
    <c:plotVisOnly val="1"/>
    <c:dispBlanksAs val="zero"/>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9.4202898550724723E-2"/>
          <c:y val="7.7742279020234534E-2"/>
          <c:w val="0.82081921420093562"/>
          <c:h val="0.77427334551194849"/>
        </c:manualLayout>
      </c:layout>
      <c:lineChart>
        <c:grouping val="standard"/>
        <c:ser>
          <c:idx val="1"/>
          <c:order val="0"/>
          <c:tx>
            <c:strRef>
              <c:f>'Diagramma 4.3 '!$A$5</c:f>
              <c:strCache>
                <c:ptCount val="1"/>
                <c:pt idx="0">
                  <c:v>ως % του ΑΕΠ</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'Diagramma 4.3 '!$B$3:$G$3</c:f>
              <c:strCache>
                <c:ptCount val="6"/>
                <c:pt idx="0">
                  <c:v>2013</c:v>
                </c:pt>
                <c:pt idx="1">
                  <c:v>2014</c:v>
                </c:pt>
                <c:pt idx="2">
                  <c:v>2015</c:v>
                </c:pt>
                <c:pt idx="3">
                  <c:v>2016</c:v>
                </c:pt>
                <c:pt idx="4">
                  <c:v>2017*</c:v>
                </c:pt>
                <c:pt idx="5">
                  <c:v>2018**</c:v>
                </c:pt>
              </c:strCache>
            </c:strRef>
          </c:cat>
          <c:val>
            <c:numRef>
              <c:f>'Diagramma 4.3 '!$B$5:$G$5</c:f>
              <c:numCache>
                <c:formatCode>0.0%</c:formatCode>
                <c:ptCount val="6"/>
                <c:pt idx="0">
                  <c:v>3.3328904978577829E-2</c:v>
                </c:pt>
                <c:pt idx="1">
                  <c:v>3.0942145799749292E-2</c:v>
                </c:pt>
                <c:pt idx="2">
                  <c:v>3.28962294114978E-2</c:v>
                </c:pt>
                <c:pt idx="3">
                  <c:v>3.2078255328675941E-2</c:v>
                </c:pt>
                <c:pt idx="4">
                  <c:v>3.3598575420402184E-2</c:v>
                </c:pt>
                <c:pt idx="5">
                  <c:v>2.8155134792707797E-2</c:v>
                </c:pt>
              </c:numCache>
            </c:numRef>
          </c:val>
          <c:extLst xmlns:c16r2="http://schemas.microsoft.com/office/drawing/2015/06/chart">
            <c:ext xmlns:c16="http://schemas.microsoft.com/office/drawing/2014/chart" uri="{C3380CC4-5D6E-409C-BE32-E72D297353CC}">
              <c16:uniqueId val="{00000000-1C82-4350-847B-E88CE6EC8A96}"/>
            </c:ext>
          </c:extLst>
        </c:ser>
        <c:marker val="1"/>
        <c:axId val="132165632"/>
        <c:axId val="132167552"/>
      </c:lineChart>
      <c:catAx>
        <c:axId val="132165632"/>
        <c:scaling>
          <c:orientation val="minMax"/>
        </c:scaling>
        <c:axPos val="b"/>
        <c:numFmt formatCode="General" sourceLinked="1"/>
        <c:tickLblPos val="nextTo"/>
        <c:spPr>
          <a:ln w="3175">
            <a:solidFill>
              <a:srgbClr val="000000"/>
            </a:solidFill>
            <a:prstDash val="solid"/>
          </a:ln>
        </c:spPr>
        <c:txPr>
          <a:bodyPr rot="0" vert="horz"/>
          <a:lstStyle/>
          <a:p>
            <a:pPr>
              <a:defRPr/>
            </a:pPr>
            <a:endParaRPr lang="el-GR"/>
          </a:p>
        </c:txPr>
        <c:crossAx val="132167552"/>
        <c:crosses val="autoZero"/>
        <c:auto val="1"/>
        <c:lblAlgn val="ctr"/>
        <c:lblOffset val="100"/>
        <c:tickLblSkip val="1"/>
        <c:tickMarkSkip val="1"/>
      </c:catAx>
      <c:valAx>
        <c:axId val="132167552"/>
        <c:scaling>
          <c:orientation val="minMax"/>
          <c:max val="4.0000000000000022E-2"/>
          <c:min val="0"/>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a:pPr>
            <a:endParaRPr lang="el-GR"/>
          </a:p>
        </c:txPr>
        <c:crossAx val="132165632"/>
        <c:crosses val="autoZero"/>
        <c:crossBetween val="between"/>
        <c:minorUnit val="1.0000000000000005E-2"/>
      </c:valAx>
      <c:spPr>
        <a:solidFill>
          <a:schemeClr val="bg1"/>
        </a:solidFill>
        <a:ln w="12700">
          <a:solidFill>
            <a:srgbClr val="808080"/>
          </a:solidFill>
          <a:prstDash val="solid"/>
        </a:ln>
      </c:spPr>
    </c:plotArea>
    <c:legend>
      <c:legendPos val="b"/>
      <c:layout>
        <c:manualLayout>
          <c:xMode val="edge"/>
          <c:yMode val="edge"/>
          <c:x val="0.38616050920751793"/>
          <c:y val="0.93723753491471029"/>
          <c:w val="0.22767877419211668"/>
          <c:h val="6.2762465085289723E-2"/>
        </c:manualLayout>
      </c:layout>
      <c:spPr>
        <a:solidFill>
          <a:srgbClr val="FFFFFF"/>
        </a:solidFill>
        <a:ln w="3175">
          <a:noFill/>
          <a:prstDash val="solid"/>
        </a:ln>
      </c:spPr>
    </c:legend>
    <c:plotVisOnly val="1"/>
    <c:dispBlanksAs val="gap"/>
  </c:chart>
  <c:spPr>
    <a:solidFill>
      <a:srgbClr val="FFFFFF"/>
    </a:solidFill>
    <a:ln w="3175">
      <a:noFill/>
      <a:prstDash val="solid"/>
    </a:ln>
  </c:spPr>
  <c:txPr>
    <a:bodyPr/>
    <a:lstStyle/>
    <a:p>
      <a:pPr>
        <a:defRPr sz="900" b="0" i="0" u="none" strike="noStrike" baseline="0">
          <a:solidFill>
            <a:srgbClr val="000000"/>
          </a:solidFill>
          <a:latin typeface="Arial Narrow" pitchFamily="34" charset="0"/>
          <a:ea typeface="Arial"/>
          <a:cs typeface="Arial"/>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9.4474402820859768E-2"/>
          <c:y val="9.8997493734336195E-2"/>
          <c:w val="0.89083104005938663"/>
          <c:h val="0.75187969924812437"/>
        </c:manualLayout>
      </c:layout>
      <c:lineChart>
        <c:grouping val="standard"/>
        <c:ser>
          <c:idx val="0"/>
          <c:order val="0"/>
          <c:tx>
            <c:strRef>
              <c:f>'Diagramma 4.4 '!$D$1</c:f>
              <c:strCache>
                <c:ptCount val="1"/>
              </c:strCache>
            </c:strRef>
          </c:tx>
          <c:spPr>
            <a:ln w="12700">
              <a:solidFill>
                <a:srgbClr val="000080"/>
              </a:solidFill>
              <a:prstDash val="solid"/>
            </a:ln>
          </c:spPr>
          <c:marker>
            <c:symbol val="square"/>
            <c:size val="5"/>
            <c:spPr>
              <a:solidFill>
                <a:srgbClr val="000080"/>
              </a:solidFill>
              <a:ln>
                <a:solidFill>
                  <a:srgbClr val="000080"/>
                </a:solidFill>
                <a:prstDash val="solid"/>
              </a:ln>
            </c:spPr>
          </c:marker>
          <c:cat>
            <c:strRef>
              <c:f>'Diagramma 4.4 '!$A$3:$A$10</c:f>
              <c:strCache>
                <c:ptCount val="8"/>
                <c:pt idx="0">
                  <c:v>3Μ</c:v>
                </c:pt>
                <c:pt idx="1">
                  <c:v>6Μ</c:v>
                </c:pt>
                <c:pt idx="2">
                  <c:v>2Ε</c:v>
                </c:pt>
                <c:pt idx="3">
                  <c:v>5Ε</c:v>
                </c:pt>
                <c:pt idx="4">
                  <c:v>10Ε</c:v>
                </c:pt>
                <c:pt idx="5">
                  <c:v>15Ε</c:v>
                </c:pt>
                <c:pt idx="6">
                  <c:v>20Ε</c:v>
                </c:pt>
                <c:pt idx="7">
                  <c:v>25Ε</c:v>
                </c:pt>
              </c:strCache>
            </c:strRef>
          </c:cat>
          <c:val>
            <c:numRef>
              <c:f>'Diagramma 4.4 '!$B$3:$B$10</c:f>
              <c:numCache>
                <c:formatCode>0.000%</c:formatCode>
                <c:ptCount val="8"/>
                <c:pt idx="0">
                  <c:v>1.8499999999999999E-2</c:v>
                </c:pt>
                <c:pt idx="1">
                  <c:v>2.35E-2</c:v>
                </c:pt>
                <c:pt idx="2">
                  <c:v>3.099E-2</c:v>
                </c:pt>
                <c:pt idx="3">
                  <c:v>4.5260000000000002E-2</c:v>
                </c:pt>
                <c:pt idx="4">
                  <c:v>5.5090000000000104E-2</c:v>
                </c:pt>
                <c:pt idx="5">
                  <c:v>6.2109999999999999E-2</c:v>
                </c:pt>
                <c:pt idx="6">
                  <c:v>6.3769999999999993E-2</c:v>
                </c:pt>
                <c:pt idx="7">
                  <c:v>6.2170000000000003E-2</c:v>
                </c:pt>
              </c:numCache>
            </c:numRef>
          </c:val>
          <c:extLst xmlns:c16r2="http://schemas.microsoft.com/office/drawing/2015/06/chart">
            <c:ext xmlns:c16="http://schemas.microsoft.com/office/drawing/2014/chart" uri="{C3380CC4-5D6E-409C-BE32-E72D297353CC}">
              <c16:uniqueId val="{00000000-2155-4302-919F-4E681FA12017}"/>
            </c:ext>
          </c:extLst>
        </c:ser>
        <c:ser>
          <c:idx val="1"/>
          <c:order val="1"/>
          <c:tx>
            <c:strRef>
              <c:f>'Diagramma 4.4 '!$B$1</c:f>
              <c:strCache>
                <c:ptCount val="1"/>
                <c:pt idx="0">
                  <c:v>20/10/2017</c:v>
                </c:pt>
              </c:strCache>
            </c:strRef>
          </c:tx>
          <c:spPr>
            <a:ln w="12700">
              <a:solidFill>
                <a:srgbClr val="FF00FF"/>
              </a:solidFill>
              <a:prstDash val="solid"/>
            </a:ln>
          </c:spPr>
          <c:marker>
            <c:symbol val="diamond"/>
            <c:size val="5"/>
            <c:spPr>
              <a:solidFill>
                <a:srgbClr val="FF00FF"/>
              </a:solidFill>
              <a:ln>
                <a:solidFill>
                  <a:srgbClr val="FF00FF"/>
                </a:solidFill>
                <a:prstDash val="solid"/>
              </a:ln>
            </c:spPr>
          </c:marker>
          <c:cat>
            <c:strRef>
              <c:f>'Diagramma 4.4 '!$A$3:$A$10</c:f>
              <c:strCache>
                <c:ptCount val="8"/>
                <c:pt idx="0">
                  <c:v>3Μ</c:v>
                </c:pt>
                <c:pt idx="1">
                  <c:v>6Μ</c:v>
                </c:pt>
                <c:pt idx="2">
                  <c:v>2Ε</c:v>
                </c:pt>
                <c:pt idx="3">
                  <c:v>5Ε</c:v>
                </c:pt>
                <c:pt idx="4">
                  <c:v>10Ε</c:v>
                </c:pt>
                <c:pt idx="5">
                  <c:v>15Ε</c:v>
                </c:pt>
                <c:pt idx="6">
                  <c:v>20Ε</c:v>
                </c:pt>
                <c:pt idx="7">
                  <c:v>25Ε</c:v>
                </c:pt>
              </c:strCache>
            </c:strRef>
          </c:cat>
          <c:val>
            <c:numRef>
              <c:f>'Diagramma 4.4 '!#ΑΝΑΦ!</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2155-4302-919F-4E681FA12017}"/>
            </c:ext>
          </c:extLst>
        </c:ser>
        <c:marker val="1"/>
        <c:axId val="143755520"/>
        <c:axId val="146805120"/>
      </c:lineChart>
      <c:catAx>
        <c:axId val="143755520"/>
        <c:scaling>
          <c:orientation val="minMax"/>
        </c:scaling>
        <c:axPos val="b"/>
        <c:numFmt formatCode="General" sourceLinked="1"/>
        <c:tickLblPos val="nextTo"/>
        <c:spPr>
          <a:ln w="3175">
            <a:solidFill>
              <a:srgbClr val="000000"/>
            </a:solidFill>
            <a:prstDash val="solid"/>
          </a:ln>
        </c:spPr>
        <c:txPr>
          <a:bodyPr rot="0" vert="horz"/>
          <a:lstStyle/>
          <a:p>
            <a:pPr>
              <a:defRPr/>
            </a:pPr>
            <a:endParaRPr lang="el-GR"/>
          </a:p>
        </c:txPr>
        <c:crossAx val="146805120"/>
        <c:crosses val="autoZero"/>
        <c:auto val="1"/>
        <c:lblAlgn val="ctr"/>
        <c:lblOffset val="100"/>
        <c:tickLblSkip val="1"/>
        <c:tickMarkSkip val="1"/>
      </c:catAx>
      <c:valAx>
        <c:axId val="146805120"/>
        <c:scaling>
          <c:orientation val="minMax"/>
          <c:max val="7.0000000000000021E-2"/>
          <c:min val="1.0000000000000005E-2"/>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a:pPr>
            <a:endParaRPr lang="el-GR"/>
          </a:p>
        </c:txPr>
        <c:crossAx val="143755520"/>
        <c:crosses val="autoZero"/>
        <c:crossBetween val="between"/>
        <c:majorUnit val="1.0000000000000005E-2"/>
      </c:valAx>
      <c:spPr>
        <a:solidFill>
          <a:srgbClr val="FFFFFF"/>
        </a:solidFill>
        <a:ln w="12700">
          <a:solidFill>
            <a:srgbClr val="FFFFFF"/>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Narrow" pitchFamily="34" charset="0"/>
          <a:ea typeface="Arial"/>
          <a:cs typeface="Arial"/>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12409813356663785"/>
          <c:y val="0.10591451779890725"/>
          <c:w val="0.78658719743365357"/>
          <c:h val="0.57607335999496156"/>
        </c:manualLayout>
      </c:layout>
      <c:lineChart>
        <c:grouping val="standard"/>
        <c:ser>
          <c:idx val="0"/>
          <c:order val="0"/>
          <c:tx>
            <c:strRef>
              <c:f>'ΣΤΟΙΧΕΙΑ ΓΙΑ ΠΡΟΥΠ 2018'!$B$2</c:f>
              <c:strCache>
                <c:ptCount val="1"/>
                <c:pt idx="0">
                  <c:v>ΒΕΛΓΙΟ</c:v>
                </c:pt>
              </c:strCache>
            </c:strRef>
          </c:tx>
          <c:marker>
            <c:symbol val="none"/>
          </c:marker>
          <c:cat>
            <c:numRef>
              <c:f>'ΣΤΟΙΧΕΙΑ ΓΙΑ ΠΡΟΥΠ 2018'!$A$3:$A$774</c:f>
              <c:numCache>
                <c:formatCode>d/m/yyyy</c:formatCode>
                <c:ptCount val="258"/>
                <c:pt idx="0">
                  <c:v>42663</c:v>
                </c:pt>
                <c:pt idx="1">
                  <c:v>42664</c:v>
                </c:pt>
                <c:pt idx="2">
                  <c:v>42667</c:v>
                </c:pt>
                <c:pt idx="3">
                  <c:v>42668</c:v>
                </c:pt>
                <c:pt idx="4">
                  <c:v>42669</c:v>
                </c:pt>
                <c:pt idx="5">
                  <c:v>42670</c:v>
                </c:pt>
                <c:pt idx="6">
                  <c:v>42671</c:v>
                </c:pt>
                <c:pt idx="7">
                  <c:v>42674</c:v>
                </c:pt>
                <c:pt idx="8">
                  <c:v>42675</c:v>
                </c:pt>
                <c:pt idx="9">
                  <c:v>42676</c:v>
                </c:pt>
                <c:pt idx="10">
                  <c:v>42677</c:v>
                </c:pt>
                <c:pt idx="11">
                  <c:v>42678</c:v>
                </c:pt>
                <c:pt idx="12">
                  <c:v>42681</c:v>
                </c:pt>
                <c:pt idx="13">
                  <c:v>42682</c:v>
                </c:pt>
                <c:pt idx="14">
                  <c:v>42683</c:v>
                </c:pt>
                <c:pt idx="15">
                  <c:v>42684</c:v>
                </c:pt>
                <c:pt idx="16">
                  <c:v>42685</c:v>
                </c:pt>
                <c:pt idx="17">
                  <c:v>42688</c:v>
                </c:pt>
                <c:pt idx="18">
                  <c:v>42689</c:v>
                </c:pt>
                <c:pt idx="19">
                  <c:v>42690</c:v>
                </c:pt>
                <c:pt idx="20">
                  <c:v>42691</c:v>
                </c:pt>
                <c:pt idx="21">
                  <c:v>42692</c:v>
                </c:pt>
                <c:pt idx="22">
                  <c:v>42695</c:v>
                </c:pt>
                <c:pt idx="23">
                  <c:v>42696</c:v>
                </c:pt>
                <c:pt idx="24">
                  <c:v>42697</c:v>
                </c:pt>
                <c:pt idx="25">
                  <c:v>42698</c:v>
                </c:pt>
                <c:pt idx="26">
                  <c:v>42699</c:v>
                </c:pt>
                <c:pt idx="27">
                  <c:v>42702</c:v>
                </c:pt>
                <c:pt idx="28">
                  <c:v>42703</c:v>
                </c:pt>
                <c:pt idx="29">
                  <c:v>42704</c:v>
                </c:pt>
                <c:pt idx="30">
                  <c:v>42705</c:v>
                </c:pt>
                <c:pt idx="31">
                  <c:v>42706</c:v>
                </c:pt>
                <c:pt idx="32">
                  <c:v>42709</c:v>
                </c:pt>
                <c:pt idx="33">
                  <c:v>42710</c:v>
                </c:pt>
                <c:pt idx="34">
                  <c:v>42711</c:v>
                </c:pt>
                <c:pt idx="35">
                  <c:v>42712</c:v>
                </c:pt>
                <c:pt idx="36">
                  <c:v>42713</c:v>
                </c:pt>
                <c:pt idx="37">
                  <c:v>42716</c:v>
                </c:pt>
                <c:pt idx="38">
                  <c:v>42717</c:v>
                </c:pt>
                <c:pt idx="39">
                  <c:v>42718</c:v>
                </c:pt>
                <c:pt idx="40">
                  <c:v>42719</c:v>
                </c:pt>
                <c:pt idx="41">
                  <c:v>42720</c:v>
                </c:pt>
                <c:pt idx="42">
                  <c:v>42723</c:v>
                </c:pt>
                <c:pt idx="43">
                  <c:v>42724</c:v>
                </c:pt>
                <c:pt idx="44">
                  <c:v>42725</c:v>
                </c:pt>
                <c:pt idx="45">
                  <c:v>42726</c:v>
                </c:pt>
                <c:pt idx="46">
                  <c:v>42727</c:v>
                </c:pt>
                <c:pt idx="47">
                  <c:v>42731</c:v>
                </c:pt>
                <c:pt idx="48">
                  <c:v>42732</c:v>
                </c:pt>
                <c:pt idx="49">
                  <c:v>42733</c:v>
                </c:pt>
                <c:pt idx="50">
                  <c:v>42734</c:v>
                </c:pt>
                <c:pt idx="51">
                  <c:v>42737</c:v>
                </c:pt>
                <c:pt idx="52">
                  <c:v>42738</c:v>
                </c:pt>
                <c:pt idx="53">
                  <c:v>42739</c:v>
                </c:pt>
                <c:pt idx="54">
                  <c:v>42740</c:v>
                </c:pt>
                <c:pt idx="55">
                  <c:v>42741</c:v>
                </c:pt>
                <c:pt idx="56">
                  <c:v>42744</c:v>
                </c:pt>
                <c:pt idx="57">
                  <c:v>42745</c:v>
                </c:pt>
                <c:pt idx="58">
                  <c:v>42746</c:v>
                </c:pt>
                <c:pt idx="59">
                  <c:v>42747</c:v>
                </c:pt>
                <c:pt idx="60">
                  <c:v>42748</c:v>
                </c:pt>
                <c:pt idx="61">
                  <c:v>42751</c:v>
                </c:pt>
                <c:pt idx="62">
                  <c:v>42752</c:v>
                </c:pt>
                <c:pt idx="63">
                  <c:v>42753</c:v>
                </c:pt>
                <c:pt idx="64">
                  <c:v>42754</c:v>
                </c:pt>
                <c:pt idx="65">
                  <c:v>42755</c:v>
                </c:pt>
                <c:pt idx="66">
                  <c:v>42758</c:v>
                </c:pt>
                <c:pt idx="67">
                  <c:v>42759</c:v>
                </c:pt>
                <c:pt idx="68">
                  <c:v>42760</c:v>
                </c:pt>
                <c:pt idx="69">
                  <c:v>42761</c:v>
                </c:pt>
                <c:pt idx="70">
                  <c:v>42762</c:v>
                </c:pt>
                <c:pt idx="71">
                  <c:v>42765</c:v>
                </c:pt>
                <c:pt idx="72">
                  <c:v>42766</c:v>
                </c:pt>
                <c:pt idx="73">
                  <c:v>42767</c:v>
                </c:pt>
                <c:pt idx="74">
                  <c:v>42768</c:v>
                </c:pt>
                <c:pt idx="75">
                  <c:v>42769</c:v>
                </c:pt>
                <c:pt idx="76">
                  <c:v>42772</c:v>
                </c:pt>
                <c:pt idx="77">
                  <c:v>42773</c:v>
                </c:pt>
                <c:pt idx="78">
                  <c:v>42774</c:v>
                </c:pt>
                <c:pt idx="79">
                  <c:v>42775</c:v>
                </c:pt>
                <c:pt idx="80">
                  <c:v>42776</c:v>
                </c:pt>
                <c:pt idx="81">
                  <c:v>42779</c:v>
                </c:pt>
                <c:pt idx="82">
                  <c:v>42780</c:v>
                </c:pt>
                <c:pt idx="83">
                  <c:v>42781</c:v>
                </c:pt>
                <c:pt idx="84">
                  <c:v>42782</c:v>
                </c:pt>
                <c:pt idx="85">
                  <c:v>42783</c:v>
                </c:pt>
                <c:pt idx="86">
                  <c:v>42786</c:v>
                </c:pt>
                <c:pt idx="87">
                  <c:v>42787</c:v>
                </c:pt>
                <c:pt idx="88">
                  <c:v>42788</c:v>
                </c:pt>
                <c:pt idx="89">
                  <c:v>42789</c:v>
                </c:pt>
                <c:pt idx="90">
                  <c:v>42790</c:v>
                </c:pt>
                <c:pt idx="91">
                  <c:v>42793</c:v>
                </c:pt>
                <c:pt idx="92">
                  <c:v>42794</c:v>
                </c:pt>
                <c:pt idx="93">
                  <c:v>42795</c:v>
                </c:pt>
                <c:pt idx="94">
                  <c:v>42796</c:v>
                </c:pt>
                <c:pt idx="95">
                  <c:v>42797</c:v>
                </c:pt>
                <c:pt idx="96">
                  <c:v>42800</c:v>
                </c:pt>
                <c:pt idx="97">
                  <c:v>42801</c:v>
                </c:pt>
                <c:pt idx="98">
                  <c:v>42802</c:v>
                </c:pt>
                <c:pt idx="99">
                  <c:v>42803</c:v>
                </c:pt>
                <c:pt idx="100">
                  <c:v>42804</c:v>
                </c:pt>
                <c:pt idx="101">
                  <c:v>42807</c:v>
                </c:pt>
                <c:pt idx="102">
                  <c:v>42808</c:v>
                </c:pt>
                <c:pt idx="103">
                  <c:v>42809</c:v>
                </c:pt>
                <c:pt idx="104">
                  <c:v>42810</c:v>
                </c:pt>
                <c:pt idx="105">
                  <c:v>42811</c:v>
                </c:pt>
                <c:pt idx="106">
                  <c:v>42814</c:v>
                </c:pt>
                <c:pt idx="107">
                  <c:v>42815</c:v>
                </c:pt>
                <c:pt idx="108">
                  <c:v>42816</c:v>
                </c:pt>
                <c:pt idx="109">
                  <c:v>42817</c:v>
                </c:pt>
                <c:pt idx="110">
                  <c:v>42818</c:v>
                </c:pt>
                <c:pt idx="111">
                  <c:v>42821</c:v>
                </c:pt>
                <c:pt idx="112">
                  <c:v>42822</c:v>
                </c:pt>
                <c:pt idx="113">
                  <c:v>42823</c:v>
                </c:pt>
                <c:pt idx="114">
                  <c:v>42824</c:v>
                </c:pt>
                <c:pt idx="115">
                  <c:v>42825</c:v>
                </c:pt>
                <c:pt idx="116">
                  <c:v>42828</c:v>
                </c:pt>
                <c:pt idx="117">
                  <c:v>42829</c:v>
                </c:pt>
                <c:pt idx="118">
                  <c:v>42830</c:v>
                </c:pt>
                <c:pt idx="119">
                  <c:v>42831</c:v>
                </c:pt>
                <c:pt idx="120">
                  <c:v>42832</c:v>
                </c:pt>
                <c:pt idx="121">
                  <c:v>42835</c:v>
                </c:pt>
                <c:pt idx="122">
                  <c:v>42836</c:v>
                </c:pt>
                <c:pt idx="123">
                  <c:v>42837</c:v>
                </c:pt>
                <c:pt idx="124">
                  <c:v>42838</c:v>
                </c:pt>
                <c:pt idx="125">
                  <c:v>42843</c:v>
                </c:pt>
                <c:pt idx="126">
                  <c:v>42844</c:v>
                </c:pt>
                <c:pt idx="127">
                  <c:v>42845</c:v>
                </c:pt>
                <c:pt idx="128">
                  <c:v>42846</c:v>
                </c:pt>
                <c:pt idx="129">
                  <c:v>42849</c:v>
                </c:pt>
                <c:pt idx="130">
                  <c:v>42850</c:v>
                </c:pt>
                <c:pt idx="131">
                  <c:v>42851</c:v>
                </c:pt>
                <c:pt idx="132">
                  <c:v>42852</c:v>
                </c:pt>
                <c:pt idx="133">
                  <c:v>42853</c:v>
                </c:pt>
                <c:pt idx="134">
                  <c:v>42857</c:v>
                </c:pt>
                <c:pt idx="135">
                  <c:v>42858</c:v>
                </c:pt>
                <c:pt idx="136">
                  <c:v>42859</c:v>
                </c:pt>
                <c:pt idx="137">
                  <c:v>42860</c:v>
                </c:pt>
                <c:pt idx="138">
                  <c:v>42863</c:v>
                </c:pt>
                <c:pt idx="139">
                  <c:v>42864</c:v>
                </c:pt>
                <c:pt idx="140">
                  <c:v>42865</c:v>
                </c:pt>
                <c:pt idx="141">
                  <c:v>42866</c:v>
                </c:pt>
                <c:pt idx="142">
                  <c:v>42867</c:v>
                </c:pt>
                <c:pt idx="143">
                  <c:v>42870</c:v>
                </c:pt>
                <c:pt idx="144">
                  <c:v>42871</c:v>
                </c:pt>
                <c:pt idx="145">
                  <c:v>42872</c:v>
                </c:pt>
                <c:pt idx="146">
                  <c:v>42873</c:v>
                </c:pt>
                <c:pt idx="147">
                  <c:v>42874</c:v>
                </c:pt>
                <c:pt idx="148">
                  <c:v>42877</c:v>
                </c:pt>
                <c:pt idx="149">
                  <c:v>42878</c:v>
                </c:pt>
                <c:pt idx="150">
                  <c:v>42879</c:v>
                </c:pt>
                <c:pt idx="151">
                  <c:v>42880</c:v>
                </c:pt>
                <c:pt idx="152">
                  <c:v>42881</c:v>
                </c:pt>
                <c:pt idx="153">
                  <c:v>42884</c:v>
                </c:pt>
                <c:pt idx="154">
                  <c:v>42885</c:v>
                </c:pt>
                <c:pt idx="155">
                  <c:v>42886</c:v>
                </c:pt>
                <c:pt idx="156">
                  <c:v>42887</c:v>
                </c:pt>
                <c:pt idx="157">
                  <c:v>42888</c:v>
                </c:pt>
                <c:pt idx="158">
                  <c:v>42891</c:v>
                </c:pt>
                <c:pt idx="159">
                  <c:v>42892</c:v>
                </c:pt>
                <c:pt idx="160">
                  <c:v>42893</c:v>
                </c:pt>
                <c:pt idx="161">
                  <c:v>42894</c:v>
                </c:pt>
                <c:pt idx="162">
                  <c:v>42895</c:v>
                </c:pt>
                <c:pt idx="163">
                  <c:v>42898</c:v>
                </c:pt>
                <c:pt idx="164">
                  <c:v>42899</c:v>
                </c:pt>
                <c:pt idx="165">
                  <c:v>42900</c:v>
                </c:pt>
                <c:pt idx="166">
                  <c:v>42901</c:v>
                </c:pt>
                <c:pt idx="167">
                  <c:v>42902</c:v>
                </c:pt>
                <c:pt idx="168">
                  <c:v>42905</c:v>
                </c:pt>
                <c:pt idx="169">
                  <c:v>42906</c:v>
                </c:pt>
                <c:pt idx="170">
                  <c:v>42907</c:v>
                </c:pt>
                <c:pt idx="171">
                  <c:v>42908</c:v>
                </c:pt>
                <c:pt idx="172">
                  <c:v>42909</c:v>
                </c:pt>
                <c:pt idx="173">
                  <c:v>42912</c:v>
                </c:pt>
                <c:pt idx="174">
                  <c:v>42913</c:v>
                </c:pt>
                <c:pt idx="175">
                  <c:v>42914</c:v>
                </c:pt>
                <c:pt idx="176">
                  <c:v>42915</c:v>
                </c:pt>
                <c:pt idx="177">
                  <c:v>42916</c:v>
                </c:pt>
                <c:pt idx="178">
                  <c:v>42919</c:v>
                </c:pt>
                <c:pt idx="179">
                  <c:v>42920</c:v>
                </c:pt>
                <c:pt idx="180">
                  <c:v>42921</c:v>
                </c:pt>
                <c:pt idx="181">
                  <c:v>42922</c:v>
                </c:pt>
                <c:pt idx="182">
                  <c:v>42923</c:v>
                </c:pt>
                <c:pt idx="183">
                  <c:v>42926</c:v>
                </c:pt>
                <c:pt idx="184">
                  <c:v>42927</c:v>
                </c:pt>
                <c:pt idx="185">
                  <c:v>42928</c:v>
                </c:pt>
                <c:pt idx="186">
                  <c:v>42929</c:v>
                </c:pt>
                <c:pt idx="187">
                  <c:v>42930</c:v>
                </c:pt>
                <c:pt idx="188">
                  <c:v>42933</c:v>
                </c:pt>
                <c:pt idx="189">
                  <c:v>42934</c:v>
                </c:pt>
                <c:pt idx="190">
                  <c:v>42935</c:v>
                </c:pt>
                <c:pt idx="191">
                  <c:v>42936</c:v>
                </c:pt>
                <c:pt idx="192">
                  <c:v>42937</c:v>
                </c:pt>
                <c:pt idx="193">
                  <c:v>42940</c:v>
                </c:pt>
                <c:pt idx="194">
                  <c:v>42941</c:v>
                </c:pt>
                <c:pt idx="195">
                  <c:v>42942</c:v>
                </c:pt>
                <c:pt idx="196">
                  <c:v>42943</c:v>
                </c:pt>
                <c:pt idx="197">
                  <c:v>42944</c:v>
                </c:pt>
                <c:pt idx="198">
                  <c:v>42947</c:v>
                </c:pt>
                <c:pt idx="199">
                  <c:v>42948</c:v>
                </c:pt>
                <c:pt idx="200">
                  <c:v>42949</c:v>
                </c:pt>
                <c:pt idx="201">
                  <c:v>42950</c:v>
                </c:pt>
                <c:pt idx="202">
                  <c:v>42951</c:v>
                </c:pt>
                <c:pt idx="203">
                  <c:v>42954</c:v>
                </c:pt>
                <c:pt idx="204">
                  <c:v>42955</c:v>
                </c:pt>
                <c:pt idx="205">
                  <c:v>42956</c:v>
                </c:pt>
                <c:pt idx="206">
                  <c:v>42957</c:v>
                </c:pt>
                <c:pt idx="207">
                  <c:v>42958</c:v>
                </c:pt>
                <c:pt idx="208">
                  <c:v>42961</c:v>
                </c:pt>
                <c:pt idx="209">
                  <c:v>42962</c:v>
                </c:pt>
                <c:pt idx="210">
                  <c:v>42963</c:v>
                </c:pt>
                <c:pt idx="211">
                  <c:v>42964</c:v>
                </c:pt>
                <c:pt idx="212">
                  <c:v>42965</c:v>
                </c:pt>
                <c:pt idx="213">
                  <c:v>42968</c:v>
                </c:pt>
                <c:pt idx="214">
                  <c:v>42969</c:v>
                </c:pt>
                <c:pt idx="215">
                  <c:v>42970</c:v>
                </c:pt>
                <c:pt idx="216">
                  <c:v>42971</c:v>
                </c:pt>
                <c:pt idx="217">
                  <c:v>42972</c:v>
                </c:pt>
                <c:pt idx="218">
                  <c:v>42975</c:v>
                </c:pt>
                <c:pt idx="219">
                  <c:v>42976</c:v>
                </c:pt>
                <c:pt idx="220">
                  <c:v>42977</c:v>
                </c:pt>
                <c:pt idx="221">
                  <c:v>42978</c:v>
                </c:pt>
                <c:pt idx="222">
                  <c:v>42979</c:v>
                </c:pt>
                <c:pt idx="223">
                  <c:v>42982</c:v>
                </c:pt>
                <c:pt idx="224">
                  <c:v>42983</c:v>
                </c:pt>
                <c:pt idx="225">
                  <c:v>42984</c:v>
                </c:pt>
                <c:pt idx="226">
                  <c:v>42985</c:v>
                </c:pt>
                <c:pt idx="227">
                  <c:v>42986</c:v>
                </c:pt>
                <c:pt idx="228">
                  <c:v>42989</c:v>
                </c:pt>
                <c:pt idx="229">
                  <c:v>42990</c:v>
                </c:pt>
                <c:pt idx="230">
                  <c:v>42991</c:v>
                </c:pt>
                <c:pt idx="231">
                  <c:v>42992</c:v>
                </c:pt>
                <c:pt idx="232">
                  <c:v>42993</c:v>
                </c:pt>
                <c:pt idx="233">
                  <c:v>42996</c:v>
                </c:pt>
                <c:pt idx="234">
                  <c:v>42997</c:v>
                </c:pt>
                <c:pt idx="235">
                  <c:v>42998</c:v>
                </c:pt>
                <c:pt idx="236">
                  <c:v>42999</c:v>
                </c:pt>
                <c:pt idx="237">
                  <c:v>43000</c:v>
                </c:pt>
                <c:pt idx="238">
                  <c:v>43003</c:v>
                </c:pt>
                <c:pt idx="239">
                  <c:v>43004</c:v>
                </c:pt>
                <c:pt idx="240">
                  <c:v>43005</c:v>
                </c:pt>
                <c:pt idx="241">
                  <c:v>43006</c:v>
                </c:pt>
                <c:pt idx="242">
                  <c:v>43007</c:v>
                </c:pt>
                <c:pt idx="243">
                  <c:v>43010</c:v>
                </c:pt>
                <c:pt idx="244">
                  <c:v>43011</c:v>
                </c:pt>
                <c:pt idx="245">
                  <c:v>43012</c:v>
                </c:pt>
                <c:pt idx="246">
                  <c:v>43013</c:v>
                </c:pt>
                <c:pt idx="247">
                  <c:v>43014</c:v>
                </c:pt>
                <c:pt idx="248">
                  <c:v>43017</c:v>
                </c:pt>
                <c:pt idx="249">
                  <c:v>43018</c:v>
                </c:pt>
                <c:pt idx="250">
                  <c:v>43019</c:v>
                </c:pt>
                <c:pt idx="251">
                  <c:v>43020</c:v>
                </c:pt>
                <c:pt idx="252">
                  <c:v>43021</c:v>
                </c:pt>
                <c:pt idx="253">
                  <c:v>43024</c:v>
                </c:pt>
                <c:pt idx="254">
                  <c:v>43025</c:v>
                </c:pt>
                <c:pt idx="255">
                  <c:v>43026</c:v>
                </c:pt>
                <c:pt idx="256">
                  <c:v>43027</c:v>
                </c:pt>
                <c:pt idx="257">
                  <c:v>43028</c:v>
                </c:pt>
              </c:numCache>
            </c:numRef>
          </c:cat>
          <c:val>
            <c:numRef>
              <c:f>'ΣΤΟΙΧΕΙΑ ΓΙΑ ΠΡΟΥΠ 2018'!$B$3:$B$774</c:f>
              <c:numCache>
                <c:formatCode>General</c:formatCode>
                <c:ptCount val="258"/>
                <c:pt idx="0">
                  <c:v>0.23</c:v>
                </c:pt>
                <c:pt idx="1">
                  <c:v>0.23400000000000001</c:v>
                </c:pt>
                <c:pt idx="2">
                  <c:v>0.24500000000000036</c:v>
                </c:pt>
                <c:pt idx="3">
                  <c:v>0.252</c:v>
                </c:pt>
                <c:pt idx="4">
                  <c:v>0.31200000000000072</c:v>
                </c:pt>
                <c:pt idx="5">
                  <c:v>0.39300000000000096</c:v>
                </c:pt>
                <c:pt idx="6">
                  <c:v>0.39600000000000096</c:v>
                </c:pt>
                <c:pt idx="7">
                  <c:v>0.39500000000000096</c:v>
                </c:pt>
                <c:pt idx="8">
                  <c:v>0.43000000000000038</c:v>
                </c:pt>
                <c:pt idx="9">
                  <c:v>0.38400000000000084</c:v>
                </c:pt>
                <c:pt idx="10">
                  <c:v>0.41400000000000031</c:v>
                </c:pt>
                <c:pt idx="11">
                  <c:v>0.40500000000000008</c:v>
                </c:pt>
                <c:pt idx="12">
                  <c:v>0.40200000000000002</c:v>
                </c:pt>
                <c:pt idx="13">
                  <c:v>0.43900000000000072</c:v>
                </c:pt>
                <c:pt idx="14">
                  <c:v>0.47700000000000031</c:v>
                </c:pt>
                <c:pt idx="15">
                  <c:v>0.61200000000000065</c:v>
                </c:pt>
                <c:pt idx="16">
                  <c:v>0.68600000000000005</c:v>
                </c:pt>
                <c:pt idx="17">
                  <c:v>0.72600000000000064</c:v>
                </c:pt>
                <c:pt idx="18">
                  <c:v>0.65600000000000191</c:v>
                </c:pt>
                <c:pt idx="19">
                  <c:v>0.66300000000000192</c:v>
                </c:pt>
                <c:pt idx="20">
                  <c:v>0.67200000000000193</c:v>
                </c:pt>
                <c:pt idx="21">
                  <c:v>0.68799999999999994</c:v>
                </c:pt>
                <c:pt idx="22">
                  <c:v>0.67100000000000193</c:v>
                </c:pt>
                <c:pt idx="23">
                  <c:v>0.61800000000000144</c:v>
                </c:pt>
                <c:pt idx="24">
                  <c:v>0.66900000000000193</c:v>
                </c:pt>
                <c:pt idx="25">
                  <c:v>0.67800000000000193</c:v>
                </c:pt>
                <c:pt idx="26">
                  <c:v>0.67500000000000193</c:v>
                </c:pt>
                <c:pt idx="27">
                  <c:v>0.63500000000000156</c:v>
                </c:pt>
                <c:pt idx="28">
                  <c:v>0.57500000000000062</c:v>
                </c:pt>
                <c:pt idx="29">
                  <c:v>0.63100000000000156</c:v>
                </c:pt>
                <c:pt idx="30">
                  <c:v>0.71300000000000063</c:v>
                </c:pt>
                <c:pt idx="31">
                  <c:v>0.61700000000000144</c:v>
                </c:pt>
                <c:pt idx="32">
                  <c:v>0.67100000000000193</c:v>
                </c:pt>
                <c:pt idx="33">
                  <c:v>0.69399999999999995</c:v>
                </c:pt>
                <c:pt idx="34">
                  <c:v>0.65600000000000191</c:v>
                </c:pt>
                <c:pt idx="35">
                  <c:v>0.69499999999999995</c:v>
                </c:pt>
                <c:pt idx="36">
                  <c:v>0.70200000000000062</c:v>
                </c:pt>
                <c:pt idx="37">
                  <c:v>0.74400000000000144</c:v>
                </c:pt>
                <c:pt idx="38">
                  <c:v>0.66900000000000193</c:v>
                </c:pt>
                <c:pt idx="39">
                  <c:v>0.62600000000000156</c:v>
                </c:pt>
                <c:pt idx="40">
                  <c:v>0.64800000000000169</c:v>
                </c:pt>
                <c:pt idx="41">
                  <c:v>0.61500000000000143</c:v>
                </c:pt>
                <c:pt idx="42">
                  <c:v>0.55500000000000005</c:v>
                </c:pt>
                <c:pt idx="43">
                  <c:v>0.57299999999999995</c:v>
                </c:pt>
                <c:pt idx="44">
                  <c:v>0.56399999999999995</c:v>
                </c:pt>
                <c:pt idx="45">
                  <c:v>0.59699999999999998</c:v>
                </c:pt>
                <c:pt idx="46">
                  <c:v>0.55300000000000005</c:v>
                </c:pt>
                <c:pt idx="47">
                  <c:v>0.53100000000000003</c:v>
                </c:pt>
                <c:pt idx="48">
                  <c:v>0.52800000000000002</c:v>
                </c:pt>
                <c:pt idx="49">
                  <c:v>0.504</c:v>
                </c:pt>
                <c:pt idx="50">
                  <c:v>0.53400000000000003</c:v>
                </c:pt>
                <c:pt idx="51">
                  <c:v>0.52400000000000002</c:v>
                </c:pt>
                <c:pt idx="52">
                  <c:v>0.64800000000000169</c:v>
                </c:pt>
                <c:pt idx="53">
                  <c:v>0.67500000000000193</c:v>
                </c:pt>
                <c:pt idx="54">
                  <c:v>0.66900000000000193</c:v>
                </c:pt>
                <c:pt idx="55">
                  <c:v>0.70300000000000062</c:v>
                </c:pt>
                <c:pt idx="56">
                  <c:v>0.67600000000000193</c:v>
                </c:pt>
                <c:pt idx="57">
                  <c:v>0.68600000000000005</c:v>
                </c:pt>
                <c:pt idx="58">
                  <c:v>0.64700000000000168</c:v>
                </c:pt>
                <c:pt idx="59">
                  <c:v>0.65600000000000191</c:v>
                </c:pt>
                <c:pt idx="60">
                  <c:v>0.68700000000000061</c:v>
                </c:pt>
                <c:pt idx="61">
                  <c:v>0.67400000000000193</c:v>
                </c:pt>
                <c:pt idx="62">
                  <c:v>0.64200000000000168</c:v>
                </c:pt>
                <c:pt idx="63">
                  <c:v>0.66900000000000193</c:v>
                </c:pt>
                <c:pt idx="64">
                  <c:v>0.70300000000000062</c:v>
                </c:pt>
                <c:pt idx="65">
                  <c:v>0.74700000000000144</c:v>
                </c:pt>
                <c:pt idx="66">
                  <c:v>0.68799999999999994</c:v>
                </c:pt>
                <c:pt idx="67">
                  <c:v>0.73400000000000065</c:v>
                </c:pt>
                <c:pt idx="68">
                  <c:v>0.81200000000000061</c:v>
                </c:pt>
                <c:pt idx="69">
                  <c:v>0.85900000000000065</c:v>
                </c:pt>
                <c:pt idx="70">
                  <c:v>1.0069999999999968</c:v>
                </c:pt>
                <c:pt idx="71">
                  <c:v>1.0209999999999968</c:v>
                </c:pt>
                <c:pt idx="72">
                  <c:v>0.98399999999999999</c:v>
                </c:pt>
                <c:pt idx="73">
                  <c:v>1.0069999999999968</c:v>
                </c:pt>
                <c:pt idx="74">
                  <c:v>0.96700000000000064</c:v>
                </c:pt>
                <c:pt idx="75">
                  <c:v>0.99299999999999999</c:v>
                </c:pt>
                <c:pt idx="76">
                  <c:v>1.018</c:v>
                </c:pt>
                <c:pt idx="77">
                  <c:v>1.0109999999999968</c:v>
                </c:pt>
                <c:pt idx="78">
                  <c:v>0.87500000000000155</c:v>
                </c:pt>
                <c:pt idx="79">
                  <c:v>0.86300000000000143</c:v>
                </c:pt>
                <c:pt idx="80">
                  <c:v>0.90400000000000003</c:v>
                </c:pt>
                <c:pt idx="81">
                  <c:v>0.87400000000000144</c:v>
                </c:pt>
                <c:pt idx="82">
                  <c:v>0.90100000000000002</c:v>
                </c:pt>
                <c:pt idx="83">
                  <c:v>0.89600000000000002</c:v>
                </c:pt>
                <c:pt idx="84">
                  <c:v>0.86100000000000065</c:v>
                </c:pt>
                <c:pt idx="85">
                  <c:v>0.84100000000000064</c:v>
                </c:pt>
                <c:pt idx="86">
                  <c:v>0.87100000000000144</c:v>
                </c:pt>
                <c:pt idx="87">
                  <c:v>0.86300000000000143</c:v>
                </c:pt>
                <c:pt idx="88">
                  <c:v>0.78</c:v>
                </c:pt>
                <c:pt idx="89">
                  <c:v>0.76500000000000168</c:v>
                </c:pt>
                <c:pt idx="90">
                  <c:v>0.72400000000000064</c:v>
                </c:pt>
                <c:pt idx="91">
                  <c:v>0.70200000000000062</c:v>
                </c:pt>
                <c:pt idx="92">
                  <c:v>0.70800000000000063</c:v>
                </c:pt>
                <c:pt idx="93">
                  <c:v>0.74200000000000144</c:v>
                </c:pt>
                <c:pt idx="94">
                  <c:v>0.77700000000000191</c:v>
                </c:pt>
                <c:pt idx="95">
                  <c:v>0.81100000000000005</c:v>
                </c:pt>
                <c:pt idx="96">
                  <c:v>0.80800000000000005</c:v>
                </c:pt>
                <c:pt idx="97">
                  <c:v>0.82299999999999995</c:v>
                </c:pt>
                <c:pt idx="98">
                  <c:v>0.87800000000000156</c:v>
                </c:pt>
                <c:pt idx="99">
                  <c:v>0.93400000000000005</c:v>
                </c:pt>
                <c:pt idx="100">
                  <c:v>0.98899999999999999</c:v>
                </c:pt>
                <c:pt idx="101">
                  <c:v>0.96700000000000064</c:v>
                </c:pt>
                <c:pt idx="102">
                  <c:v>0.95500000000000063</c:v>
                </c:pt>
                <c:pt idx="103">
                  <c:v>0.89900000000000002</c:v>
                </c:pt>
                <c:pt idx="104">
                  <c:v>0.94000000000000061</c:v>
                </c:pt>
                <c:pt idx="105">
                  <c:v>0.92900000000000005</c:v>
                </c:pt>
                <c:pt idx="106">
                  <c:v>0.95500000000000063</c:v>
                </c:pt>
                <c:pt idx="107">
                  <c:v>0.98199999999999998</c:v>
                </c:pt>
                <c:pt idx="108">
                  <c:v>0.93300000000000005</c:v>
                </c:pt>
                <c:pt idx="109">
                  <c:v>0.91800000000000004</c:v>
                </c:pt>
                <c:pt idx="110">
                  <c:v>0.88100000000000001</c:v>
                </c:pt>
                <c:pt idx="111">
                  <c:v>0.87600000000000156</c:v>
                </c:pt>
                <c:pt idx="112">
                  <c:v>0.86000000000000065</c:v>
                </c:pt>
                <c:pt idx="113">
                  <c:v>0.83100000000000063</c:v>
                </c:pt>
                <c:pt idx="114">
                  <c:v>0.84300000000000064</c:v>
                </c:pt>
                <c:pt idx="115">
                  <c:v>0.84900000000000064</c:v>
                </c:pt>
                <c:pt idx="116">
                  <c:v>0.81899999999999995</c:v>
                </c:pt>
                <c:pt idx="117">
                  <c:v>0.78900000000000003</c:v>
                </c:pt>
                <c:pt idx="118">
                  <c:v>0.78600000000000003</c:v>
                </c:pt>
                <c:pt idx="119">
                  <c:v>0.77200000000000168</c:v>
                </c:pt>
                <c:pt idx="120">
                  <c:v>0.76400000000000168</c:v>
                </c:pt>
                <c:pt idx="121">
                  <c:v>0.7750000000000018</c:v>
                </c:pt>
                <c:pt idx="122">
                  <c:v>0.78100000000000003</c:v>
                </c:pt>
                <c:pt idx="123">
                  <c:v>0.75700000000000156</c:v>
                </c:pt>
                <c:pt idx="124">
                  <c:v>0.75500000000000156</c:v>
                </c:pt>
                <c:pt idx="125">
                  <c:v>0.75800000000000156</c:v>
                </c:pt>
                <c:pt idx="126">
                  <c:v>0.76400000000000168</c:v>
                </c:pt>
                <c:pt idx="127">
                  <c:v>0.80300000000000005</c:v>
                </c:pt>
                <c:pt idx="128">
                  <c:v>0.80800000000000005</c:v>
                </c:pt>
                <c:pt idx="129">
                  <c:v>0.77800000000000191</c:v>
                </c:pt>
                <c:pt idx="130">
                  <c:v>0.83400000000000063</c:v>
                </c:pt>
                <c:pt idx="131">
                  <c:v>0.83300000000000063</c:v>
                </c:pt>
                <c:pt idx="132">
                  <c:v>0.77200000000000168</c:v>
                </c:pt>
                <c:pt idx="133">
                  <c:v>0.78</c:v>
                </c:pt>
                <c:pt idx="134">
                  <c:v>0.75900000000000156</c:v>
                </c:pt>
                <c:pt idx="135">
                  <c:v>0.76300000000000157</c:v>
                </c:pt>
                <c:pt idx="136">
                  <c:v>0.78900000000000003</c:v>
                </c:pt>
                <c:pt idx="137">
                  <c:v>0.80700000000000005</c:v>
                </c:pt>
                <c:pt idx="138">
                  <c:v>0.81799999999999995</c:v>
                </c:pt>
                <c:pt idx="139">
                  <c:v>0.84200000000000064</c:v>
                </c:pt>
                <c:pt idx="140">
                  <c:v>0.82600000000000062</c:v>
                </c:pt>
                <c:pt idx="141">
                  <c:v>0.84600000000000064</c:v>
                </c:pt>
                <c:pt idx="142">
                  <c:v>0.79700000000000004</c:v>
                </c:pt>
                <c:pt idx="143">
                  <c:v>0.82500000000000062</c:v>
                </c:pt>
                <c:pt idx="144">
                  <c:v>0.83900000000000063</c:v>
                </c:pt>
                <c:pt idx="145">
                  <c:v>0.78700000000000003</c:v>
                </c:pt>
                <c:pt idx="146">
                  <c:v>0.75000000000000155</c:v>
                </c:pt>
                <c:pt idx="147">
                  <c:v>0.75700000000000156</c:v>
                </c:pt>
                <c:pt idx="148">
                  <c:v>0.78300000000000003</c:v>
                </c:pt>
                <c:pt idx="149">
                  <c:v>0.78</c:v>
                </c:pt>
                <c:pt idx="150">
                  <c:v>0.76900000000000168</c:v>
                </c:pt>
                <c:pt idx="151">
                  <c:v>0.72300000000000064</c:v>
                </c:pt>
                <c:pt idx="152">
                  <c:v>0.68700000000000061</c:v>
                </c:pt>
                <c:pt idx="153">
                  <c:v>0.66500000000000192</c:v>
                </c:pt>
                <c:pt idx="154">
                  <c:v>0.65300000000000191</c:v>
                </c:pt>
                <c:pt idx="155">
                  <c:v>0.65800000000000192</c:v>
                </c:pt>
                <c:pt idx="156">
                  <c:v>0.66100000000000192</c:v>
                </c:pt>
                <c:pt idx="157">
                  <c:v>0.64300000000000168</c:v>
                </c:pt>
                <c:pt idx="158">
                  <c:v>0.65800000000000192</c:v>
                </c:pt>
                <c:pt idx="159">
                  <c:v>0.60800000000000065</c:v>
                </c:pt>
                <c:pt idx="160">
                  <c:v>0.62900000000000156</c:v>
                </c:pt>
                <c:pt idx="161">
                  <c:v>0.59699999999999998</c:v>
                </c:pt>
                <c:pt idx="162">
                  <c:v>0.61200000000000065</c:v>
                </c:pt>
                <c:pt idx="163">
                  <c:v>0.58000000000000007</c:v>
                </c:pt>
                <c:pt idx="164">
                  <c:v>0.59</c:v>
                </c:pt>
                <c:pt idx="165">
                  <c:v>0.56499999999999995</c:v>
                </c:pt>
                <c:pt idx="166">
                  <c:v>0.61200000000000065</c:v>
                </c:pt>
                <c:pt idx="167">
                  <c:v>0.61000000000000065</c:v>
                </c:pt>
                <c:pt idx="168">
                  <c:v>0.60500000000000065</c:v>
                </c:pt>
                <c:pt idx="169">
                  <c:v>0.59</c:v>
                </c:pt>
                <c:pt idx="170">
                  <c:v>0.59099999999999997</c:v>
                </c:pt>
                <c:pt idx="171">
                  <c:v>0.59099999999999997</c:v>
                </c:pt>
                <c:pt idx="172">
                  <c:v>0.59899999999999998</c:v>
                </c:pt>
                <c:pt idx="173">
                  <c:v>0.59499999999999997</c:v>
                </c:pt>
                <c:pt idx="174">
                  <c:v>0.71900000000000064</c:v>
                </c:pt>
                <c:pt idx="175">
                  <c:v>0.69899999999999995</c:v>
                </c:pt>
                <c:pt idx="176">
                  <c:v>0.78400000000000003</c:v>
                </c:pt>
                <c:pt idx="177">
                  <c:v>0.80100000000000005</c:v>
                </c:pt>
                <c:pt idx="178">
                  <c:v>0.81200000000000061</c:v>
                </c:pt>
                <c:pt idx="179">
                  <c:v>0.81599999999999995</c:v>
                </c:pt>
                <c:pt idx="180">
                  <c:v>0.81599999999999995</c:v>
                </c:pt>
                <c:pt idx="181">
                  <c:v>0.92</c:v>
                </c:pt>
                <c:pt idx="182">
                  <c:v>0.93500000000000005</c:v>
                </c:pt>
                <c:pt idx="183">
                  <c:v>0.90600000000000003</c:v>
                </c:pt>
                <c:pt idx="184">
                  <c:v>0.91400000000000003</c:v>
                </c:pt>
                <c:pt idx="185">
                  <c:v>0.86300000000000143</c:v>
                </c:pt>
                <c:pt idx="186">
                  <c:v>0.88400000000000001</c:v>
                </c:pt>
                <c:pt idx="187">
                  <c:v>0.87200000000000144</c:v>
                </c:pt>
                <c:pt idx="188">
                  <c:v>0.85800000000000065</c:v>
                </c:pt>
                <c:pt idx="189">
                  <c:v>0.83700000000000063</c:v>
                </c:pt>
                <c:pt idx="190">
                  <c:v>0.82299999999999995</c:v>
                </c:pt>
                <c:pt idx="191">
                  <c:v>0.80400000000000005</c:v>
                </c:pt>
                <c:pt idx="192">
                  <c:v>0.78100000000000003</c:v>
                </c:pt>
                <c:pt idx="193">
                  <c:v>0.7750000000000018</c:v>
                </c:pt>
                <c:pt idx="194">
                  <c:v>0.83300000000000063</c:v>
                </c:pt>
                <c:pt idx="195">
                  <c:v>0.83300000000000063</c:v>
                </c:pt>
                <c:pt idx="196">
                  <c:v>0.82000000000000062</c:v>
                </c:pt>
                <c:pt idx="197">
                  <c:v>0.82099999999999995</c:v>
                </c:pt>
                <c:pt idx="198">
                  <c:v>0.82399999999999995</c:v>
                </c:pt>
                <c:pt idx="199">
                  <c:v>0.77100000000000168</c:v>
                </c:pt>
                <c:pt idx="200">
                  <c:v>0.7750000000000018</c:v>
                </c:pt>
                <c:pt idx="201">
                  <c:v>0.74300000000000144</c:v>
                </c:pt>
                <c:pt idx="202">
                  <c:v>0.76900000000000168</c:v>
                </c:pt>
                <c:pt idx="203">
                  <c:v>0.75500000000000156</c:v>
                </c:pt>
                <c:pt idx="204">
                  <c:v>0.77200000000000168</c:v>
                </c:pt>
                <c:pt idx="205">
                  <c:v>0.72800000000000065</c:v>
                </c:pt>
                <c:pt idx="206">
                  <c:v>0.72400000000000064</c:v>
                </c:pt>
                <c:pt idx="207">
                  <c:v>0.69399999999999995</c:v>
                </c:pt>
                <c:pt idx="208">
                  <c:v>0.71900000000000064</c:v>
                </c:pt>
                <c:pt idx="209">
                  <c:v>0.74100000000000144</c:v>
                </c:pt>
                <c:pt idx="210">
                  <c:v>0.75400000000000156</c:v>
                </c:pt>
                <c:pt idx="211">
                  <c:v>0.73500000000000065</c:v>
                </c:pt>
                <c:pt idx="212">
                  <c:v>0.72400000000000064</c:v>
                </c:pt>
                <c:pt idx="213">
                  <c:v>0.71300000000000063</c:v>
                </c:pt>
                <c:pt idx="214">
                  <c:v>0.71500000000000064</c:v>
                </c:pt>
                <c:pt idx="215">
                  <c:v>0.69299999999999995</c:v>
                </c:pt>
                <c:pt idx="216">
                  <c:v>0.69699999999999995</c:v>
                </c:pt>
                <c:pt idx="217">
                  <c:v>0.70500000000000063</c:v>
                </c:pt>
                <c:pt idx="218">
                  <c:v>0.70400000000000063</c:v>
                </c:pt>
                <c:pt idx="219">
                  <c:v>0.66600000000000192</c:v>
                </c:pt>
                <c:pt idx="220">
                  <c:v>0.67800000000000193</c:v>
                </c:pt>
                <c:pt idx="221">
                  <c:v>0.66600000000000192</c:v>
                </c:pt>
                <c:pt idx="222">
                  <c:v>0.68600000000000005</c:v>
                </c:pt>
                <c:pt idx="223">
                  <c:v>0.67900000000000194</c:v>
                </c:pt>
                <c:pt idx="224">
                  <c:v>0.6500000000000018</c:v>
                </c:pt>
                <c:pt idx="225">
                  <c:v>0.66600000000000192</c:v>
                </c:pt>
                <c:pt idx="226">
                  <c:v>0.62200000000000144</c:v>
                </c:pt>
                <c:pt idx="227">
                  <c:v>0.62700000000000156</c:v>
                </c:pt>
                <c:pt idx="228">
                  <c:v>0.64800000000000169</c:v>
                </c:pt>
                <c:pt idx="229">
                  <c:v>0.70800000000000063</c:v>
                </c:pt>
                <c:pt idx="230">
                  <c:v>0.68899999999999995</c:v>
                </c:pt>
                <c:pt idx="231">
                  <c:v>0.69699999999999995</c:v>
                </c:pt>
                <c:pt idx="232">
                  <c:v>0.71100000000000063</c:v>
                </c:pt>
                <c:pt idx="233">
                  <c:v>0.72800000000000065</c:v>
                </c:pt>
                <c:pt idx="234">
                  <c:v>0.72200000000000064</c:v>
                </c:pt>
                <c:pt idx="235">
                  <c:v>0.72500000000000064</c:v>
                </c:pt>
                <c:pt idx="236">
                  <c:v>0.73600000000000065</c:v>
                </c:pt>
                <c:pt idx="237">
                  <c:v>0.73100000000000065</c:v>
                </c:pt>
                <c:pt idx="238">
                  <c:v>0.69499999999999995</c:v>
                </c:pt>
                <c:pt idx="239">
                  <c:v>0.69899999999999995</c:v>
                </c:pt>
                <c:pt idx="240">
                  <c:v>0.75100000000000156</c:v>
                </c:pt>
                <c:pt idx="241">
                  <c:v>0.75800000000000156</c:v>
                </c:pt>
                <c:pt idx="242">
                  <c:v>0.73000000000000065</c:v>
                </c:pt>
                <c:pt idx="243">
                  <c:v>0.72000000000000064</c:v>
                </c:pt>
                <c:pt idx="244">
                  <c:v>0.73300000000000065</c:v>
                </c:pt>
                <c:pt idx="245">
                  <c:v>0.73400000000000065</c:v>
                </c:pt>
                <c:pt idx="246">
                  <c:v>0.72600000000000064</c:v>
                </c:pt>
                <c:pt idx="247">
                  <c:v>0.73300000000000065</c:v>
                </c:pt>
                <c:pt idx="248">
                  <c:v>0.71800000000000064</c:v>
                </c:pt>
                <c:pt idx="249">
                  <c:v>0.71800000000000064</c:v>
                </c:pt>
                <c:pt idx="250">
                  <c:v>0.73900000000000143</c:v>
                </c:pt>
                <c:pt idx="251">
                  <c:v>0.71900000000000064</c:v>
                </c:pt>
                <c:pt idx="252">
                  <c:v>0.67900000000000194</c:v>
                </c:pt>
                <c:pt idx="253">
                  <c:v>0.64600000000000168</c:v>
                </c:pt>
                <c:pt idx="254">
                  <c:v>0.63100000000000156</c:v>
                </c:pt>
                <c:pt idx="255">
                  <c:v>0.66100000000000192</c:v>
                </c:pt>
                <c:pt idx="256">
                  <c:v>0.66400000000000192</c:v>
                </c:pt>
                <c:pt idx="257">
                  <c:v>0.70800000000000063</c:v>
                </c:pt>
              </c:numCache>
            </c:numRef>
          </c:val>
          <c:extLst xmlns:c16r2="http://schemas.microsoft.com/office/drawing/2015/06/chart">
            <c:ext xmlns:c16="http://schemas.microsoft.com/office/drawing/2014/chart" uri="{C3380CC4-5D6E-409C-BE32-E72D297353CC}">
              <c16:uniqueId val="{00000000-6E98-477D-BB83-D48883701F52}"/>
            </c:ext>
          </c:extLst>
        </c:ser>
        <c:ser>
          <c:idx val="1"/>
          <c:order val="1"/>
          <c:tx>
            <c:strRef>
              <c:f>'ΣΤΟΙΧΕΙΑ ΓΙΑ ΠΡΟΥΠ 2018'!$C$2</c:f>
              <c:strCache>
                <c:ptCount val="1"/>
                <c:pt idx="0">
                  <c:v>ΓΑΛΛΙΑ</c:v>
                </c:pt>
              </c:strCache>
            </c:strRef>
          </c:tx>
          <c:spPr>
            <a:ln>
              <a:solidFill>
                <a:srgbClr val="7030A0"/>
              </a:solidFill>
            </a:ln>
          </c:spPr>
          <c:marker>
            <c:symbol val="none"/>
          </c:marker>
          <c:cat>
            <c:numRef>
              <c:f>'ΣΤΟΙΧΕΙΑ ΓΙΑ ΠΡΟΥΠ 2018'!$A$3:$A$774</c:f>
              <c:numCache>
                <c:formatCode>d/m/yyyy</c:formatCode>
                <c:ptCount val="258"/>
                <c:pt idx="0">
                  <c:v>42663</c:v>
                </c:pt>
                <c:pt idx="1">
                  <c:v>42664</c:v>
                </c:pt>
                <c:pt idx="2">
                  <c:v>42667</c:v>
                </c:pt>
                <c:pt idx="3">
                  <c:v>42668</c:v>
                </c:pt>
                <c:pt idx="4">
                  <c:v>42669</c:v>
                </c:pt>
                <c:pt idx="5">
                  <c:v>42670</c:v>
                </c:pt>
                <c:pt idx="6">
                  <c:v>42671</c:v>
                </c:pt>
                <c:pt idx="7">
                  <c:v>42674</c:v>
                </c:pt>
                <c:pt idx="8">
                  <c:v>42675</c:v>
                </c:pt>
                <c:pt idx="9">
                  <c:v>42676</c:v>
                </c:pt>
                <c:pt idx="10">
                  <c:v>42677</c:v>
                </c:pt>
                <c:pt idx="11">
                  <c:v>42678</c:v>
                </c:pt>
                <c:pt idx="12">
                  <c:v>42681</c:v>
                </c:pt>
                <c:pt idx="13">
                  <c:v>42682</c:v>
                </c:pt>
                <c:pt idx="14">
                  <c:v>42683</c:v>
                </c:pt>
                <c:pt idx="15">
                  <c:v>42684</c:v>
                </c:pt>
                <c:pt idx="16">
                  <c:v>42685</c:v>
                </c:pt>
                <c:pt idx="17">
                  <c:v>42688</c:v>
                </c:pt>
                <c:pt idx="18">
                  <c:v>42689</c:v>
                </c:pt>
                <c:pt idx="19">
                  <c:v>42690</c:v>
                </c:pt>
                <c:pt idx="20">
                  <c:v>42691</c:v>
                </c:pt>
                <c:pt idx="21">
                  <c:v>42692</c:v>
                </c:pt>
                <c:pt idx="22">
                  <c:v>42695</c:v>
                </c:pt>
                <c:pt idx="23">
                  <c:v>42696</c:v>
                </c:pt>
                <c:pt idx="24">
                  <c:v>42697</c:v>
                </c:pt>
                <c:pt idx="25">
                  <c:v>42698</c:v>
                </c:pt>
                <c:pt idx="26">
                  <c:v>42699</c:v>
                </c:pt>
                <c:pt idx="27">
                  <c:v>42702</c:v>
                </c:pt>
                <c:pt idx="28">
                  <c:v>42703</c:v>
                </c:pt>
                <c:pt idx="29">
                  <c:v>42704</c:v>
                </c:pt>
                <c:pt idx="30">
                  <c:v>42705</c:v>
                </c:pt>
                <c:pt idx="31">
                  <c:v>42706</c:v>
                </c:pt>
                <c:pt idx="32">
                  <c:v>42709</c:v>
                </c:pt>
                <c:pt idx="33">
                  <c:v>42710</c:v>
                </c:pt>
                <c:pt idx="34">
                  <c:v>42711</c:v>
                </c:pt>
                <c:pt idx="35">
                  <c:v>42712</c:v>
                </c:pt>
                <c:pt idx="36">
                  <c:v>42713</c:v>
                </c:pt>
                <c:pt idx="37">
                  <c:v>42716</c:v>
                </c:pt>
                <c:pt idx="38">
                  <c:v>42717</c:v>
                </c:pt>
                <c:pt idx="39">
                  <c:v>42718</c:v>
                </c:pt>
                <c:pt idx="40">
                  <c:v>42719</c:v>
                </c:pt>
                <c:pt idx="41">
                  <c:v>42720</c:v>
                </c:pt>
                <c:pt idx="42">
                  <c:v>42723</c:v>
                </c:pt>
                <c:pt idx="43">
                  <c:v>42724</c:v>
                </c:pt>
                <c:pt idx="44">
                  <c:v>42725</c:v>
                </c:pt>
                <c:pt idx="45">
                  <c:v>42726</c:v>
                </c:pt>
                <c:pt idx="46">
                  <c:v>42727</c:v>
                </c:pt>
                <c:pt idx="47">
                  <c:v>42731</c:v>
                </c:pt>
                <c:pt idx="48">
                  <c:v>42732</c:v>
                </c:pt>
                <c:pt idx="49">
                  <c:v>42733</c:v>
                </c:pt>
                <c:pt idx="50">
                  <c:v>42734</c:v>
                </c:pt>
                <c:pt idx="51">
                  <c:v>42737</c:v>
                </c:pt>
                <c:pt idx="52">
                  <c:v>42738</c:v>
                </c:pt>
                <c:pt idx="53">
                  <c:v>42739</c:v>
                </c:pt>
                <c:pt idx="54">
                  <c:v>42740</c:v>
                </c:pt>
                <c:pt idx="55">
                  <c:v>42741</c:v>
                </c:pt>
                <c:pt idx="56">
                  <c:v>42744</c:v>
                </c:pt>
                <c:pt idx="57">
                  <c:v>42745</c:v>
                </c:pt>
                <c:pt idx="58">
                  <c:v>42746</c:v>
                </c:pt>
                <c:pt idx="59">
                  <c:v>42747</c:v>
                </c:pt>
                <c:pt idx="60">
                  <c:v>42748</c:v>
                </c:pt>
                <c:pt idx="61">
                  <c:v>42751</c:v>
                </c:pt>
                <c:pt idx="62">
                  <c:v>42752</c:v>
                </c:pt>
                <c:pt idx="63">
                  <c:v>42753</c:v>
                </c:pt>
                <c:pt idx="64">
                  <c:v>42754</c:v>
                </c:pt>
                <c:pt idx="65">
                  <c:v>42755</c:v>
                </c:pt>
                <c:pt idx="66">
                  <c:v>42758</c:v>
                </c:pt>
                <c:pt idx="67">
                  <c:v>42759</c:v>
                </c:pt>
                <c:pt idx="68">
                  <c:v>42760</c:v>
                </c:pt>
                <c:pt idx="69">
                  <c:v>42761</c:v>
                </c:pt>
                <c:pt idx="70">
                  <c:v>42762</c:v>
                </c:pt>
                <c:pt idx="71">
                  <c:v>42765</c:v>
                </c:pt>
                <c:pt idx="72">
                  <c:v>42766</c:v>
                </c:pt>
                <c:pt idx="73">
                  <c:v>42767</c:v>
                </c:pt>
                <c:pt idx="74">
                  <c:v>42768</c:v>
                </c:pt>
                <c:pt idx="75">
                  <c:v>42769</c:v>
                </c:pt>
                <c:pt idx="76">
                  <c:v>42772</c:v>
                </c:pt>
                <c:pt idx="77">
                  <c:v>42773</c:v>
                </c:pt>
                <c:pt idx="78">
                  <c:v>42774</c:v>
                </c:pt>
                <c:pt idx="79">
                  <c:v>42775</c:v>
                </c:pt>
                <c:pt idx="80">
                  <c:v>42776</c:v>
                </c:pt>
                <c:pt idx="81">
                  <c:v>42779</c:v>
                </c:pt>
                <c:pt idx="82">
                  <c:v>42780</c:v>
                </c:pt>
                <c:pt idx="83">
                  <c:v>42781</c:v>
                </c:pt>
                <c:pt idx="84">
                  <c:v>42782</c:v>
                </c:pt>
                <c:pt idx="85">
                  <c:v>42783</c:v>
                </c:pt>
                <c:pt idx="86">
                  <c:v>42786</c:v>
                </c:pt>
                <c:pt idx="87">
                  <c:v>42787</c:v>
                </c:pt>
                <c:pt idx="88">
                  <c:v>42788</c:v>
                </c:pt>
                <c:pt idx="89">
                  <c:v>42789</c:v>
                </c:pt>
                <c:pt idx="90">
                  <c:v>42790</c:v>
                </c:pt>
                <c:pt idx="91">
                  <c:v>42793</c:v>
                </c:pt>
                <c:pt idx="92">
                  <c:v>42794</c:v>
                </c:pt>
                <c:pt idx="93">
                  <c:v>42795</c:v>
                </c:pt>
                <c:pt idx="94">
                  <c:v>42796</c:v>
                </c:pt>
                <c:pt idx="95">
                  <c:v>42797</c:v>
                </c:pt>
                <c:pt idx="96">
                  <c:v>42800</c:v>
                </c:pt>
                <c:pt idx="97">
                  <c:v>42801</c:v>
                </c:pt>
                <c:pt idx="98">
                  <c:v>42802</c:v>
                </c:pt>
                <c:pt idx="99">
                  <c:v>42803</c:v>
                </c:pt>
                <c:pt idx="100">
                  <c:v>42804</c:v>
                </c:pt>
                <c:pt idx="101">
                  <c:v>42807</c:v>
                </c:pt>
                <c:pt idx="102">
                  <c:v>42808</c:v>
                </c:pt>
                <c:pt idx="103">
                  <c:v>42809</c:v>
                </c:pt>
                <c:pt idx="104">
                  <c:v>42810</c:v>
                </c:pt>
                <c:pt idx="105">
                  <c:v>42811</c:v>
                </c:pt>
                <c:pt idx="106">
                  <c:v>42814</c:v>
                </c:pt>
                <c:pt idx="107">
                  <c:v>42815</c:v>
                </c:pt>
                <c:pt idx="108">
                  <c:v>42816</c:v>
                </c:pt>
                <c:pt idx="109">
                  <c:v>42817</c:v>
                </c:pt>
                <c:pt idx="110">
                  <c:v>42818</c:v>
                </c:pt>
                <c:pt idx="111">
                  <c:v>42821</c:v>
                </c:pt>
                <c:pt idx="112">
                  <c:v>42822</c:v>
                </c:pt>
                <c:pt idx="113">
                  <c:v>42823</c:v>
                </c:pt>
                <c:pt idx="114">
                  <c:v>42824</c:v>
                </c:pt>
                <c:pt idx="115">
                  <c:v>42825</c:v>
                </c:pt>
                <c:pt idx="116">
                  <c:v>42828</c:v>
                </c:pt>
                <c:pt idx="117">
                  <c:v>42829</c:v>
                </c:pt>
                <c:pt idx="118">
                  <c:v>42830</c:v>
                </c:pt>
                <c:pt idx="119">
                  <c:v>42831</c:v>
                </c:pt>
                <c:pt idx="120">
                  <c:v>42832</c:v>
                </c:pt>
                <c:pt idx="121">
                  <c:v>42835</c:v>
                </c:pt>
                <c:pt idx="122">
                  <c:v>42836</c:v>
                </c:pt>
                <c:pt idx="123">
                  <c:v>42837</c:v>
                </c:pt>
                <c:pt idx="124">
                  <c:v>42838</c:v>
                </c:pt>
                <c:pt idx="125">
                  <c:v>42843</c:v>
                </c:pt>
                <c:pt idx="126">
                  <c:v>42844</c:v>
                </c:pt>
                <c:pt idx="127">
                  <c:v>42845</c:v>
                </c:pt>
                <c:pt idx="128">
                  <c:v>42846</c:v>
                </c:pt>
                <c:pt idx="129">
                  <c:v>42849</c:v>
                </c:pt>
                <c:pt idx="130">
                  <c:v>42850</c:v>
                </c:pt>
                <c:pt idx="131">
                  <c:v>42851</c:v>
                </c:pt>
                <c:pt idx="132">
                  <c:v>42852</c:v>
                </c:pt>
                <c:pt idx="133">
                  <c:v>42853</c:v>
                </c:pt>
                <c:pt idx="134">
                  <c:v>42857</c:v>
                </c:pt>
                <c:pt idx="135">
                  <c:v>42858</c:v>
                </c:pt>
                <c:pt idx="136">
                  <c:v>42859</c:v>
                </c:pt>
                <c:pt idx="137">
                  <c:v>42860</c:v>
                </c:pt>
                <c:pt idx="138">
                  <c:v>42863</c:v>
                </c:pt>
                <c:pt idx="139">
                  <c:v>42864</c:v>
                </c:pt>
                <c:pt idx="140">
                  <c:v>42865</c:v>
                </c:pt>
                <c:pt idx="141">
                  <c:v>42866</c:v>
                </c:pt>
                <c:pt idx="142">
                  <c:v>42867</c:v>
                </c:pt>
                <c:pt idx="143">
                  <c:v>42870</c:v>
                </c:pt>
                <c:pt idx="144">
                  <c:v>42871</c:v>
                </c:pt>
                <c:pt idx="145">
                  <c:v>42872</c:v>
                </c:pt>
                <c:pt idx="146">
                  <c:v>42873</c:v>
                </c:pt>
                <c:pt idx="147">
                  <c:v>42874</c:v>
                </c:pt>
                <c:pt idx="148">
                  <c:v>42877</c:v>
                </c:pt>
                <c:pt idx="149">
                  <c:v>42878</c:v>
                </c:pt>
                <c:pt idx="150">
                  <c:v>42879</c:v>
                </c:pt>
                <c:pt idx="151">
                  <c:v>42880</c:v>
                </c:pt>
                <c:pt idx="152">
                  <c:v>42881</c:v>
                </c:pt>
                <c:pt idx="153">
                  <c:v>42884</c:v>
                </c:pt>
                <c:pt idx="154">
                  <c:v>42885</c:v>
                </c:pt>
                <c:pt idx="155">
                  <c:v>42886</c:v>
                </c:pt>
                <c:pt idx="156">
                  <c:v>42887</c:v>
                </c:pt>
                <c:pt idx="157">
                  <c:v>42888</c:v>
                </c:pt>
                <c:pt idx="158">
                  <c:v>42891</c:v>
                </c:pt>
                <c:pt idx="159">
                  <c:v>42892</c:v>
                </c:pt>
                <c:pt idx="160">
                  <c:v>42893</c:v>
                </c:pt>
                <c:pt idx="161">
                  <c:v>42894</c:v>
                </c:pt>
                <c:pt idx="162">
                  <c:v>42895</c:v>
                </c:pt>
                <c:pt idx="163">
                  <c:v>42898</c:v>
                </c:pt>
                <c:pt idx="164">
                  <c:v>42899</c:v>
                </c:pt>
                <c:pt idx="165">
                  <c:v>42900</c:v>
                </c:pt>
                <c:pt idx="166">
                  <c:v>42901</c:v>
                </c:pt>
                <c:pt idx="167">
                  <c:v>42902</c:v>
                </c:pt>
                <c:pt idx="168">
                  <c:v>42905</c:v>
                </c:pt>
                <c:pt idx="169">
                  <c:v>42906</c:v>
                </c:pt>
                <c:pt idx="170">
                  <c:v>42907</c:v>
                </c:pt>
                <c:pt idx="171">
                  <c:v>42908</c:v>
                </c:pt>
                <c:pt idx="172">
                  <c:v>42909</c:v>
                </c:pt>
                <c:pt idx="173">
                  <c:v>42912</c:v>
                </c:pt>
                <c:pt idx="174">
                  <c:v>42913</c:v>
                </c:pt>
                <c:pt idx="175">
                  <c:v>42914</c:v>
                </c:pt>
                <c:pt idx="176">
                  <c:v>42915</c:v>
                </c:pt>
                <c:pt idx="177">
                  <c:v>42916</c:v>
                </c:pt>
                <c:pt idx="178">
                  <c:v>42919</c:v>
                </c:pt>
                <c:pt idx="179">
                  <c:v>42920</c:v>
                </c:pt>
                <c:pt idx="180">
                  <c:v>42921</c:v>
                </c:pt>
                <c:pt idx="181">
                  <c:v>42922</c:v>
                </c:pt>
                <c:pt idx="182">
                  <c:v>42923</c:v>
                </c:pt>
                <c:pt idx="183">
                  <c:v>42926</c:v>
                </c:pt>
                <c:pt idx="184">
                  <c:v>42927</c:v>
                </c:pt>
                <c:pt idx="185">
                  <c:v>42928</c:v>
                </c:pt>
                <c:pt idx="186">
                  <c:v>42929</c:v>
                </c:pt>
                <c:pt idx="187">
                  <c:v>42930</c:v>
                </c:pt>
                <c:pt idx="188">
                  <c:v>42933</c:v>
                </c:pt>
                <c:pt idx="189">
                  <c:v>42934</c:v>
                </c:pt>
                <c:pt idx="190">
                  <c:v>42935</c:v>
                </c:pt>
                <c:pt idx="191">
                  <c:v>42936</c:v>
                </c:pt>
                <c:pt idx="192">
                  <c:v>42937</c:v>
                </c:pt>
                <c:pt idx="193">
                  <c:v>42940</c:v>
                </c:pt>
                <c:pt idx="194">
                  <c:v>42941</c:v>
                </c:pt>
                <c:pt idx="195">
                  <c:v>42942</c:v>
                </c:pt>
                <c:pt idx="196">
                  <c:v>42943</c:v>
                </c:pt>
                <c:pt idx="197">
                  <c:v>42944</c:v>
                </c:pt>
                <c:pt idx="198">
                  <c:v>42947</c:v>
                </c:pt>
                <c:pt idx="199">
                  <c:v>42948</c:v>
                </c:pt>
                <c:pt idx="200">
                  <c:v>42949</c:v>
                </c:pt>
                <c:pt idx="201">
                  <c:v>42950</c:v>
                </c:pt>
                <c:pt idx="202">
                  <c:v>42951</c:v>
                </c:pt>
                <c:pt idx="203">
                  <c:v>42954</c:v>
                </c:pt>
                <c:pt idx="204">
                  <c:v>42955</c:v>
                </c:pt>
                <c:pt idx="205">
                  <c:v>42956</c:v>
                </c:pt>
                <c:pt idx="206">
                  <c:v>42957</c:v>
                </c:pt>
                <c:pt idx="207">
                  <c:v>42958</c:v>
                </c:pt>
                <c:pt idx="208">
                  <c:v>42961</c:v>
                </c:pt>
                <c:pt idx="209">
                  <c:v>42962</c:v>
                </c:pt>
                <c:pt idx="210">
                  <c:v>42963</c:v>
                </c:pt>
                <c:pt idx="211">
                  <c:v>42964</c:v>
                </c:pt>
                <c:pt idx="212">
                  <c:v>42965</c:v>
                </c:pt>
                <c:pt idx="213">
                  <c:v>42968</c:v>
                </c:pt>
                <c:pt idx="214">
                  <c:v>42969</c:v>
                </c:pt>
                <c:pt idx="215">
                  <c:v>42970</c:v>
                </c:pt>
                <c:pt idx="216">
                  <c:v>42971</c:v>
                </c:pt>
                <c:pt idx="217">
                  <c:v>42972</c:v>
                </c:pt>
                <c:pt idx="218">
                  <c:v>42975</c:v>
                </c:pt>
                <c:pt idx="219">
                  <c:v>42976</c:v>
                </c:pt>
                <c:pt idx="220">
                  <c:v>42977</c:v>
                </c:pt>
                <c:pt idx="221">
                  <c:v>42978</c:v>
                </c:pt>
                <c:pt idx="222">
                  <c:v>42979</c:v>
                </c:pt>
                <c:pt idx="223">
                  <c:v>42982</c:v>
                </c:pt>
                <c:pt idx="224">
                  <c:v>42983</c:v>
                </c:pt>
                <c:pt idx="225">
                  <c:v>42984</c:v>
                </c:pt>
                <c:pt idx="226">
                  <c:v>42985</c:v>
                </c:pt>
                <c:pt idx="227">
                  <c:v>42986</c:v>
                </c:pt>
                <c:pt idx="228">
                  <c:v>42989</c:v>
                </c:pt>
                <c:pt idx="229">
                  <c:v>42990</c:v>
                </c:pt>
                <c:pt idx="230">
                  <c:v>42991</c:v>
                </c:pt>
                <c:pt idx="231">
                  <c:v>42992</c:v>
                </c:pt>
                <c:pt idx="232">
                  <c:v>42993</c:v>
                </c:pt>
                <c:pt idx="233">
                  <c:v>42996</c:v>
                </c:pt>
                <c:pt idx="234">
                  <c:v>42997</c:v>
                </c:pt>
                <c:pt idx="235">
                  <c:v>42998</c:v>
                </c:pt>
                <c:pt idx="236">
                  <c:v>42999</c:v>
                </c:pt>
                <c:pt idx="237">
                  <c:v>43000</c:v>
                </c:pt>
                <c:pt idx="238">
                  <c:v>43003</c:v>
                </c:pt>
                <c:pt idx="239">
                  <c:v>43004</c:v>
                </c:pt>
                <c:pt idx="240">
                  <c:v>43005</c:v>
                </c:pt>
                <c:pt idx="241">
                  <c:v>43006</c:v>
                </c:pt>
                <c:pt idx="242">
                  <c:v>43007</c:v>
                </c:pt>
                <c:pt idx="243">
                  <c:v>43010</c:v>
                </c:pt>
                <c:pt idx="244">
                  <c:v>43011</c:v>
                </c:pt>
                <c:pt idx="245">
                  <c:v>43012</c:v>
                </c:pt>
                <c:pt idx="246">
                  <c:v>43013</c:v>
                </c:pt>
                <c:pt idx="247">
                  <c:v>43014</c:v>
                </c:pt>
                <c:pt idx="248">
                  <c:v>43017</c:v>
                </c:pt>
                <c:pt idx="249">
                  <c:v>43018</c:v>
                </c:pt>
                <c:pt idx="250">
                  <c:v>43019</c:v>
                </c:pt>
                <c:pt idx="251">
                  <c:v>43020</c:v>
                </c:pt>
                <c:pt idx="252">
                  <c:v>43021</c:v>
                </c:pt>
                <c:pt idx="253">
                  <c:v>43024</c:v>
                </c:pt>
                <c:pt idx="254">
                  <c:v>43025</c:v>
                </c:pt>
                <c:pt idx="255">
                  <c:v>43026</c:v>
                </c:pt>
                <c:pt idx="256">
                  <c:v>43027</c:v>
                </c:pt>
                <c:pt idx="257">
                  <c:v>43028</c:v>
                </c:pt>
              </c:numCache>
            </c:numRef>
          </c:cat>
          <c:val>
            <c:numRef>
              <c:f>'ΣΤΟΙΧΕΙΑ ΓΙΑ ΠΡΟΥΠ 2018'!$C$3:$C$774</c:f>
              <c:numCache>
                <c:formatCode>General</c:formatCode>
                <c:ptCount val="258"/>
                <c:pt idx="0">
                  <c:v>0.28200000000000008</c:v>
                </c:pt>
                <c:pt idx="1">
                  <c:v>0.28700000000000031</c:v>
                </c:pt>
                <c:pt idx="2">
                  <c:v>0.30200000000000032</c:v>
                </c:pt>
                <c:pt idx="3">
                  <c:v>0.30700000000000038</c:v>
                </c:pt>
                <c:pt idx="4">
                  <c:v>0.37000000000000038</c:v>
                </c:pt>
                <c:pt idx="5">
                  <c:v>0.45400000000000001</c:v>
                </c:pt>
                <c:pt idx="6">
                  <c:v>0.46700000000000008</c:v>
                </c:pt>
                <c:pt idx="7">
                  <c:v>0.46700000000000008</c:v>
                </c:pt>
                <c:pt idx="8">
                  <c:v>0.502</c:v>
                </c:pt>
                <c:pt idx="9">
                  <c:v>0.44900000000000001</c:v>
                </c:pt>
                <c:pt idx="10">
                  <c:v>0.47000000000000008</c:v>
                </c:pt>
                <c:pt idx="11">
                  <c:v>0.46400000000000002</c:v>
                </c:pt>
                <c:pt idx="12">
                  <c:v>0.46500000000000002</c:v>
                </c:pt>
                <c:pt idx="13">
                  <c:v>0.5</c:v>
                </c:pt>
                <c:pt idx="14">
                  <c:v>0.54100000000000004</c:v>
                </c:pt>
                <c:pt idx="15">
                  <c:v>0.67800000000000193</c:v>
                </c:pt>
                <c:pt idx="16">
                  <c:v>0.74800000000000144</c:v>
                </c:pt>
                <c:pt idx="17">
                  <c:v>0.79700000000000004</c:v>
                </c:pt>
                <c:pt idx="18">
                  <c:v>0.72800000000000065</c:v>
                </c:pt>
                <c:pt idx="19">
                  <c:v>0.74100000000000144</c:v>
                </c:pt>
                <c:pt idx="20">
                  <c:v>0.74500000000000144</c:v>
                </c:pt>
                <c:pt idx="21">
                  <c:v>0.76000000000000156</c:v>
                </c:pt>
                <c:pt idx="22">
                  <c:v>0.75800000000000156</c:v>
                </c:pt>
                <c:pt idx="23">
                  <c:v>0.70900000000000063</c:v>
                </c:pt>
                <c:pt idx="24">
                  <c:v>0.78200000000000003</c:v>
                </c:pt>
                <c:pt idx="25">
                  <c:v>0.79100000000000004</c:v>
                </c:pt>
                <c:pt idx="26">
                  <c:v>0.79500000000000004</c:v>
                </c:pt>
                <c:pt idx="27">
                  <c:v>0.76800000000000168</c:v>
                </c:pt>
                <c:pt idx="28">
                  <c:v>0.70000000000000062</c:v>
                </c:pt>
                <c:pt idx="29">
                  <c:v>0.75200000000000156</c:v>
                </c:pt>
                <c:pt idx="30">
                  <c:v>0.81799999999999995</c:v>
                </c:pt>
                <c:pt idx="31">
                  <c:v>0.71900000000000064</c:v>
                </c:pt>
                <c:pt idx="32">
                  <c:v>0.79</c:v>
                </c:pt>
                <c:pt idx="33">
                  <c:v>0.80600000000000005</c:v>
                </c:pt>
                <c:pt idx="34">
                  <c:v>0.76000000000000156</c:v>
                </c:pt>
                <c:pt idx="35">
                  <c:v>0.80900000000000005</c:v>
                </c:pt>
                <c:pt idx="36">
                  <c:v>0.81299999999999994</c:v>
                </c:pt>
                <c:pt idx="37">
                  <c:v>0.86800000000000144</c:v>
                </c:pt>
                <c:pt idx="38">
                  <c:v>0.79700000000000004</c:v>
                </c:pt>
                <c:pt idx="39">
                  <c:v>0.73900000000000143</c:v>
                </c:pt>
                <c:pt idx="40">
                  <c:v>0.77700000000000191</c:v>
                </c:pt>
                <c:pt idx="41">
                  <c:v>0.76700000000000168</c:v>
                </c:pt>
                <c:pt idx="42">
                  <c:v>0.71200000000000063</c:v>
                </c:pt>
                <c:pt idx="43">
                  <c:v>0.71900000000000064</c:v>
                </c:pt>
                <c:pt idx="44">
                  <c:v>0.70300000000000062</c:v>
                </c:pt>
                <c:pt idx="45">
                  <c:v>0.73300000000000065</c:v>
                </c:pt>
                <c:pt idx="46">
                  <c:v>0.69399999999999995</c:v>
                </c:pt>
                <c:pt idx="47">
                  <c:v>0.67200000000000193</c:v>
                </c:pt>
                <c:pt idx="48">
                  <c:v>0.67400000000000193</c:v>
                </c:pt>
                <c:pt idx="49">
                  <c:v>0.65200000000000191</c:v>
                </c:pt>
                <c:pt idx="50">
                  <c:v>0.68600000000000005</c:v>
                </c:pt>
                <c:pt idx="51">
                  <c:v>0.67000000000000193</c:v>
                </c:pt>
                <c:pt idx="52">
                  <c:v>0.77800000000000191</c:v>
                </c:pt>
                <c:pt idx="53">
                  <c:v>0.81</c:v>
                </c:pt>
                <c:pt idx="54">
                  <c:v>0.79200000000000004</c:v>
                </c:pt>
                <c:pt idx="55">
                  <c:v>0.83100000000000063</c:v>
                </c:pt>
                <c:pt idx="56">
                  <c:v>0.79800000000000004</c:v>
                </c:pt>
                <c:pt idx="57">
                  <c:v>0.80600000000000005</c:v>
                </c:pt>
                <c:pt idx="58">
                  <c:v>0.77600000000000191</c:v>
                </c:pt>
                <c:pt idx="59">
                  <c:v>0.77800000000000191</c:v>
                </c:pt>
                <c:pt idx="60">
                  <c:v>0.80400000000000005</c:v>
                </c:pt>
                <c:pt idx="61">
                  <c:v>0.80300000000000005</c:v>
                </c:pt>
                <c:pt idx="62">
                  <c:v>0.79200000000000004</c:v>
                </c:pt>
                <c:pt idx="63">
                  <c:v>0.82600000000000062</c:v>
                </c:pt>
                <c:pt idx="64">
                  <c:v>0.86000000000000065</c:v>
                </c:pt>
                <c:pt idx="65">
                  <c:v>0.90600000000000003</c:v>
                </c:pt>
                <c:pt idx="66">
                  <c:v>0.85500000000000065</c:v>
                </c:pt>
                <c:pt idx="67">
                  <c:v>0.89900000000000002</c:v>
                </c:pt>
                <c:pt idx="68">
                  <c:v>0.96900000000000064</c:v>
                </c:pt>
                <c:pt idx="69">
                  <c:v>1.0269999999999968</c:v>
                </c:pt>
                <c:pt idx="70">
                  <c:v>1.0309999999999968</c:v>
                </c:pt>
                <c:pt idx="71">
                  <c:v>1.0580000000000001</c:v>
                </c:pt>
                <c:pt idx="72">
                  <c:v>1.038</c:v>
                </c:pt>
                <c:pt idx="73">
                  <c:v>1.087</c:v>
                </c:pt>
                <c:pt idx="74">
                  <c:v>1.046</c:v>
                </c:pt>
                <c:pt idx="75">
                  <c:v>1.08</c:v>
                </c:pt>
                <c:pt idx="76">
                  <c:v>1.139</c:v>
                </c:pt>
                <c:pt idx="77">
                  <c:v>1.113</c:v>
                </c:pt>
                <c:pt idx="78">
                  <c:v>1.006</c:v>
                </c:pt>
                <c:pt idx="79">
                  <c:v>0.98699999999999999</c:v>
                </c:pt>
                <c:pt idx="80">
                  <c:v>1.0569999999999971</c:v>
                </c:pt>
                <c:pt idx="81">
                  <c:v>1.0229999999999968</c:v>
                </c:pt>
                <c:pt idx="82">
                  <c:v>1.050999999999997</c:v>
                </c:pt>
                <c:pt idx="83">
                  <c:v>1.052999999999997</c:v>
                </c:pt>
                <c:pt idx="84">
                  <c:v>1.016</c:v>
                </c:pt>
                <c:pt idx="85">
                  <c:v>1.038</c:v>
                </c:pt>
                <c:pt idx="86">
                  <c:v>1.0609999999999971</c:v>
                </c:pt>
                <c:pt idx="87">
                  <c:v>1.0920000000000001</c:v>
                </c:pt>
                <c:pt idx="88">
                  <c:v>1.016</c:v>
                </c:pt>
                <c:pt idx="89">
                  <c:v>0.98499999999999999</c:v>
                </c:pt>
                <c:pt idx="90">
                  <c:v>0.92800000000000005</c:v>
                </c:pt>
                <c:pt idx="91">
                  <c:v>0.87700000000000156</c:v>
                </c:pt>
                <c:pt idx="92">
                  <c:v>0.89</c:v>
                </c:pt>
                <c:pt idx="93">
                  <c:v>0.91700000000000004</c:v>
                </c:pt>
                <c:pt idx="94">
                  <c:v>0.92700000000000005</c:v>
                </c:pt>
                <c:pt idx="95">
                  <c:v>0.94099999999999995</c:v>
                </c:pt>
                <c:pt idx="96">
                  <c:v>0.96500000000000064</c:v>
                </c:pt>
                <c:pt idx="97">
                  <c:v>0.96300000000000063</c:v>
                </c:pt>
                <c:pt idx="98">
                  <c:v>1.022</c:v>
                </c:pt>
                <c:pt idx="99">
                  <c:v>1.083</c:v>
                </c:pt>
                <c:pt idx="100">
                  <c:v>1.1160000000000001</c:v>
                </c:pt>
                <c:pt idx="101">
                  <c:v>1.093</c:v>
                </c:pt>
                <c:pt idx="102">
                  <c:v>1.089</c:v>
                </c:pt>
                <c:pt idx="103">
                  <c:v>1.04</c:v>
                </c:pt>
                <c:pt idx="104">
                  <c:v>1.0920000000000001</c:v>
                </c:pt>
                <c:pt idx="105">
                  <c:v>1.109</c:v>
                </c:pt>
                <c:pt idx="106">
                  <c:v>1.121</c:v>
                </c:pt>
                <c:pt idx="107">
                  <c:v>1.0980000000000001</c:v>
                </c:pt>
                <c:pt idx="108">
                  <c:v>1.046999999999997</c:v>
                </c:pt>
                <c:pt idx="109">
                  <c:v>1.042999999999997</c:v>
                </c:pt>
                <c:pt idx="110">
                  <c:v>0.98499999999999999</c:v>
                </c:pt>
                <c:pt idx="111">
                  <c:v>0.97400000000000064</c:v>
                </c:pt>
                <c:pt idx="112">
                  <c:v>0.96100000000000063</c:v>
                </c:pt>
                <c:pt idx="113">
                  <c:v>0.93200000000000005</c:v>
                </c:pt>
                <c:pt idx="114">
                  <c:v>0.94299999999999995</c:v>
                </c:pt>
                <c:pt idx="115">
                  <c:v>0.97000000000000064</c:v>
                </c:pt>
                <c:pt idx="116">
                  <c:v>0.95100000000000062</c:v>
                </c:pt>
                <c:pt idx="117">
                  <c:v>0.92700000000000005</c:v>
                </c:pt>
                <c:pt idx="118">
                  <c:v>0.92300000000000004</c:v>
                </c:pt>
                <c:pt idx="119">
                  <c:v>0.89900000000000002</c:v>
                </c:pt>
                <c:pt idx="120">
                  <c:v>0.89300000000000002</c:v>
                </c:pt>
                <c:pt idx="121">
                  <c:v>0.93100000000000005</c:v>
                </c:pt>
                <c:pt idx="122">
                  <c:v>0.96400000000000063</c:v>
                </c:pt>
                <c:pt idx="123">
                  <c:v>0.93</c:v>
                </c:pt>
                <c:pt idx="124">
                  <c:v>0.91800000000000004</c:v>
                </c:pt>
                <c:pt idx="125">
                  <c:v>0.89400000000000002</c:v>
                </c:pt>
                <c:pt idx="126">
                  <c:v>0.95300000000000062</c:v>
                </c:pt>
                <c:pt idx="127">
                  <c:v>0.92800000000000005</c:v>
                </c:pt>
                <c:pt idx="128">
                  <c:v>0.94000000000000061</c:v>
                </c:pt>
                <c:pt idx="129">
                  <c:v>0.83100000000000063</c:v>
                </c:pt>
                <c:pt idx="130">
                  <c:v>0.9</c:v>
                </c:pt>
                <c:pt idx="131">
                  <c:v>0.89</c:v>
                </c:pt>
                <c:pt idx="132">
                  <c:v>0.82900000000000063</c:v>
                </c:pt>
                <c:pt idx="133">
                  <c:v>0.83600000000000063</c:v>
                </c:pt>
                <c:pt idx="134">
                  <c:v>0.81799999999999995</c:v>
                </c:pt>
                <c:pt idx="135">
                  <c:v>0.80600000000000005</c:v>
                </c:pt>
                <c:pt idx="136">
                  <c:v>0.82900000000000063</c:v>
                </c:pt>
                <c:pt idx="137">
                  <c:v>0.84500000000000064</c:v>
                </c:pt>
                <c:pt idx="138">
                  <c:v>0.84500000000000064</c:v>
                </c:pt>
                <c:pt idx="139">
                  <c:v>0.86700000000000144</c:v>
                </c:pt>
                <c:pt idx="140">
                  <c:v>0.84600000000000064</c:v>
                </c:pt>
                <c:pt idx="141">
                  <c:v>0.87800000000000156</c:v>
                </c:pt>
                <c:pt idx="142">
                  <c:v>0.84300000000000064</c:v>
                </c:pt>
                <c:pt idx="143">
                  <c:v>0.88</c:v>
                </c:pt>
                <c:pt idx="144">
                  <c:v>0.89100000000000001</c:v>
                </c:pt>
                <c:pt idx="145">
                  <c:v>0.83500000000000063</c:v>
                </c:pt>
                <c:pt idx="146">
                  <c:v>0.80200000000000005</c:v>
                </c:pt>
                <c:pt idx="147">
                  <c:v>0.80800000000000005</c:v>
                </c:pt>
                <c:pt idx="148">
                  <c:v>0.84700000000000064</c:v>
                </c:pt>
                <c:pt idx="149">
                  <c:v>0.84500000000000064</c:v>
                </c:pt>
                <c:pt idx="150">
                  <c:v>0.83600000000000063</c:v>
                </c:pt>
                <c:pt idx="151">
                  <c:v>0.79300000000000004</c:v>
                </c:pt>
                <c:pt idx="152">
                  <c:v>0.75800000000000156</c:v>
                </c:pt>
                <c:pt idx="153">
                  <c:v>0.74200000000000144</c:v>
                </c:pt>
                <c:pt idx="154">
                  <c:v>0.72900000000000065</c:v>
                </c:pt>
                <c:pt idx="155">
                  <c:v>0.73400000000000065</c:v>
                </c:pt>
                <c:pt idx="156">
                  <c:v>0.73500000000000065</c:v>
                </c:pt>
                <c:pt idx="157">
                  <c:v>0.70900000000000063</c:v>
                </c:pt>
                <c:pt idx="158">
                  <c:v>0.72200000000000064</c:v>
                </c:pt>
                <c:pt idx="159">
                  <c:v>0.66900000000000193</c:v>
                </c:pt>
                <c:pt idx="160">
                  <c:v>0.69399999999999995</c:v>
                </c:pt>
                <c:pt idx="161">
                  <c:v>0.64600000000000168</c:v>
                </c:pt>
                <c:pt idx="162">
                  <c:v>0.64700000000000168</c:v>
                </c:pt>
                <c:pt idx="163">
                  <c:v>0.59799999999999998</c:v>
                </c:pt>
                <c:pt idx="164">
                  <c:v>0.60800000000000065</c:v>
                </c:pt>
                <c:pt idx="165">
                  <c:v>0.58299999999999996</c:v>
                </c:pt>
                <c:pt idx="166">
                  <c:v>0.62800000000000156</c:v>
                </c:pt>
                <c:pt idx="167">
                  <c:v>0.63200000000000156</c:v>
                </c:pt>
                <c:pt idx="168">
                  <c:v>0.62900000000000156</c:v>
                </c:pt>
                <c:pt idx="169">
                  <c:v>0.60300000000000065</c:v>
                </c:pt>
                <c:pt idx="170">
                  <c:v>0.60300000000000065</c:v>
                </c:pt>
                <c:pt idx="171">
                  <c:v>0.60000000000000064</c:v>
                </c:pt>
                <c:pt idx="172">
                  <c:v>0.60700000000000065</c:v>
                </c:pt>
                <c:pt idx="173">
                  <c:v>0.59699999999999998</c:v>
                </c:pt>
                <c:pt idx="174">
                  <c:v>0.73400000000000065</c:v>
                </c:pt>
                <c:pt idx="175">
                  <c:v>0.71700000000000064</c:v>
                </c:pt>
                <c:pt idx="176">
                  <c:v>0.80600000000000005</c:v>
                </c:pt>
                <c:pt idx="177">
                  <c:v>0.81499999999999995</c:v>
                </c:pt>
                <c:pt idx="178">
                  <c:v>0.82800000000000062</c:v>
                </c:pt>
                <c:pt idx="179">
                  <c:v>0.82099999999999995</c:v>
                </c:pt>
                <c:pt idx="180">
                  <c:v>0.81699999999999995</c:v>
                </c:pt>
                <c:pt idx="181">
                  <c:v>0.91800000000000004</c:v>
                </c:pt>
                <c:pt idx="182">
                  <c:v>0.94000000000000061</c:v>
                </c:pt>
                <c:pt idx="183">
                  <c:v>0.91</c:v>
                </c:pt>
                <c:pt idx="184">
                  <c:v>0.91800000000000004</c:v>
                </c:pt>
                <c:pt idx="185">
                  <c:v>0.86300000000000143</c:v>
                </c:pt>
                <c:pt idx="186">
                  <c:v>0.88100000000000001</c:v>
                </c:pt>
                <c:pt idx="187">
                  <c:v>0.86200000000000065</c:v>
                </c:pt>
                <c:pt idx="188">
                  <c:v>0.84500000000000064</c:v>
                </c:pt>
                <c:pt idx="189">
                  <c:v>0.81599999999999995</c:v>
                </c:pt>
                <c:pt idx="190">
                  <c:v>0.80100000000000005</c:v>
                </c:pt>
                <c:pt idx="191">
                  <c:v>0.77600000000000191</c:v>
                </c:pt>
                <c:pt idx="192">
                  <c:v>0.75200000000000156</c:v>
                </c:pt>
                <c:pt idx="193">
                  <c:v>0.75000000000000155</c:v>
                </c:pt>
                <c:pt idx="194">
                  <c:v>0.81499999999999995</c:v>
                </c:pt>
                <c:pt idx="195">
                  <c:v>0.81699999999999995</c:v>
                </c:pt>
                <c:pt idx="196">
                  <c:v>0.80400000000000005</c:v>
                </c:pt>
                <c:pt idx="197">
                  <c:v>0.80600000000000005</c:v>
                </c:pt>
                <c:pt idx="198">
                  <c:v>0.80200000000000005</c:v>
                </c:pt>
                <c:pt idx="199">
                  <c:v>0.74800000000000144</c:v>
                </c:pt>
                <c:pt idx="200">
                  <c:v>0.74900000000000144</c:v>
                </c:pt>
                <c:pt idx="201">
                  <c:v>0.71900000000000064</c:v>
                </c:pt>
                <c:pt idx="202">
                  <c:v>0.74800000000000144</c:v>
                </c:pt>
                <c:pt idx="203">
                  <c:v>0.73800000000000143</c:v>
                </c:pt>
                <c:pt idx="204">
                  <c:v>0.75800000000000156</c:v>
                </c:pt>
                <c:pt idx="205">
                  <c:v>0.71700000000000064</c:v>
                </c:pt>
                <c:pt idx="206">
                  <c:v>0.71200000000000063</c:v>
                </c:pt>
                <c:pt idx="207">
                  <c:v>0.67800000000000193</c:v>
                </c:pt>
                <c:pt idx="208">
                  <c:v>0.70400000000000063</c:v>
                </c:pt>
                <c:pt idx="209">
                  <c:v>0.72600000000000064</c:v>
                </c:pt>
                <c:pt idx="210">
                  <c:v>0.74100000000000144</c:v>
                </c:pt>
                <c:pt idx="211">
                  <c:v>0.72200000000000064</c:v>
                </c:pt>
                <c:pt idx="212">
                  <c:v>0.71000000000000063</c:v>
                </c:pt>
                <c:pt idx="213">
                  <c:v>0.69799999999999995</c:v>
                </c:pt>
                <c:pt idx="214">
                  <c:v>0.70300000000000062</c:v>
                </c:pt>
                <c:pt idx="215">
                  <c:v>0.68400000000000005</c:v>
                </c:pt>
                <c:pt idx="216">
                  <c:v>0.68799999999999994</c:v>
                </c:pt>
                <c:pt idx="217">
                  <c:v>0.69499999999999995</c:v>
                </c:pt>
                <c:pt idx="218">
                  <c:v>0.69399999999999995</c:v>
                </c:pt>
                <c:pt idx="219">
                  <c:v>0.65600000000000191</c:v>
                </c:pt>
                <c:pt idx="220">
                  <c:v>0.67100000000000193</c:v>
                </c:pt>
                <c:pt idx="221">
                  <c:v>0.66200000000000192</c:v>
                </c:pt>
                <c:pt idx="222">
                  <c:v>0.68500000000000005</c:v>
                </c:pt>
                <c:pt idx="223">
                  <c:v>0.68</c:v>
                </c:pt>
                <c:pt idx="224">
                  <c:v>0.64800000000000169</c:v>
                </c:pt>
                <c:pt idx="225">
                  <c:v>0.66300000000000192</c:v>
                </c:pt>
                <c:pt idx="226">
                  <c:v>0.61400000000000143</c:v>
                </c:pt>
                <c:pt idx="227">
                  <c:v>0.61600000000000144</c:v>
                </c:pt>
                <c:pt idx="228">
                  <c:v>0.63300000000000156</c:v>
                </c:pt>
                <c:pt idx="229">
                  <c:v>0.69899999999999995</c:v>
                </c:pt>
                <c:pt idx="230">
                  <c:v>0.68500000000000005</c:v>
                </c:pt>
                <c:pt idx="231">
                  <c:v>0.69799999999999995</c:v>
                </c:pt>
                <c:pt idx="232">
                  <c:v>0.71000000000000063</c:v>
                </c:pt>
                <c:pt idx="233">
                  <c:v>0.72600000000000064</c:v>
                </c:pt>
                <c:pt idx="234">
                  <c:v>0.72400000000000064</c:v>
                </c:pt>
                <c:pt idx="235">
                  <c:v>0.72700000000000065</c:v>
                </c:pt>
                <c:pt idx="236">
                  <c:v>0.73700000000000065</c:v>
                </c:pt>
                <c:pt idx="237">
                  <c:v>0.73200000000000065</c:v>
                </c:pt>
                <c:pt idx="238">
                  <c:v>0.69899999999999995</c:v>
                </c:pt>
                <c:pt idx="239">
                  <c:v>0.70500000000000063</c:v>
                </c:pt>
                <c:pt idx="240">
                  <c:v>0.76200000000000156</c:v>
                </c:pt>
                <c:pt idx="241">
                  <c:v>0.76600000000000168</c:v>
                </c:pt>
                <c:pt idx="242">
                  <c:v>0.74300000000000144</c:v>
                </c:pt>
                <c:pt idx="243">
                  <c:v>0.73700000000000065</c:v>
                </c:pt>
                <c:pt idx="244">
                  <c:v>0.75100000000000156</c:v>
                </c:pt>
                <c:pt idx="245">
                  <c:v>0.74700000000000144</c:v>
                </c:pt>
                <c:pt idx="246">
                  <c:v>0.73500000000000065</c:v>
                </c:pt>
                <c:pt idx="247">
                  <c:v>0.73500000000000065</c:v>
                </c:pt>
                <c:pt idx="248">
                  <c:v>0.71800000000000064</c:v>
                </c:pt>
                <c:pt idx="249">
                  <c:v>0.71700000000000064</c:v>
                </c:pt>
                <c:pt idx="250">
                  <c:v>0.88500000000000001</c:v>
                </c:pt>
                <c:pt idx="251">
                  <c:v>0.86300000000000143</c:v>
                </c:pt>
                <c:pt idx="252">
                  <c:v>0.81699999999999995</c:v>
                </c:pt>
                <c:pt idx="253">
                  <c:v>0.78700000000000003</c:v>
                </c:pt>
                <c:pt idx="254">
                  <c:v>0.77700000000000191</c:v>
                </c:pt>
                <c:pt idx="255">
                  <c:v>0.80700000000000005</c:v>
                </c:pt>
                <c:pt idx="256">
                  <c:v>0.81100000000000005</c:v>
                </c:pt>
                <c:pt idx="257">
                  <c:v>0.85800000000000065</c:v>
                </c:pt>
              </c:numCache>
            </c:numRef>
          </c:val>
          <c:extLst xmlns:c16r2="http://schemas.microsoft.com/office/drawing/2015/06/chart">
            <c:ext xmlns:c16="http://schemas.microsoft.com/office/drawing/2014/chart" uri="{C3380CC4-5D6E-409C-BE32-E72D297353CC}">
              <c16:uniqueId val="{00000001-6E98-477D-BB83-D48883701F52}"/>
            </c:ext>
          </c:extLst>
        </c:ser>
        <c:ser>
          <c:idx val="2"/>
          <c:order val="2"/>
          <c:tx>
            <c:strRef>
              <c:f>'ΣΤΟΙΧΕΙΑ ΓΙΑ ΠΡΟΥΠ 2018'!$D$2</c:f>
              <c:strCache>
                <c:ptCount val="1"/>
                <c:pt idx="0">
                  <c:v>ΕΛΛΑΔΑ</c:v>
                </c:pt>
              </c:strCache>
            </c:strRef>
          </c:tx>
          <c:spPr>
            <a:ln>
              <a:solidFill>
                <a:srgbClr val="0070C0"/>
              </a:solidFill>
            </a:ln>
          </c:spPr>
          <c:marker>
            <c:symbol val="none"/>
          </c:marker>
          <c:cat>
            <c:numRef>
              <c:f>'ΣΤΟΙΧΕΙΑ ΓΙΑ ΠΡΟΥΠ 2018'!$A$3:$A$774</c:f>
              <c:numCache>
                <c:formatCode>d/m/yyyy</c:formatCode>
                <c:ptCount val="258"/>
                <c:pt idx="0">
                  <c:v>42663</c:v>
                </c:pt>
                <c:pt idx="1">
                  <c:v>42664</c:v>
                </c:pt>
                <c:pt idx="2">
                  <c:v>42667</c:v>
                </c:pt>
                <c:pt idx="3">
                  <c:v>42668</c:v>
                </c:pt>
                <c:pt idx="4">
                  <c:v>42669</c:v>
                </c:pt>
                <c:pt idx="5">
                  <c:v>42670</c:v>
                </c:pt>
                <c:pt idx="6">
                  <c:v>42671</c:v>
                </c:pt>
                <c:pt idx="7">
                  <c:v>42674</c:v>
                </c:pt>
                <c:pt idx="8">
                  <c:v>42675</c:v>
                </c:pt>
                <c:pt idx="9">
                  <c:v>42676</c:v>
                </c:pt>
                <c:pt idx="10">
                  <c:v>42677</c:v>
                </c:pt>
                <c:pt idx="11">
                  <c:v>42678</c:v>
                </c:pt>
                <c:pt idx="12">
                  <c:v>42681</c:v>
                </c:pt>
                <c:pt idx="13">
                  <c:v>42682</c:v>
                </c:pt>
                <c:pt idx="14">
                  <c:v>42683</c:v>
                </c:pt>
                <c:pt idx="15">
                  <c:v>42684</c:v>
                </c:pt>
                <c:pt idx="16">
                  <c:v>42685</c:v>
                </c:pt>
                <c:pt idx="17">
                  <c:v>42688</c:v>
                </c:pt>
                <c:pt idx="18">
                  <c:v>42689</c:v>
                </c:pt>
                <c:pt idx="19">
                  <c:v>42690</c:v>
                </c:pt>
                <c:pt idx="20">
                  <c:v>42691</c:v>
                </c:pt>
                <c:pt idx="21">
                  <c:v>42692</c:v>
                </c:pt>
                <c:pt idx="22">
                  <c:v>42695</c:v>
                </c:pt>
                <c:pt idx="23">
                  <c:v>42696</c:v>
                </c:pt>
                <c:pt idx="24">
                  <c:v>42697</c:v>
                </c:pt>
                <c:pt idx="25">
                  <c:v>42698</c:v>
                </c:pt>
                <c:pt idx="26">
                  <c:v>42699</c:v>
                </c:pt>
                <c:pt idx="27">
                  <c:v>42702</c:v>
                </c:pt>
                <c:pt idx="28">
                  <c:v>42703</c:v>
                </c:pt>
                <c:pt idx="29">
                  <c:v>42704</c:v>
                </c:pt>
                <c:pt idx="30">
                  <c:v>42705</c:v>
                </c:pt>
                <c:pt idx="31">
                  <c:v>42706</c:v>
                </c:pt>
                <c:pt idx="32">
                  <c:v>42709</c:v>
                </c:pt>
                <c:pt idx="33">
                  <c:v>42710</c:v>
                </c:pt>
                <c:pt idx="34">
                  <c:v>42711</c:v>
                </c:pt>
                <c:pt idx="35">
                  <c:v>42712</c:v>
                </c:pt>
                <c:pt idx="36">
                  <c:v>42713</c:v>
                </c:pt>
                <c:pt idx="37">
                  <c:v>42716</c:v>
                </c:pt>
                <c:pt idx="38">
                  <c:v>42717</c:v>
                </c:pt>
                <c:pt idx="39">
                  <c:v>42718</c:v>
                </c:pt>
                <c:pt idx="40">
                  <c:v>42719</c:v>
                </c:pt>
                <c:pt idx="41">
                  <c:v>42720</c:v>
                </c:pt>
                <c:pt idx="42">
                  <c:v>42723</c:v>
                </c:pt>
                <c:pt idx="43">
                  <c:v>42724</c:v>
                </c:pt>
                <c:pt idx="44">
                  <c:v>42725</c:v>
                </c:pt>
                <c:pt idx="45">
                  <c:v>42726</c:v>
                </c:pt>
                <c:pt idx="46">
                  <c:v>42727</c:v>
                </c:pt>
                <c:pt idx="47">
                  <c:v>42731</c:v>
                </c:pt>
                <c:pt idx="48">
                  <c:v>42732</c:v>
                </c:pt>
                <c:pt idx="49">
                  <c:v>42733</c:v>
                </c:pt>
                <c:pt idx="50">
                  <c:v>42734</c:v>
                </c:pt>
                <c:pt idx="51">
                  <c:v>42737</c:v>
                </c:pt>
                <c:pt idx="52">
                  <c:v>42738</c:v>
                </c:pt>
                <c:pt idx="53">
                  <c:v>42739</c:v>
                </c:pt>
                <c:pt idx="54">
                  <c:v>42740</c:v>
                </c:pt>
                <c:pt idx="55">
                  <c:v>42741</c:v>
                </c:pt>
                <c:pt idx="56">
                  <c:v>42744</c:v>
                </c:pt>
                <c:pt idx="57">
                  <c:v>42745</c:v>
                </c:pt>
                <c:pt idx="58">
                  <c:v>42746</c:v>
                </c:pt>
                <c:pt idx="59">
                  <c:v>42747</c:v>
                </c:pt>
                <c:pt idx="60">
                  <c:v>42748</c:v>
                </c:pt>
                <c:pt idx="61">
                  <c:v>42751</c:v>
                </c:pt>
                <c:pt idx="62">
                  <c:v>42752</c:v>
                </c:pt>
                <c:pt idx="63">
                  <c:v>42753</c:v>
                </c:pt>
                <c:pt idx="64">
                  <c:v>42754</c:v>
                </c:pt>
                <c:pt idx="65">
                  <c:v>42755</c:v>
                </c:pt>
                <c:pt idx="66">
                  <c:v>42758</c:v>
                </c:pt>
                <c:pt idx="67">
                  <c:v>42759</c:v>
                </c:pt>
                <c:pt idx="68">
                  <c:v>42760</c:v>
                </c:pt>
                <c:pt idx="69">
                  <c:v>42761</c:v>
                </c:pt>
                <c:pt idx="70">
                  <c:v>42762</c:v>
                </c:pt>
                <c:pt idx="71">
                  <c:v>42765</c:v>
                </c:pt>
                <c:pt idx="72">
                  <c:v>42766</c:v>
                </c:pt>
                <c:pt idx="73">
                  <c:v>42767</c:v>
                </c:pt>
                <c:pt idx="74">
                  <c:v>42768</c:v>
                </c:pt>
                <c:pt idx="75">
                  <c:v>42769</c:v>
                </c:pt>
                <c:pt idx="76">
                  <c:v>42772</c:v>
                </c:pt>
                <c:pt idx="77">
                  <c:v>42773</c:v>
                </c:pt>
                <c:pt idx="78">
                  <c:v>42774</c:v>
                </c:pt>
                <c:pt idx="79">
                  <c:v>42775</c:v>
                </c:pt>
                <c:pt idx="80">
                  <c:v>42776</c:v>
                </c:pt>
                <c:pt idx="81">
                  <c:v>42779</c:v>
                </c:pt>
                <c:pt idx="82">
                  <c:v>42780</c:v>
                </c:pt>
                <c:pt idx="83">
                  <c:v>42781</c:v>
                </c:pt>
                <c:pt idx="84">
                  <c:v>42782</c:v>
                </c:pt>
                <c:pt idx="85">
                  <c:v>42783</c:v>
                </c:pt>
                <c:pt idx="86">
                  <c:v>42786</c:v>
                </c:pt>
                <c:pt idx="87">
                  <c:v>42787</c:v>
                </c:pt>
                <c:pt idx="88">
                  <c:v>42788</c:v>
                </c:pt>
                <c:pt idx="89">
                  <c:v>42789</c:v>
                </c:pt>
                <c:pt idx="90">
                  <c:v>42790</c:v>
                </c:pt>
                <c:pt idx="91">
                  <c:v>42793</c:v>
                </c:pt>
                <c:pt idx="92">
                  <c:v>42794</c:v>
                </c:pt>
                <c:pt idx="93">
                  <c:v>42795</c:v>
                </c:pt>
                <c:pt idx="94">
                  <c:v>42796</c:v>
                </c:pt>
                <c:pt idx="95">
                  <c:v>42797</c:v>
                </c:pt>
                <c:pt idx="96">
                  <c:v>42800</c:v>
                </c:pt>
                <c:pt idx="97">
                  <c:v>42801</c:v>
                </c:pt>
                <c:pt idx="98">
                  <c:v>42802</c:v>
                </c:pt>
                <c:pt idx="99">
                  <c:v>42803</c:v>
                </c:pt>
                <c:pt idx="100">
                  <c:v>42804</c:v>
                </c:pt>
                <c:pt idx="101">
                  <c:v>42807</c:v>
                </c:pt>
                <c:pt idx="102">
                  <c:v>42808</c:v>
                </c:pt>
                <c:pt idx="103">
                  <c:v>42809</c:v>
                </c:pt>
                <c:pt idx="104">
                  <c:v>42810</c:v>
                </c:pt>
                <c:pt idx="105">
                  <c:v>42811</c:v>
                </c:pt>
                <c:pt idx="106">
                  <c:v>42814</c:v>
                </c:pt>
                <c:pt idx="107">
                  <c:v>42815</c:v>
                </c:pt>
                <c:pt idx="108">
                  <c:v>42816</c:v>
                </c:pt>
                <c:pt idx="109">
                  <c:v>42817</c:v>
                </c:pt>
                <c:pt idx="110">
                  <c:v>42818</c:v>
                </c:pt>
                <c:pt idx="111">
                  <c:v>42821</c:v>
                </c:pt>
                <c:pt idx="112">
                  <c:v>42822</c:v>
                </c:pt>
                <c:pt idx="113">
                  <c:v>42823</c:v>
                </c:pt>
                <c:pt idx="114">
                  <c:v>42824</c:v>
                </c:pt>
                <c:pt idx="115">
                  <c:v>42825</c:v>
                </c:pt>
                <c:pt idx="116">
                  <c:v>42828</c:v>
                </c:pt>
                <c:pt idx="117">
                  <c:v>42829</c:v>
                </c:pt>
                <c:pt idx="118">
                  <c:v>42830</c:v>
                </c:pt>
                <c:pt idx="119">
                  <c:v>42831</c:v>
                </c:pt>
                <c:pt idx="120">
                  <c:v>42832</c:v>
                </c:pt>
                <c:pt idx="121">
                  <c:v>42835</c:v>
                </c:pt>
                <c:pt idx="122">
                  <c:v>42836</c:v>
                </c:pt>
                <c:pt idx="123">
                  <c:v>42837</c:v>
                </c:pt>
                <c:pt idx="124">
                  <c:v>42838</c:v>
                </c:pt>
                <c:pt idx="125">
                  <c:v>42843</c:v>
                </c:pt>
                <c:pt idx="126">
                  <c:v>42844</c:v>
                </c:pt>
                <c:pt idx="127">
                  <c:v>42845</c:v>
                </c:pt>
                <c:pt idx="128">
                  <c:v>42846</c:v>
                </c:pt>
                <c:pt idx="129">
                  <c:v>42849</c:v>
                </c:pt>
                <c:pt idx="130">
                  <c:v>42850</c:v>
                </c:pt>
                <c:pt idx="131">
                  <c:v>42851</c:v>
                </c:pt>
                <c:pt idx="132">
                  <c:v>42852</c:v>
                </c:pt>
                <c:pt idx="133">
                  <c:v>42853</c:v>
                </c:pt>
                <c:pt idx="134">
                  <c:v>42857</c:v>
                </c:pt>
                <c:pt idx="135">
                  <c:v>42858</c:v>
                </c:pt>
                <c:pt idx="136">
                  <c:v>42859</c:v>
                </c:pt>
                <c:pt idx="137">
                  <c:v>42860</c:v>
                </c:pt>
                <c:pt idx="138">
                  <c:v>42863</c:v>
                </c:pt>
                <c:pt idx="139">
                  <c:v>42864</c:v>
                </c:pt>
                <c:pt idx="140">
                  <c:v>42865</c:v>
                </c:pt>
                <c:pt idx="141">
                  <c:v>42866</c:v>
                </c:pt>
                <c:pt idx="142">
                  <c:v>42867</c:v>
                </c:pt>
                <c:pt idx="143">
                  <c:v>42870</c:v>
                </c:pt>
                <c:pt idx="144">
                  <c:v>42871</c:v>
                </c:pt>
                <c:pt idx="145">
                  <c:v>42872</c:v>
                </c:pt>
                <c:pt idx="146">
                  <c:v>42873</c:v>
                </c:pt>
                <c:pt idx="147">
                  <c:v>42874</c:v>
                </c:pt>
                <c:pt idx="148">
                  <c:v>42877</c:v>
                </c:pt>
                <c:pt idx="149">
                  <c:v>42878</c:v>
                </c:pt>
                <c:pt idx="150">
                  <c:v>42879</c:v>
                </c:pt>
                <c:pt idx="151">
                  <c:v>42880</c:v>
                </c:pt>
                <c:pt idx="152">
                  <c:v>42881</c:v>
                </c:pt>
                <c:pt idx="153">
                  <c:v>42884</c:v>
                </c:pt>
                <c:pt idx="154">
                  <c:v>42885</c:v>
                </c:pt>
                <c:pt idx="155">
                  <c:v>42886</c:v>
                </c:pt>
                <c:pt idx="156">
                  <c:v>42887</c:v>
                </c:pt>
                <c:pt idx="157">
                  <c:v>42888</c:v>
                </c:pt>
                <c:pt idx="158">
                  <c:v>42891</c:v>
                </c:pt>
                <c:pt idx="159">
                  <c:v>42892</c:v>
                </c:pt>
                <c:pt idx="160">
                  <c:v>42893</c:v>
                </c:pt>
                <c:pt idx="161">
                  <c:v>42894</c:v>
                </c:pt>
                <c:pt idx="162">
                  <c:v>42895</c:v>
                </c:pt>
                <c:pt idx="163">
                  <c:v>42898</c:v>
                </c:pt>
                <c:pt idx="164">
                  <c:v>42899</c:v>
                </c:pt>
                <c:pt idx="165">
                  <c:v>42900</c:v>
                </c:pt>
                <c:pt idx="166">
                  <c:v>42901</c:v>
                </c:pt>
                <c:pt idx="167">
                  <c:v>42902</c:v>
                </c:pt>
                <c:pt idx="168">
                  <c:v>42905</c:v>
                </c:pt>
                <c:pt idx="169">
                  <c:v>42906</c:v>
                </c:pt>
                <c:pt idx="170">
                  <c:v>42907</c:v>
                </c:pt>
                <c:pt idx="171">
                  <c:v>42908</c:v>
                </c:pt>
                <c:pt idx="172">
                  <c:v>42909</c:v>
                </c:pt>
                <c:pt idx="173">
                  <c:v>42912</c:v>
                </c:pt>
                <c:pt idx="174">
                  <c:v>42913</c:v>
                </c:pt>
                <c:pt idx="175">
                  <c:v>42914</c:v>
                </c:pt>
                <c:pt idx="176">
                  <c:v>42915</c:v>
                </c:pt>
                <c:pt idx="177">
                  <c:v>42916</c:v>
                </c:pt>
                <c:pt idx="178">
                  <c:v>42919</c:v>
                </c:pt>
                <c:pt idx="179">
                  <c:v>42920</c:v>
                </c:pt>
                <c:pt idx="180">
                  <c:v>42921</c:v>
                </c:pt>
                <c:pt idx="181">
                  <c:v>42922</c:v>
                </c:pt>
                <c:pt idx="182">
                  <c:v>42923</c:v>
                </c:pt>
                <c:pt idx="183">
                  <c:v>42926</c:v>
                </c:pt>
                <c:pt idx="184">
                  <c:v>42927</c:v>
                </c:pt>
                <c:pt idx="185">
                  <c:v>42928</c:v>
                </c:pt>
                <c:pt idx="186">
                  <c:v>42929</c:v>
                </c:pt>
                <c:pt idx="187">
                  <c:v>42930</c:v>
                </c:pt>
                <c:pt idx="188">
                  <c:v>42933</c:v>
                </c:pt>
                <c:pt idx="189">
                  <c:v>42934</c:v>
                </c:pt>
                <c:pt idx="190">
                  <c:v>42935</c:v>
                </c:pt>
                <c:pt idx="191">
                  <c:v>42936</c:v>
                </c:pt>
                <c:pt idx="192">
                  <c:v>42937</c:v>
                </c:pt>
                <c:pt idx="193">
                  <c:v>42940</c:v>
                </c:pt>
                <c:pt idx="194">
                  <c:v>42941</c:v>
                </c:pt>
                <c:pt idx="195">
                  <c:v>42942</c:v>
                </c:pt>
                <c:pt idx="196">
                  <c:v>42943</c:v>
                </c:pt>
                <c:pt idx="197">
                  <c:v>42944</c:v>
                </c:pt>
                <c:pt idx="198">
                  <c:v>42947</c:v>
                </c:pt>
                <c:pt idx="199">
                  <c:v>42948</c:v>
                </c:pt>
                <c:pt idx="200">
                  <c:v>42949</c:v>
                </c:pt>
                <c:pt idx="201">
                  <c:v>42950</c:v>
                </c:pt>
                <c:pt idx="202">
                  <c:v>42951</c:v>
                </c:pt>
                <c:pt idx="203">
                  <c:v>42954</c:v>
                </c:pt>
                <c:pt idx="204">
                  <c:v>42955</c:v>
                </c:pt>
                <c:pt idx="205">
                  <c:v>42956</c:v>
                </c:pt>
                <c:pt idx="206">
                  <c:v>42957</c:v>
                </c:pt>
                <c:pt idx="207">
                  <c:v>42958</c:v>
                </c:pt>
                <c:pt idx="208">
                  <c:v>42961</c:v>
                </c:pt>
                <c:pt idx="209">
                  <c:v>42962</c:v>
                </c:pt>
                <c:pt idx="210">
                  <c:v>42963</c:v>
                </c:pt>
                <c:pt idx="211">
                  <c:v>42964</c:v>
                </c:pt>
                <c:pt idx="212">
                  <c:v>42965</c:v>
                </c:pt>
                <c:pt idx="213">
                  <c:v>42968</c:v>
                </c:pt>
                <c:pt idx="214">
                  <c:v>42969</c:v>
                </c:pt>
                <c:pt idx="215">
                  <c:v>42970</c:v>
                </c:pt>
                <c:pt idx="216">
                  <c:v>42971</c:v>
                </c:pt>
                <c:pt idx="217">
                  <c:v>42972</c:v>
                </c:pt>
                <c:pt idx="218">
                  <c:v>42975</c:v>
                </c:pt>
                <c:pt idx="219">
                  <c:v>42976</c:v>
                </c:pt>
                <c:pt idx="220">
                  <c:v>42977</c:v>
                </c:pt>
                <c:pt idx="221">
                  <c:v>42978</c:v>
                </c:pt>
                <c:pt idx="222">
                  <c:v>42979</c:v>
                </c:pt>
                <c:pt idx="223">
                  <c:v>42982</c:v>
                </c:pt>
                <c:pt idx="224">
                  <c:v>42983</c:v>
                </c:pt>
                <c:pt idx="225">
                  <c:v>42984</c:v>
                </c:pt>
                <c:pt idx="226">
                  <c:v>42985</c:v>
                </c:pt>
                <c:pt idx="227">
                  <c:v>42986</c:v>
                </c:pt>
                <c:pt idx="228">
                  <c:v>42989</c:v>
                </c:pt>
                <c:pt idx="229">
                  <c:v>42990</c:v>
                </c:pt>
                <c:pt idx="230">
                  <c:v>42991</c:v>
                </c:pt>
                <c:pt idx="231">
                  <c:v>42992</c:v>
                </c:pt>
                <c:pt idx="232">
                  <c:v>42993</c:v>
                </c:pt>
                <c:pt idx="233">
                  <c:v>42996</c:v>
                </c:pt>
                <c:pt idx="234">
                  <c:v>42997</c:v>
                </c:pt>
                <c:pt idx="235">
                  <c:v>42998</c:v>
                </c:pt>
                <c:pt idx="236">
                  <c:v>42999</c:v>
                </c:pt>
                <c:pt idx="237">
                  <c:v>43000</c:v>
                </c:pt>
                <c:pt idx="238">
                  <c:v>43003</c:v>
                </c:pt>
                <c:pt idx="239">
                  <c:v>43004</c:v>
                </c:pt>
                <c:pt idx="240">
                  <c:v>43005</c:v>
                </c:pt>
                <c:pt idx="241">
                  <c:v>43006</c:v>
                </c:pt>
                <c:pt idx="242">
                  <c:v>43007</c:v>
                </c:pt>
                <c:pt idx="243">
                  <c:v>43010</c:v>
                </c:pt>
                <c:pt idx="244">
                  <c:v>43011</c:v>
                </c:pt>
                <c:pt idx="245">
                  <c:v>43012</c:v>
                </c:pt>
                <c:pt idx="246">
                  <c:v>43013</c:v>
                </c:pt>
                <c:pt idx="247">
                  <c:v>43014</c:v>
                </c:pt>
                <c:pt idx="248">
                  <c:v>43017</c:v>
                </c:pt>
                <c:pt idx="249">
                  <c:v>43018</c:v>
                </c:pt>
                <c:pt idx="250">
                  <c:v>43019</c:v>
                </c:pt>
                <c:pt idx="251">
                  <c:v>43020</c:v>
                </c:pt>
                <c:pt idx="252">
                  <c:v>43021</c:v>
                </c:pt>
                <c:pt idx="253">
                  <c:v>43024</c:v>
                </c:pt>
                <c:pt idx="254">
                  <c:v>43025</c:v>
                </c:pt>
                <c:pt idx="255">
                  <c:v>43026</c:v>
                </c:pt>
                <c:pt idx="256">
                  <c:v>43027</c:v>
                </c:pt>
                <c:pt idx="257">
                  <c:v>43028</c:v>
                </c:pt>
              </c:numCache>
            </c:numRef>
          </c:cat>
          <c:val>
            <c:numRef>
              <c:f>'ΣΤΟΙΧΕΙΑ ΓΙΑ ΠΡΟΥΠ 2018'!$D$3:$D$774</c:f>
              <c:numCache>
                <c:formatCode>General</c:formatCode>
                <c:ptCount val="258"/>
                <c:pt idx="0">
                  <c:v>8.4439999999999991</c:v>
                </c:pt>
                <c:pt idx="1">
                  <c:v>8.4420000000000002</c:v>
                </c:pt>
                <c:pt idx="2">
                  <c:v>8.4240000000000013</c:v>
                </c:pt>
                <c:pt idx="3">
                  <c:v>8.42</c:v>
                </c:pt>
                <c:pt idx="4">
                  <c:v>8.2839999999999989</c:v>
                </c:pt>
                <c:pt idx="5">
                  <c:v>8.391</c:v>
                </c:pt>
                <c:pt idx="6">
                  <c:v>8.2889999999999997</c:v>
                </c:pt>
                <c:pt idx="7">
                  <c:v>8.104000000000001</c:v>
                </c:pt>
                <c:pt idx="8">
                  <c:v>7.899</c:v>
                </c:pt>
                <c:pt idx="9">
                  <c:v>7.7919999999999998</c:v>
                </c:pt>
                <c:pt idx="10">
                  <c:v>7.758</c:v>
                </c:pt>
                <c:pt idx="11">
                  <c:v>7.4239999999999995</c:v>
                </c:pt>
                <c:pt idx="12">
                  <c:v>7.2949999999999955</c:v>
                </c:pt>
                <c:pt idx="13">
                  <c:v>7.3529999999999882</c:v>
                </c:pt>
                <c:pt idx="14">
                  <c:v>7.2519999999999998</c:v>
                </c:pt>
                <c:pt idx="15">
                  <c:v>7.1569999999999965</c:v>
                </c:pt>
                <c:pt idx="16">
                  <c:v>7.4130000000000003</c:v>
                </c:pt>
                <c:pt idx="17">
                  <c:v>7.3860000000000001</c:v>
                </c:pt>
                <c:pt idx="18">
                  <c:v>7.3929999999999945</c:v>
                </c:pt>
                <c:pt idx="19">
                  <c:v>7.319</c:v>
                </c:pt>
                <c:pt idx="20">
                  <c:v>7.0569999999999995</c:v>
                </c:pt>
                <c:pt idx="21">
                  <c:v>6.9219999999999997</c:v>
                </c:pt>
                <c:pt idx="22">
                  <c:v>6.907</c:v>
                </c:pt>
                <c:pt idx="23">
                  <c:v>6.92</c:v>
                </c:pt>
                <c:pt idx="24">
                  <c:v>6.94</c:v>
                </c:pt>
                <c:pt idx="25">
                  <c:v>6.9450000000000003</c:v>
                </c:pt>
                <c:pt idx="26">
                  <c:v>6.9779999999999998</c:v>
                </c:pt>
                <c:pt idx="27">
                  <c:v>6.9379999999999997</c:v>
                </c:pt>
                <c:pt idx="28">
                  <c:v>6.5750000000000002</c:v>
                </c:pt>
                <c:pt idx="29">
                  <c:v>6.5039999999999996</c:v>
                </c:pt>
                <c:pt idx="30">
                  <c:v>6.4939999999999998</c:v>
                </c:pt>
                <c:pt idx="31">
                  <c:v>6.5369999999999999</c:v>
                </c:pt>
                <c:pt idx="32">
                  <c:v>6.7380000000000004</c:v>
                </c:pt>
                <c:pt idx="33">
                  <c:v>6.6710000000000003</c:v>
                </c:pt>
                <c:pt idx="34">
                  <c:v>6.6539999999999955</c:v>
                </c:pt>
                <c:pt idx="35">
                  <c:v>6.6959999999999882</c:v>
                </c:pt>
                <c:pt idx="36">
                  <c:v>6.7210000000000001</c:v>
                </c:pt>
                <c:pt idx="37">
                  <c:v>6.7969999999999997</c:v>
                </c:pt>
                <c:pt idx="38">
                  <c:v>7.1029999999999882</c:v>
                </c:pt>
                <c:pt idx="39">
                  <c:v>7.3219999999999965</c:v>
                </c:pt>
                <c:pt idx="40">
                  <c:v>7.2089999999999996</c:v>
                </c:pt>
                <c:pt idx="41">
                  <c:v>7.1959999999999882</c:v>
                </c:pt>
                <c:pt idx="42">
                  <c:v>7.3039999999999985</c:v>
                </c:pt>
                <c:pt idx="43">
                  <c:v>7.3019999999999996</c:v>
                </c:pt>
                <c:pt idx="44">
                  <c:v>7.3049999999999882</c:v>
                </c:pt>
                <c:pt idx="45">
                  <c:v>7.3179999999999872</c:v>
                </c:pt>
                <c:pt idx="46">
                  <c:v>7.2210000000000001</c:v>
                </c:pt>
                <c:pt idx="47">
                  <c:v>7.1059999999999945</c:v>
                </c:pt>
                <c:pt idx="48">
                  <c:v>7.114999999999986</c:v>
                </c:pt>
                <c:pt idx="49">
                  <c:v>7.1069999999999975</c:v>
                </c:pt>
                <c:pt idx="50">
                  <c:v>7.1279999999999841</c:v>
                </c:pt>
                <c:pt idx="51">
                  <c:v>6.968</c:v>
                </c:pt>
                <c:pt idx="52">
                  <c:v>6.883</c:v>
                </c:pt>
                <c:pt idx="53">
                  <c:v>6.7960000000000003</c:v>
                </c:pt>
                <c:pt idx="54">
                  <c:v>6.8939999999999975</c:v>
                </c:pt>
                <c:pt idx="55">
                  <c:v>6.8939999999999975</c:v>
                </c:pt>
                <c:pt idx="56">
                  <c:v>6.8949999999999871</c:v>
                </c:pt>
                <c:pt idx="57">
                  <c:v>6.9249999999999945</c:v>
                </c:pt>
                <c:pt idx="58">
                  <c:v>6.9470000000000001</c:v>
                </c:pt>
                <c:pt idx="59">
                  <c:v>7.0039999999999996</c:v>
                </c:pt>
                <c:pt idx="60">
                  <c:v>7.104999999999988</c:v>
                </c:pt>
                <c:pt idx="61">
                  <c:v>7.09</c:v>
                </c:pt>
                <c:pt idx="62">
                  <c:v>7.064999999999988</c:v>
                </c:pt>
                <c:pt idx="63">
                  <c:v>7.0780000000000003</c:v>
                </c:pt>
                <c:pt idx="64">
                  <c:v>6.9909999999999997</c:v>
                </c:pt>
                <c:pt idx="65">
                  <c:v>6.952</c:v>
                </c:pt>
                <c:pt idx="66">
                  <c:v>6.8760000000000003</c:v>
                </c:pt>
                <c:pt idx="67">
                  <c:v>6.9119999999999999</c:v>
                </c:pt>
                <c:pt idx="68">
                  <c:v>7.1779999999999955</c:v>
                </c:pt>
                <c:pt idx="69">
                  <c:v>7.6119999999999965</c:v>
                </c:pt>
                <c:pt idx="70">
                  <c:v>7.8169999999999975</c:v>
                </c:pt>
                <c:pt idx="71">
                  <c:v>7.6439999999999975</c:v>
                </c:pt>
                <c:pt idx="72">
                  <c:v>7.5569999999999995</c:v>
                </c:pt>
                <c:pt idx="73">
                  <c:v>7.5229999999999881</c:v>
                </c:pt>
                <c:pt idx="74">
                  <c:v>7.6599999999999975</c:v>
                </c:pt>
                <c:pt idx="75">
                  <c:v>7.83</c:v>
                </c:pt>
                <c:pt idx="76">
                  <c:v>7.73</c:v>
                </c:pt>
                <c:pt idx="77">
                  <c:v>7.8090000000000002</c:v>
                </c:pt>
                <c:pt idx="78">
                  <c:v>7.3890000000000002</c:v>
                </c:pt>
                <c:pt idx="79">
                  <c:v>7.5209999999999955</c:v>
                </c:pt>
                <c:pt idx="80">
                  <c:v>7.55</c:v>
                </c:pt>
                <c:pt idx="81">
                  <c:v>7.7519999999999998</c:v>
                </c:pt>
                <c:pt idx="82">
                  <c:v>7.7850000000000001</c:v>
                </c:pt>
                <c:pt idx="83">
                  <c:v>7.8419999999999996</c:v>
                </c:pt>
                <c:pt idx="84">
                  <c:v>7.5389999999999997</c:v>
                </c:pt>
                <c:pt idx="85">
                  <c:v>7.2169999999999996</c:v>
                </c:pt>
                <c:pt idx="86">
                  <c:v>7.29</c:v>
                </c:pt>
                <c:pt idx="87">
                  <c:v>7.3259999999999872</c:v>
                </c:pt>
                <c:pt idx="88">
                  <c:v>7.1710000000000003</c:v>
                </c:pt>
                <c:pt idx="89">
                  <c:v>7.1459999999999955</c:v>
                </c:pt>
                <c:pt idx="90">
                  <c:v>6.9039999999999999</c:v>
                </c:pt>
                <c:pt idx="91">
                  <c:v>7.0380000000000003</c:v>
                </c:pt>
                <c:pt idx="92">
                  <c:v>7.0449999999999955</c:v>
                </c:pt>
                <c:pt idx="93">
                  <c:v>7.0819999999999999</c:v>
                </c:pt>
                <c:pt idx="94">
                  <c:v>7.2050000000000001</c:v>
                </c:pt>
                <c:pt idx="95">
                  <c:v>7.1909999999999945</c:v>
                </c:pt>
                <c:pt idx="96">
                  <c:v>7.202</c:v>
                </c:pt>
                <c:pt idx="97">
                  <c:v>7.1879999999999882</c:v>
                </c:pt>
                <c:pt idx="98">
                  <c:v>7.2060000000000004</c:v>
                </c:pt>
                <c:pt idx="99">
                  <c:v>7.2880000000000003</c:v>
                </c:pt>
                <c:pt idx="100">
                  <c:v>7.3330000000000002</c:v>
                </c:pt>
                <c:pt idx="101">
                  <c:v>7.3529999999999882</c:v>
                </c:pt>
                <c:pt idx="102">
                  <c:v>7.3939999999999975</c:v>
                </c:pt>
                <c:pt idx="103">
                  <c:v>7.4779999999999998</c:v>
                </c:pt>
                <c:pt idx="104">
                  <c:v>7.4619999999999997</c:v>
                </c:pt>
                <c:pt idx="105">
                  <c:v>7.4029999999999996</c:v>
                </c:pt>
                <c:pt idx="106">
                  <c:v>7.3939999999999975</c:v>
                </c:pt>
                <c:pt idx="107">
                  <c:v>7.41</c:v>
                </c:pt>
                <c:pt idx="108">
                  <c:v>7.2610000000000001</c:v>
                </c:pt>
                <c:pt idx="109">
                  <c:v>7.1119999999999965</c:v>
                </c:pt>
                <c:pt idx="110">
                  <c:v>6.9480000000000004</c:v>
                </c:pt>
                <c:pt idx="111">
                  <c:v>6.9539999999999997</c:v>
                </c:pt>
                <c:pt idx="112">
                  <c:v>6.9859999999999998</c:v>
                </c:pt>
                <c:pt idx="113">
                  <c:v>7.0129999999999955</c:v>
                </c:pt>
                <c:pt idx="114">
                  <c:v>7.0789999999999997</c:v>
                </c:pt>
                <c:pt idx="115">
                  <c:v>7.104999999999988</c:v>
                </c:pt>
                <c:pt idx="116">
                  <c:v>7.125999999999987</c:v>
                </c:pt>
                <c:pt idx="117">
                  <c:v>6.8639999999999946</c:v>
                </c:pt>
                <c:pt idx="118">
                  <c:v>6.7809999999999997</c:v>
                </c:pt>
                <c:pt idx="119">
                  <c:v>6.718</c:v>
                </c:pt>
                <c:pt idx="120">
                  <c:v>6.6619999999999955</c:v>
                </c:pt>
                <c:pt idx="121">
                  <c:v>6.6679999999999851</c:v>
                </c:pt>
                <c:pt idx="122">
                  <c:v>6.7869999999999999</c:v>
                </c:pt>
                <c:pt idx="123">
                  <c:v>6.6890000000000001</c:v>
                </c:pt>
                <c:pt idx="124">
                  <c:v>6.7160000000000002</c:v>
                </c:pt>
                <c:pt idx="125">
                  <c:v>6.6349999999999945</c:v>
                </c:pt>
                <c:pt idx="126">
                  <c:v>6.4450000000000003</c:v>
                </c:pt>
                <c:pt idx="127">
                  <c:v>6.4349999999999996</c:v>
                </c:pt>
                <c:pt idx="128">
                  <c:v>6.4059999999999997</c:v>
                </c:pt>
                <c:pt idx="129">
                  <c:v>6.3769999999999998</c:v>
                </c:pt>
                <c:pt idx="130">
                  <c:v>6.3439999999999985</c:v>
                </c:pt>
                <c:pt idx="131">
                  <c:v>5.99</c:v>
                </c:pt>
                <c:pt idx="132">
                  <c:v>6.0060000000000002</c:v>
                </c:pt>
                <c:pt idx="133">
                  <c:v>5.968</c:v>
                </c:pt>
                <c:pt idx="134">
                  <c:v>5.8380000000000001</c:v>
                </c:pt>
                <c:pt idx="135">
                  <c:v>5.6769999999999996</c:v>
                </c:pt>
                <c:pt idx="136">
                  <c:v>5.6459999999999955</c:v>
                </c:pt>
                <c:pt idx="137">
                  <c:v>5.64</c:v>
                </c:pt>
                <c:pt idx="138">
                  <c:v>5.6339999999999995</c:v>
                </c:pt>
                <c:pt idx="139">
                  <c:v>5.6829999999999945</c:v>
                </c:pt>
                <c:pt idx="140">
                  <c:v>5.673</c:v>
                </c:pt>
                <c:pt idx="141">
                  <c:v>5.7089999999999996</c:v>
                </c:pt>
                <c:pt idx="142">
                  <c:v>5.7</c:v>
                </c:pt>
                <c:pt idx="143">
                  <c:v>5.7549999999999955</c:v>
                </c:pt>
                <c:pt idx="144">
                  <c:v>5.6949999999999861</c:v>
                </c:pt>
                <c:pt idx="145">
                  <c:v>5.6519999999999975</c:v>
                </c:pt>
                <c:pt idx="146">
                  <c:v>5.7859999999999996</c:v>
                </c:pt>
                <c:pt idx="147">
                  <c:v>6.0609999999999955</c:v>
                </c:pt>
                <c:pt idx="148">
                  <c:v>6.0460000000000003</c:v>
                </c:pt>
                <c:pt idx="149">
                  <c:v>5.968</c:v>
                </c:pt>
                <c:pt idx="150">
                  <c:v>5.9829999999999997</c:v>
                </c:pt>
                <c:pt idx="151">
                  <c:v>6.0579999999999945</c:v>
                </c:pt>
                <c:pt idx="152">
                  <c:v>6.0919999999999996</c:v>
                </c:pt>
                <c:pt idx="153">
                  <c:v>6.0979999999999945</c:v>
                </c:pt>
                <c:pt idx="154">
                  <c:v>6.0659999999999945</c:v>
                </c:pt>
                <c:pt idx="155">
                  <c:v>6.064999999999988</c:v>
                </c:pt>
                <c:pt idx="156">
                  <c:v>6.0410000000000004</c:v>
                </c:pt>
                <c:pt idx="157">
                  <c:v>6.0669999999999975</c:v>
                </c:pt>
                <c:pt idx="158">
                  <c:v>6.0139999999999985</c:v>
                </c:pt>
                <c:pt idx="159">
                  <c:v>5.8689999999999882</c:v>
                </c:pt>
                <c:pt idx="160">
                  <c:v>5.8369999999999997</c:v>
                </c:pt>
                <c:pt idx="161">
                  <c:v>5.7990000000000004</c:v>
                </c:pt>
                <c:pt idx="162">
                  <c:v>5.875</c:v>
                </c:pt>
                <c:pt idx="163">
                  <c:v>5.68</c:v>
                </c:pt>
                <c:pt idx="164">
                  <c:v>5.6319999999999997</c:v>
                </c:pt>
                <c:pt idx="165">
                  <c:v>5.5720000000000001</c:v>
                </c:pt>
                <c:pt idx="166">
                  <c:v>5.5679999999999872</c:v>
                </c:pt>
                <c:pt idx="167">
                  <c:v>5.57</c:v>
                </c:pt>
                <c:pt idx="168">
                  <c:v>5.4219999999999997</c:v>
                </c:pt>
                <c:pt idx="169">
                  <c:v>5.4180000000000001</c:v>
                </c:pt>
                <c:pt idx="170">
                  <c:v>5.4870000000000001</c:v>
                </c:pt>
                <c:pt idx="171">
                  <c:v>5.4969999999999999</c:v>
                </c:pt>
                <c:pt idx="172">
                  <c:v>5.4340000000000002</c:v>
                </c:pt>
                <c:pt idx="173">
                  <c:v>5.4239999999999995</c:v>
                </c:pt>
                <c:pt idx="174">
                  <c:v>5.399</c:v>
                </c:pt>
                <c:pt idx="175">
                  <c:v>5.319</c:v>
                </c:pt>
                <c:pt idx="176">
                  <c:v>5.3460000000000001</c:v>
                </c:pt>
                <c:pt idx="177">
                  <c:v>5.3710000000000004</c:v>
                </c:pt>
                <c:pt idx="178">
                  <c:v>5.4359999999999999</c:v>
                </c:pt>
                <c:pt idx="179">
                  <c:v>5.38</c:v>
                </c:pt>
                <c:pt idx="180">
                  <c:v>5.3819999999999997</c:v>
                </c:pt>
                <c:pt idx="181">
                  <c:v>5.3639999999999946</c:v>
                </c:pt>
                <c:pt idx="182">
                  <c:v>5.34</c:v>
                </c:pt>
                <c:pt idx="183">
                  <c:v>5.3209999999999882</c:v>
                </c:pt>
                <c:pt idx="184">
                  <c:v>5.2809999999999997</c:v>
                </c:pt>
                <c:pt idx="185">
                  <c:v>5.2519999999999998</c:v>
                </c:pt>
                <c:pt idx="186">
                  <c:v>5.2610000000000001</c:v>
                </c:pt>
                <c:pt idx="187">
                  <c:v>5.2639999999999985</c:v>
                </c:pt>
                <c:pt idx="188">
                  <c:v>5.2619999999999996</c:v>
                </c:pt>
                <c:pt idx="189">
                  <c:v>5.2549999999999955</c:v>
                </c:pt>
                <c:pt idx="190">
                  <c:v>5.3010000000000002</c:v>
                </c:pt>
                <c:pt idx="191">
                  <c:v>5.3079999999999945</c:v>
                </c:pt>
                <c:pt idx="192">
                  <c:v>5.3219999999999965</c:v>
                </c:pt>
                <c:pt idx="193">
                  <c:v>5.3760000000000003</c:v>
                </c:pt>
                <c:pt idx="194">
                  <c:v>5.3979999999999881</c:v>
                </c:pt>
                <c:pt idx="195">
                  <c:v>5.4310000000000125</c:v>
                </c:pt>
                <c:pt idx="196">
                  <c:v>5.4809999999999999</c:v>
                </c:pt>
                <c:pt idx="197">
                  <c:v>5.5169999999999995</c:v>
                </c:pt>
                <c:pt idx="198">
                  <c:v>5.4619999999999997</c:v>
                </c:pt>
                <c:pt idx="199">
                  <c:v>5.45</c:v>
                </c:pt>
                <c:pt idx="200">
                  <c:v>5.45</c:v>
                </c:pt>
                <c:pt idx="201">
                  <c:v>5.5090000000000003</c:v>
                </c:pt>
                <c:pt idx="202">
                  <c:v>5.5149999999999881</c:v>
                </c:pt>
                <c:pt idx="203">
                  <c:v>5.5510000000000002</c:v>
                </c:pt>
                <c:pt idx="204">
                  <c:v>5.5219999999999985</c:v>
                </c:pt>
                <c:pt idx="205">
                  <c:v>5.604999999999988</c:v>
                </c:pt>
                <c:pt idx="206">
                  <c:v>5.624999999999984</c:v>
                </c:pt>
                <c:pt idx="207">
                  <c:v>5.6349999999999945</c:v>
                </c:pt>
                <c:pt idx="208">
                  <c:v>5.6199999999999966</c:v>
                </c:pt>
                <c:pt idx="209">
                  <c:v>5.5679999999999872</c:v>
                </c:pt>
                <c:pt idx="210">
                  <c:v>5.5629999999999882</c:v>
                </c:pt>
                <c:pt idx="211">
                  <c:v>5.55</c:v>
                </c:pt>
                <c:pt idx="212">
                  <c:v>5.5410000000000004</c:v>
                </c:pt>
                <c:pt idx="213">
                  <c:v>5.5410000000000004</c:v>
                </c:pt>
                <c:pt idx="214">
                  <c:v>5.5309999999999997</c:v>
                </c:pt>
                <c:pt idx="215">
                  <c:v>5.5389999999999997</c:v>
                </c:pt>
                <c:pt idx="216">
                  <c:v>5.5410000000000004</c:v>
                </c:pt>
                <c:pt idx="217">
                  <c:v>5.53</c:v>
                </c:pt>
                <c:pt idx="218">
                  <c:v>5.5249999999999879</c:v>
                </c:pt>
                <c:pt idx="219">
                  <c:v>5.5030000000000001</c:v>
                </c:pt>
                <c:pt idx="220">
                  <c:v>5.4720000000000004</c:v>
                </c:pt>
                <c:pt idx="221">
                  <c:v>5.4669999999999996</c:v>
                </c:pt>
                <c:pt idx="222">
                  <c:v>5.4560000000000004</c:v>
                </c:pt>
                <c:pt idx="223">
                  <c:v>5.4630000000000001</c:v>
                </c:pt>
                <c:pt idx="224">
                  <c:v>5.45</c:v>
                </c:pt>
                <c:pt idx="225">
                  <c:v>5.4409999999999998</c:v>
                </c:pt>
                <c:pt idx="226">
                  <c:v>5.415</c:v>
                </c:pt>
                <c:pt idx="227">
                  <c:v>5.4370000000000003</c:v>
                </c:pt>
                <c:pt idx="228">
                  <c:v>5.4749999999999996</c:v>
                </c:pt>
                <c:pt idx="229">
                  <c:v>5.4409999999999998</c:v>
                </c:pt>
                <c:pt idx="230">
                  <c:v>5.415</c:v>
                </c:pt>
                <c:pt idx="231">
                  <c:v>5.4370000000000003</c:v>
                </c:pt>
                <c:pt idx="232">
                  <c:v>5.4749999999999996</c:v>
                </c:pt>
                <c:pt idx="233">
                  <c:v>5.44</c:v>
                </c:pt>
                <c:pt idx="234">
                  <c:v>5.5419999999999998</c:v>
                </c:pt>
                <c:pt idx="235">
                  <c:v>5.5730000000000004</c:v>
                </c:pt>
                <c:pt idx="236">
                  <c:v>5.5579999999999945</c:v>
                </c:pt>
                <c:pt idx="237">
                  <c:v>5.5449999999999955</c:v>
                </c:pt>
                <c:pt idx="238">
                  <c:v>5.556</c:v>
                </c:pt>
                <c:pt idx="239">
                  <c:v>5.6479999999999881</c:v>
                </c:pt>
                <c:pt idx="240">
                  <c:v>5.7809999999999997</c:v>
                </c:pt>
                <c:pt idx="241">
                  <c:v>5.7050000000000001</c:v>
                </c:pt>
                <c:pt idx="242">
                  <c:v>5.6619999999999955</c:v>
                </c:pt>
                <c:pt idx="243">
                  <c:v>5.5880000000000001</c:v>
                </c:pt>
                <c:pt idx="244">
                  <c:v>5.5990000000000002</c:v>
                </c:pt>
                <c:pt idx="245">
                  <c:v>5.5990000000000002</c:v>
                </c:pt>
                <c:pt idx="246">
                  <c:v>5.6029999999999882</c:v>
                </c:pt>
                <c:pt idx="247">
                  <c:v>5.6019999999999985</c:v>
                </c:pt>
                <c:pt idx="248">
                  <c:v>5.593</c:v>
                </c:pt>
                <c:pt idx="249">
                  <c:v>5.5819999999999999</c:v>
                </c:pt>
                <c:pt idx="250">
                  <c:v>5.5709999999999997</c:v>
                </c:pt>
                <c:pt idx="251">
                  <c:v>5.58</c:v>
                </c:pt>
                <c:pt idx="252">
                  <c:v>5.54</c:v>
                </c:pt>
                <c:pt idx="253">
                  <c:v>5.4889999999999999</c:v>
                </c:pt>
                <c:pt idx="254">
                  <c:v>5.46</c:v>
                </c:pt>
                <c:pt idx="255">
                  <c:v>5.508</c:v>
                </c:pt>
                <c:pt idx="256">
                  <c:v>5.5609999999999955</c:v>
                </c:pt>
                <c:pt idx="257">
                  <c:v>5.5709999999999997</c:v>
                </c:pt>
              </c:numCache>
            </c:numRef>
          </c:val>
          <c:extLst xmlns:c16r2="http://schemas.microsoft.com/office/drawing/2015/06/chart">
            <c:ext xmlns:c16="http://schemas.microsoft.com/office/drawing/2014/chart" uri="{C3380CC4-5D6E-409C-BE32-E72D297353CC}">
              <c16:uniqueId val="{00000002-6E98-477D-BB83-D48883701F52}"/>
            </c:ext>
          </c:extLst>
        </c:ser>
        <c:ser>
          <c:idx val="3"/>
          <c:order val="3"/>
          <c:tx>
            <c:strRef>
              <c:f>'ΣΤΟΙΧΕΙΑ ΓΙΑ ΠΡΟΥΠ 2018'!$E$2</c:f>
              <c:strCache>
                <c:ptCount val="1"/>
                <c:pt idx="0">
                  <c:v>ΙΡΛΑΝΔΙΑ</c:v>
                </c:pt>
              </c:strCache>
            </c:strRef>
          </c:tx>
          <c:marker>
            <c:symbol val="none"/>
          </c:marker>
          <c:cat>
            <c:numRef>
              <c:f>'ΣΤΟΙΧΕΙΑ ΓΙΑ ΠΡΟΥΠ 2018'!$A$3:$A$774</c:f>
              <c:numCache>
                <c:formatCode>d/m/yyyy</c:formatCode>
                <c:ptCount val="258"/>
                <c:pt idx="0">
                  <c:v>42663</c:v>
                </c:pt>
                <c:pt idx="1">
                  <c:v>42664</c:v>
                </c:pt>
                <c:pt idx="2">
                  <c:v>42667</c:v>
                </c:pt>
                <c:pt idx="3">
                  <c:v>42668</c:v>
                </c:pt>
                <c:pt idx="4">
                  <c:v>42669</c:v>
                </c:pt>
                <c:pt idx="5">
                  <c:v>42670</c:v>
                </c:pt>
                <c:pt idx="6">
                  <c:v>42671</c:v>
                </c:pt>
                <c:pt idx="7">
                  <c:v>42674</c:v>
                </c:pt>
                <c:pt idx="8">
                  <c:v>42675</c:v>
                </c:pt>
                <c:pt idx="9">
                  <c:v>42676</c:v>
                </c:pt>
                <c:pt idx="10">
                  <c:v>42677</c:v>
                </c:pt>
                <c:pt idx="11">
                  <c:v>42678</c:v>
                </c:pt>
                <c:pt idx="12">
                  <c:v>42681</c:v>
                </c:pt>
                <c:pt idx="13">
                  <c:v>42682</c:v>
                </c:pt>
                <c:pt idx="14">
                  <c:v>42683</c:v>
                </c:pt>
                <c:pt idx="15">
                  <c:v>42684</c:v>
                </c:pt>
                <c:pt idx="16">
                  <c:v>42685</c:v>
                </c:pt>
                <c:pt idx="17">
                  <c:v>42688</c:v>
                </c:pt>
                <c:pt idx="18">
                  <c:v>42689</c:v>
                </c:pt>
                <c:pt idx="19">
                  <c:v>42690</c:v>
                </c:pt>
                <c:pt idx="20">
                  <c:v>42691</c:v>
                </c:pt>
                <c:pt idx="21">
                  <c:v>42692</c:v>
                </c:pt>
                <c:pt idx="22">
                  <c:v>42695</c:v>
                </c:pt>
                <c:pt idx="23">
                  <c:v>42696</c:v>
                </c:pt>
                <c:pt idx="24">
                  <c:v>42697</c:v>
                </c:pt>
                <c:pt idx="25">
                  <c:v>42698</c:v>
                </c:pt>
                <c:pt idx="26">
                  <c:v>42699</c:v>
                </c:pt>
                <c:pt idx="27">
                  <c:v>42702</c:v>
                </c:pt>
                <c:pt idx="28">
                  <c:v>42703</c:v>
                </c:pt>
                <c:pt idx="29">
                  <c:v>42704</c:v>
                </c:pt>
                <c:pt idx="30">
                  <c:v>42705</c:v>
                </c:pt>
                <c:pt idx="31">
                  <c:v>42706</c:v>
                </c:pt>
                <c:pt idx="32">
                  <c:v>42709</c:v>
                </c:pt>
                <c:pt idx="33">
                  <c:v>42710</c:v>
                </c:pt>
                <c:pt idx="34">
                  <c:v>42711</c:v>
                </c:pt>
                <c:pt idx="35">
                  <c:v>42712</c:v>
                </c:pt>
                <c:pt idx="36">
                  <c:v>42713</c:v>
                </c:pt>
                <c:pt idx="37">
                  <c:v>42716</c:v>
                </c:pt>
                <c:pt idx="38">
                  <c:v>42717</c:v>
                </c:pt>
                <c:pt idx="39">
                  <c:v>42718</c:v>
                </c:pt>
                <c:pt idx="40">
                  <c:v>42719</c:v>
                </c:pt>
                <c:pt idx="41">
                  <c:v>42720</c:v>
                </c:pt>
                <c:pt idx="42">
                  <c:v>42723</c:v>
                </c:pt>
                <c:pt idx="43">
                  <c:v>42724</c:v>
                </c:pt>
                <c:pt idx="44">
                  <c:v>42725</c:v>
                </c:pt>
                <c:pt idx="45">
                  <c:v>42726</c:v>
                </c:pt>
                <c:pt idx="46">
                  <c:v>42727</c:v>
                </c:pt>
                <c:pt idx="47">
                  <c:v>42731</c:v>
                </c:pt>
                <c:pt idx="48">
                  <c:v>42732</c:v>
                </c:pt>
                <c:pt idx="49">
                  <c:v>42733</c:v>
                </c:pt>
                <c:pt idx="50">
                  <c:v>42734</c:v>
                </c:pt>
                <c:pt idx="51">
                  <c:v>42737</c:v>
                </c:pt>
                <c:pt idx="52">
                  <c:v>42738</c:v>
                </c:pt>
                <c:pt idx="53">
                  <c:v>42739</c:v>
                </c:pt>
                <c:pt idx="54">
                  <c:v>42740</c:v>
                </c:pt>
                <c:pt idx="55">
                  <c:v>42741</c:v>
                </c:pt>
                <c:pt idx="56">
                  <c:v>42744</c:v>
                </c:pt>
                <c:pt idx="57">
                  <c:v>42745</c:v>
                </c:pt>
                <c:pt idx="58">
                  <c:v>42746</c:v>
                </c:pt>
                <c:pt idx="59">
                  <c:v>42747</c:v>
                </c:pt>
                <c:pt idx="60">
                  <c:v>42748</c:v>
                </c:pt>
                <c:pt idx="61">
                  <c:v>42751</c:v>
                </c:pt>
                <c:pt idx="62">
                  <c:v>42752</c:v>
                </c:pt>
                <c:pt idx="63">
                  <c:v>42753</c:v>
                </c:pt>
                <c:pt idx="64">
                  <c:v>42754</c:v>
                </c:pt>
                <c:pt idx="65">
                  <c:v>42755</c:v>
                </c:pt>
                <c:pt idx="66">
                  <c:v>42758</c:v>
                </c:pt>
                <c:pt idx="67">
                  <c:v>42759</c:v>
                </c:pt>
                <c:pt idx="68">
                  <c:v>42760</c:v>
                </c:pt>
                <c:pt idx="69">
                  <c:v>42761</c:v>
                </c:pt>
                <c:pt idx="70">
                  <c:v>42762</c:v>
                </c:pt>
                <c:pt idx="71">
                  <c:v>42765</c:v>
                </c:pt>
                <c:pt idx="72">
                  <c:v>42766</c:v>
                </c:pt>
                <c:pt idx="73">
                  <c:v>42767</c:v>
                </c:pt>
                <c:pt idx="74">
                  <c:v>42768</c:v>
                </c:pt>
                <c:pt idx="75">
                  <c:v>42769</c:v>
                </c:pt>
                <c:pt idx="76">
                  <c:v>42772</c:v>
                </c:pt>
                <c:pt idx="77">
                  <c:v>42773</c:v>
                </c:pt>
                <c:pt idx="78">
                  <c:v>42774</c:v>
                </c:pt>
                <c:pt idx="79">
                  <c:v>42775</c:v>
                </c:pt>
                <c:pt idx="80">
                  <c:v>42776</c:v>
                </c:pt>
                <c:pt idx="81">
                  <c:v>42779</c:v>
                </c:pt>
                <c:pt idx="82">
                  <c:v>42780</c:v>
                </c:pt>
                <c:pt idx="83">
                  <c:v>42781</c:v>
                </c:pt>
                <c:pt idx="84">
                  <c:v>42782</c:v>
                </c:pt>
                <c:pt idx="85">
                  <c:v>42783</c:v>
                </c:pt>
                <c:pt idx="86">
                  <c:v>42786</c:v>
                </c:pt>
                <c:pt idx="87">
                  <c:v>42787</c:v>
                </c:pt>
                <c:pt idx="88">
                  <c:v>42788</c:v>
                </c:pt>
                <c:pt idx="89">
                  <c:v>42789</c:v>
                </c:pt>
                <c:pt idx="90">
                  <c:v>42790</c:v>
                </c:pt>
                <c:pt idx="91">
                  <c:v>42793</c:v>
                </c:pt>
                <c:pt idx="92">
                  <c:v>42794</c:v>
                </c:pt>
                <c:pt idx="93">
                  <c:v>42795</c:v>
                </c:pt>
                <c:pt idx="94">
                  <c:v>42796</c:v>
                </c:pt>
                <c:pt idx="95">
                  <c:v>42797</c:v>
                </c:pt>
                <c:pt idx="96">
                  <c:v>42800</c:v>
                </c:pt>
                <c:pt idx="97">
                  <c:v>42801</c:v>
                </c:pt>
                <c:pt idx="98">
                  <c:v>42802</c:v>
                </c:pt>
                <c:pt idx="99">
                  <c:v>42803</c:v>
                </c:pt>
                <c:pt idx="100">
                  <c:v>42804</c:v>
                </c:pt>
                <c:pt idx="101">
                  <c:v>42807</c:v>
                </c:pt>
                <c:pt idx="102">
                  <c:v>42808</c:v>
                </c:pt>
                <c:pt idx="103">
                  <c:v>42809</c:v>
                </c:pt>
                <c:pt idx="104">
                  <c:v>42810</c:v>
                </c:pt>
                <c:pt idx="105">
                  <c:v>42811</c:v>
                </c:pt>
                <c:pt idx="106">
                  <c:v>42814</c:v>
                </c:pt>
                <c:pt idx="107">
                  <c:v>42815</c:v>
                </c:pt>
                <c:pt idx="108">
                  <c:v>42816</c:v>
                </c:pt>
                <c:pt idx="109">
                  <c:v>42817</c:v>
                </c:pt>
                <c:pt idx="110">
                  <c:v>42818</c:v>
                </c:pt>
                <c:pt idx="111">
                  <c:v>42821</c:v>
                </c:pt>
                <c:pt idx="112">
                  <c:v>42822</c:v>
                </c:pt>
                <c:pt idx="113">
                  <c:v>42823</c:v>
                </c:pt>
                <c:pt idx="114">
                  <c:v>42824</c:v>
                </c:pt>
                <c:pt idx="115">
                  <c:v>42825</c:v>
                </c:pt>
                <c:pt idx="116">
                  <c:v>42828</c:v>
                </c:pt>
                <c:pt idx="117">
                  <c:v>42829</c:v>
                </c:pt>
                <c:pt idx="118">
                  <c:v>42830</c:v>
                </c:pt>
                <c:pt idx="119">
                  <c:v>42831</c:v>
                </c:pt>
                <c:pt idx="120">
                  <c:v>42832</c:v>
                </c:pt>
                <c:pt idx="121">
                  <c:v>42835</c:v>
                </c:pt>
                <c:pt idx="122">
                  <c:v>42836</c:v>
                </c:pt>
                <c:pt idx="123">
                  <c:v>42837</c:v>
                </c:pt>
                <c:pt idx="124">
                  <c:v>42838</c:v>
                </c:pt>
                <c:pt idx="125">
                  <c:v>42843</c:v>
                </c:pt>
                <c:pt idx="126">
                  <c:v>42844</c:v>
                </c:pt>
                <c:pt idx="127">
                  <c:v>42845</c:v>
                </c:pt>
                <c:pt idx="128">
                  <c:v>42846</c:v>
                </c:pt>
                <c:pt idx="129">
                  <c:v>42849</c:v>
                </c:pt>
                <c:pt idx="130">
                  <c:v>42850</c:v>
                </c:pt>
                <c:pt idx="131">
                  <c:v>42851</c:v>
                </c:pt>
                <c:pt idx="132">
                  <c:v>42852</c:v>
                </c:pt>
                <c:pt idx="133">
                  <c:v>42853</c:v>
                </c:pt>
                <c:pt idx="134">
                  <c:v>42857</c:v>
                </c:pt>
                <c:pt idx="135">
                  <c:v>42858</c:v>
                </c:pt>
                <c:pt idx="136">
                  <c:v>42859</c:v>
                </c:pt>
                <c:pt idx="137">
                  <c:v>42860</c:v>
                </c:pt>
                <c:pt idx="138">
                  <c:v>42863</c:v>
                </c:pt>
                <c:pt idx="139">
                  <c:v>42864</c:v>
                </c:pt>
                <c:pt idx="140">
                  <c:v>42865</c:v>
                </c:pt>
                <c:pt idx="141">
                  <c:v>42866</c:v>
                </c:pt>
                <c:pt idx="142">
                  <c:v>42867</c:v>
                </c:pt>
                <c:pt idx="143">
                  <c:v>42870</c:v>
                </c:pt>
                <c:pt idx="144">
                  <c:v>42871</c:v>
                </c:pt>
                <c:pt idx="145">
                  <c:v>42872</c:v>
                </c:pt>
                <c:pt idx="146">
                  <c:v>42873</c:v>
                </c:pt>
                <c:pt idx="147">
                  <c:v>42874</c:v>
                </c:pt>
                <c:pt idx="148">
                  <c:v>42877</c:v>
                </c:pt>
                <c:pt idx="149">
                  <c:v>42878</c:v>
                </c:pt>
                <c:pt idx="150">
                  <c:v>42879</c:v>
                </c:pt>
                <c:pt idx="151">
                  <c:v>42880</c:v>
                </c:pt>
                <c:pt idx="152">
                  <c:v>42881</c:v>
                </c:pt>
                <c:pt idx="153">
                  <c:v>42884</c:v>
                </c:pt>
                <c:pt idx="154">
                  <c:v>42885</c:v>
                </c:pt>
                <c:pt idx="155">
                  <c:v>42886</c:v>
                </c:pt>
                <c:pt idx="156">
                  <c:v>42887</c:v>
                </c:pt>
                <c:pt idx="157">
                  <c:v>42888</c:v>
                </c:pt>
                <c:pt idx="158">
                  <c:v>42891</c:v>
                </c:pt>
                <c:pt idx="159">
                  <c:v>42892</c:v>
                </c:pt>
                <c:pt idx="160">
                  <c:v>42893</c:v>
                </c:pt>
                <c:pt idx="161">
                  <c:v>42894</c:v>
                </c:pt>
                <c:pt idx="162">
                  <c:v>42895</c:v>
                </c:pt>
                <c:pt idx="163">
                  <c:v>42898</c:v>
                </c:pt>
                <c:pt idx="164">
                  <c:v>42899</c:v>
                </c:pt>
                <c:pt idx="165">
                  <c:v>42900</c:v>
                </c:pt>
                <c:pt idx="166">
                  <c:v>42901</c:v>
                </c:pt>
                <c:pt idx="167">
                  <c:v>42902</c:v>
                </c:pt>
                <c:pt idx="168">
                  <c:v>42905</c:v>
                </c:pt>
                <c:pt idx="169">
                  <c:v>42906</c:v>
                </c:pt>
                <c:pt idx="170">
                  <c:v>42907</c:v>
                </c:pt>
                <c:pt idx="171">
                  <c:v>42908</c:v>
                </c:pt>
                <c:pt idx="172">
                  <c:v>42909</c:v>
                </c:pt>
                <c:pt idx="173">
                  <c:v>42912</c:v>
                </c:pt>
                <c:pt idx="174">
                  <c:v>42913</c:v>
                </c:pt>
                <c:pt idx="175">
                  <c:v>42914</c:v>
                </c:pt>
                <c:pt idx="176">
                  <c:v>42915</c:v>
                </c:pt>
                <c:pt idx="177">
                  <c:v>42916</c:v>
                </c:pt>
                <c:pt idx="178">
                  <c:v>42919</c:v>
                </c:pt>
                <c:pt idx="179">
                  <c:v>42920</c:v>
                </c:pt>
                <c:pt idx="180">
                  <c:v>42921</c:v>
                </c:pt>
                <c:pt idx="181">
                  <c:v>42922</c:v>
                </c:pt>
                <c:pt idx="182">
                  <c:v>42923</c:v>
                </c:pt>
                <c:pt idx="183">
                  <c:v>42926</c:v>
                </c:pt>
                <c:pt idx="184">
                  <c:v>42927</c:v>
                </c:pt>
                <c:pt idx="185">
                  <c:v>42928</c:v>
                </c:pt>
                <c:pt idx="186">
                  <c:v>42929</c:v>
                </c:pt>
                <c:pt idx="187">
                  <c:v>42930</c:v>
                </c:pt>
                <c:pt idx="188">
                  <c:v>42933</c:v>
                </c:pt>
                <c:pt idx="189">
                  <c:v>42934</c:v>
                </c:pt>
                <c:pt idx="190">
                  <c:v>42935</c:v>
                </c:pt>
                <c:pt idx="191">
                  <c:v>42936</c:v>
                </c:pt>
                <c:pt idx="192">
                  <c:v>42937</c:v>
                </c:pt>
                <c:pt idx="193">
                  <c:v>42940</c:v>
                </c:pt>
                <c:pt idx="194">
                  <c:v>42941</c:v>
                </c:pt>
                <c:pt idx="195">
                  <c:v>42942</c:v>
                </c:pt>
                <c:pt idx="196">
                  <c:v>42943</c:v>
                </c:pt>
                <c:pt idx="197">
                  <c:v>42944</c:v>
                </c:pt>
                <c:pt idx="198">
                  <c:v>42947</c:v>
                </c:pt>
                <c:pt idx="199">
                  <c:v>42948</c:v>
                </c:pt>
                <c:pt idx="200">
                  <c:v>42949</c:v>
                </c:pt>
                <c:pt idx="201">
                  <c:v>42950</c:v>
                </c:pt>
                <c:pt idx="202">
                  <c:v>42951</c:v>
                </c:pt>
                <c:pt idx="203">
                  <c:v>42954</c:v>
                </c:pt>
                <c:pt idx="204">
                  <c:v>42955</c:v>
                </c:pt>
                <c:pt idx="205">
                  <c:v>42956</c:v>
                </c:pt>
                <c:pt idx="206">
                  <c:v>42957</c:v>
                </c:pt>
                <c:pt idx="207">
                  <c:v>42958</c:v>
                </c:pt>
                <c:pt idx="208">
                  <c:v>42961</c:v>
                </c:pt>
                <c:pt idx="209">
                  <c:v>42962</c:v>
                </c:pt>
                <c:pt idx="210">
                  <c:v>42963</c:v>
                </c:pt>
                <c:pt idx="211">
                  <c:v>42964</c:v>
                </c:pt>
                <c:pt idx="212">
                  <c:v>42965</c:v>
                </c:pt>
                <c:pt idx="213">
                  <c:v>42968</c:v>
                </c:pt>
                <c:pt idx="214">
                  <c:v>42969</c:v>
                </c:pt>
                <c:pt idx="215">
                  <c:v>42970</c:v>
                </c:pt>
                <c:pt idx="216">
                  <c:v>42971</c:v>
                </c:pt>
                <c:pt idx="217">
                  <c:v>42972</c:v>
                </c:pt>
                <c:pt idx="218">
                  <c:v>42975</c:v>
                </c:pt>
                <c:pt idx="219">
                  <c:v>42976</c:v>
                </c:pt>
                <c:pt idx="220">
                  <c:v>42977</c:v>
                </c:pt>
                <c:pt idx="221">
                  <c:v>42978</c:v>
                </c:pt>
                <c:pt idx="222">
                  <c:v>42979</c:v>
                </c:pt>
                <c:pt idx="223">
                  <c:v>42982</c:v>
                </c:pt>
                <c:pt idx="224">
                  <c:v>42983</c:v>
                </c:pt>
                <c:pt idx="225">
                  <c:v>42984</c:v>
                </c:pt>
                <c:pt idx="226">
                  <c:v>42985</c:v>
                </c:pt>
                <c:pt idx="227">
                  <c:v>42986</c:v>
                </c:pt>
                <c:pt idx="228">
                  <c:v>42989</c:v>
                </c:pt>
                <c:pt idx="229">
                  <c:v>42990</c:v>
                </c:pt>
                <c:pt idx="230">
                  <c:v>42991</c:v>
                </c:pt>
                <c:pt idx="231">
                  <c:v>42992</c:v>
                </c:pt>
                <c:pt idx="232">
                  <c:v>42993</c:v>
                </c:pt>
                <c:pt idx="233">
                  <c:v>42996</c:v>
                </c:pt>
                <c:pt idx="234">
                  <c:v>42997</c:v>
                </c:pt>
                <c:pt idx="235">
                  <c:v>42998</c:v>
                </c:pt>
                <c:pt idx="236">
                  <c:v>42999</c:v>
                </c:pt>
                <c:pt idx="237">
                  <c:v>43000</c:v>
                </c:pt>
                <c:pt idx="238">
                  <c:v>43003</c:v>
                </c:pt>
                <c:pt idx="239">
                  <c:v>43004</c:v>
                </c:pt>
                <c:pt idx="240">
                  <c:v>43005</c:v>
                </c:pt>
                <c:pt idx="241">
                  <c:v>43006</c:v>
                </c:pt>
                <c:pt idx="242">
                  <c:v>43007</c:v>
                </c:pt>
                <c:pt idx="243">
                  <c:v>43010</c:v>
                </c:pt>
                <c:pt idx="244">
                  <c:v>43011</c:v>
                </c:pt>
                <c:pt idx="245">
                  <c:v>43012</c:v>
                </c:pt>
                <c:pt idx="246">
                  <c:v>43013</c:v>
                </c:pt>
                <c:pt idx="247">
                  <c:v>43014</c:v>
                </c:pt>
                <c:pt idx="248">
                  <c:v>43017</c:v>
                </c:pt>
                <c:pt idx="249">
                  <c:v>43018</c:v>
                </c:pt>
                <c:pt idx="250">
                  <c:v>43019</c:v>
                </c:pt>
                <c:pt idx="251">
                  <c:v>43020</c:v>
                </c:pt>
                <c:pt idx="252">
                  <c:v>43021</c:v>
                </c:pt>
                <c:pt idx="253">
                  <c:v>43024</c:v>
                </c:pt>
                <c:pt idx="254">
                  <c:v>43025</c:v>
                </c:pt>
                <c:pt idx="255">
                  <c:v>43026</c:v>
                </c:pt>
                <c:pt idx="256">
                  <c:v>43027</c:v>
                </c:pt>
                <c:pt idx="257">
                  <c:v>43028</c:v>
                </c:pt>
              </c:numCache>
            </c:numRef>
          </c:cat>
          <c:val>
            <c:numRef>
              <c:f>'ΣΤΟΙΧΕΙΑ ΓΙΑ ΠΡΟΥΠ 2018'!$E$3:$E$774</c:f>
              <c:numCache>
                <c:formatCode>General</c:formatCode>
                <c:ptCount val="258"/>
                <c:pt idx="0">
                  <c:v>0.45300000000000001</c:v>
                </c:pt>
                <c:pt idx="1">
                  <c:v>0.46200000000000002</c:v>
                </c:pt>
                <c:pt idx="2">
                  <c:v>0.47600000000000031</c:v>
                </c:pt>
                <c:pt idx="3">
                  <c:v>0.48300000000000032</c:v>
                </c:pt>
                <c:pt idx="4">
                  <c:v>0.54800000000000004</c:v>
                </c:pt>
                <c:pt idx="5">
                  <c:v>0.61400000000000143</c:v>
                </c:pt>
                <c:pt idx="6">
                  <c:v>0.63000000000000156</c:v>
                </c:pt>
                <c:pt idx="7">
                  <c:v>0.64600000000000168</c:v>
                </c:pt>
                <c:pt idx="8">
                  <c:v>0.65600000000000191</c:v>
                </c:pt>
                <c:pt idx="9">
                  <c:v>0.63200000000000156</c:v>
                </c:pt>
                <c:pt idx="10">
                  <c:v>0.66200000000000192</c:v>
                </c:pt>
                <c:pt idx="11">
                  <c:v>0.67400000000000193</c:v>
                </c:pt>
                <c:pt idx="12">
                  <c:v>0.65200000000000191</c:v>
                </c:pt>
                <c:pt idx="13">
                  <c:v>0.69000000000000061</c:v>
                </c:pt>
                <c:pt idx="14">
                  <c:v>0.73100000000000065</c:v>
                </c:pt>
                <c:pt idx="15">
                  <c:v>0.86400000000000143</c:v>
                </c:pt>
                <c:pt idx="16">
                  <c:v>0.99299999999999999</c:v>
                </c:pt>
                <c:pt idx="17">
                  <c:v>0.997</c:v>
                </c:pt>
                <c:pt idx="18">
                  <c:v>0.91700000000000004</c:v>
                </c:pt>
                <c:pt idx="19">
                  <c:v>0.95200000000000062</c:v>
                </c:pt>
                <c:pt idx="20">
                  <c:v>0.98799999999999999</c:v>
                </c:pt>
                <c:pt idx="21">
                  <c:v>1.002</c:v>
                </c:pt>
                <c:pt idx="22">
                  <c:v>0.99299999999999999</c:v>
                </c:pt>
                <c:pt idx="23">
                  <c:v>0.91500000000000004</c:v>
                </c:pt>
                <c:pt idx="24">
                  <c:v>0.96100000000000063</c:v>
                </c:pt>
                <c:pt idx="25">
                  <c:v>0.95700000000000063</c:v>
                </c:pt>
                <c:pt idx="26">
                  <c:v>0.92</c:v>
                </c:pt>
                <c:pt idx="27">
                  <c:v>0.89600000000000002</c:v>
                </c:pt>
                <c:pt idx="28">
                  <c:v>0.85200000000000065</c:v>
                </c:pt>
                <c:pt idx="29">
                  <c:v>0.88200000000000001</c:v>
                </c:pt>
                <c:pt idx="30">
                  <c:v>0.94499999999999995</c:v>
                </c:pt>
                <c:pt idx="31">
                  <c:v>0.82800000000000062</c:v>
                </c:pt>
                <c:pt idx="32">
                  <c:v>0.85500000000000065</c:v>
                </c:pt>
                <c:pt idx="33">
                  <c:v>0.88500000000000001</c:v>
                </c:pt>
                <c:pt idx="34">
                  <c:v>0.84200000000000064</c:v>
                </c:pt>
                <c:pt idx="35">
                  <c:v>0.90400000000000003</c:v>
                </c:pt>
                <c:pt idx="36">
                  <c:v>0.98699999999999999</c:v>
                </c:pt>
                <c:pt idx="37">
                  <c:v>0.98899999999999999</c:v>
                </c:pt>
                <c:pt idx="38">
                  <c:v>0.93</c:v>
                </c:pt>
                <c:pt idx="39">
                  <c:v>0.87500000000000155</c:v>
                </c:pt>
                <c:pt idx="40">
                  <c:v>0.89500000000000002</c:v>
                </c:pt>
                <c:pt idx="41">
                  <c:v>0.86300000000000143</c:v>
                </c:pt>
                <c:pt idx="42">
                  <c:v>0.79300000000000004</c:v>
                </c:pt>
                <c:pt idx="43">
                  <c:v>0.81399999999999995</c:v>
                </c:pt>
                <c:pt idx="44">
                  <c:v>0.79600000000000004</c:v>
                </c:pt>
                <c:pt idx="45">
                  <c:v>0.82500000000000062</c:v>
                </c:pt>
                <c:pt idx="46">
                  <c:v>0.79700000000000004</c:v>
                </c:pt>
                <c:pt idx="47">
                  <c:v>0.76400000000000168</c:v>
                </c:pt>
                <c:pt idx="48">
                  <c:v>0.73500000000000065</c:v>
                </c:pt>
                <c:pt idx="49">
                  <c:v>0.75100000000000156</c:v>
                </c:pt>
                <c:pt idx="50">
                  <c:v>0.75100000000000156</c:v>
                </c:pt>
                <c:pt idx="51">
                  <c:v>0.88500000000000001</c:v>
                </c:pt>
                <c:pt idx="52">
                  <c:v>0.91900000000000004</c:v>
                </c:pt>
                <c:pt idx="53">
                  <c:v>0.92</c:v>
                </c:pt>
                <c:pt idx="54">
                  <c:v>0.96700000000000064</c:v>
                </c:pt>
                <c:pt idx="55">
                  <c:v>0.92600000000000005</c:v>
                </c:pt>
                <c:pt idx="56">
                  <c:v>0.92500000000000004</c:v>
                </c:pt>
                <c:pt idx="57">
                  <c:v>0.89300000000000002</c:v>
                </c:pt>
                <c:pt idx="58">
                  <c:v>0.87500000000000155</c:v>
                </c:pt>
                <c:pt idx="59">
                  <c:v>0.92300000000000004</c:v>
                </c:pt>
                <c:pt idx="60">
                  <c:v>0.94000000000000061</c:v>
                </c:pt>
                <c:pt idx="61">
                  <c:v>0.92700000000000005</c:v>
                </c:pt>
                <c:pt idx="62">
                  <c:v>0.95500000000000063</c:v>
                </c:pt>
                <c:pt idx="63">
                  <c:v>0.98</c:v>
                </c:pt>
                <c:pt idx="64">
                  <c:v>1.044999999999997</c:v>
                </c:pt>
                <c:pt idx="65">
                  <c:v>0.999</c:v>
                </c:pt>
                <c:pt idx="66">
                  <c:v>1.044</c:v>
                </c:pt>
                <c:pt idx="67">
                  <c:v>1.1160000000000001</c:v>
                </c:pt>
                <c:pt idx="68">
                  <c:v>1.179</c:v>
                </c:pt>
                <c:pt idx="69">
                  <c:v>1.1639999999999968</c:v>
                </c:pt>
                <c:pt idx="70">
                  <c:v>1.2</c:v>
                </c:pt>
                <c:pt idx="71">
                  <c:v>1.175</c:v>
                </c:pt>
                <c:pt idx="72">
                  <c:v>1.2129999999999967</c:v>
                </c:pt>
                <c:pt idx="73">
                  <c:v>1.1399999999999968</c:v>
                </c:pt>
                <c:pt idx="74">
                  <c:v>1.1700000000000021</c:v>
                </c:pt>
                <c:pt idx="75">
                  <c:v>1.23</c:v>
                </c:pt>
                <c:pt idx="76">
                  <c:v>1.1850000000000001</c:v>
                </c:pt>
                <c:pt idx="77">
                  <c:v>1.0840000000000001</c:v>
                </c:pt>
                <c:pt idx="78">
                  <c:v>1.046</c:v>
                </c:pt>
                <c:pt idx="79">
                  <c:v>1.0920000000000001</c:v>
                </c:pt>
                <c:pt idx="80">
                  <c:v>1.0569999999999971</c:v>
                </c:pt>
                <c:pt idx="81">
                  <c:v>1.0680000000000001</c:v>
                </c:pt>
                <c:pt idx="82">
                  <c:v>1.091</c:v>
                </c:pt>
                <c:pt idx="83">
                  <c:v>1.0649999999999971</c:v>
                </c:pt>
                <c:pt idx="84">
                  <c:v>1.0720000000000001</c:v>
                </c:pt>
                <c:pt idx="85">
                  <c:v>1.091</c:v>
                </c:pt>
                <c:pt idx="86">
                  <c:v>1.1020000000000001</c:v>
                </c:pt>
                <c:pt idx="87">
                  <c:v>1.042</c:v>
                </c:pt>
                <c:pt idx="88">
                  <c:v>1.008</c:v>
                </c:pt>
                <c:pt idx="89">
                  <c:v>0.93600000000000005</c:v>
                </c:pt>
                <c:pt idx="90">
                  <c:v>0.89800000000000002</c:v>
                </c:pt>
                <c:pt idx="91">
                  <c:v>0.88900000000000001</c:v>
                </c:pt>
                <c:pt idx="92">
                  <c:v>0.94499999999999995</c:v>
                </c:pt>
                <c:pt idx="93">
                  <c:v>0.98199999999999998</c:v>
                </c:pt>
                <c:pt idx="94">
                  <c:v>1.02</c:v>
                </c:pt>
                <c:pt idx="95">
                  <c:v>1.038</c:v>
                </c:pt>
                <c:pt idx="96">
                  <c:v>1.0229999999999968</c:v>
                </c:pt>
                <c:pt idx="97">
                  <c:v>1.079</c:v>
                </c:pt>
                <c:pt idx="98">
                  <c:v>1.1240000000000001</c:v>
                </c:pt>
                <c:pt idx="99">
                  <c:v>1.169</c:v>
                </c:pt>
                <c:pt idx="100">
                  <c:v>1.1639999999999968</c:v>
                </c:pt>
                <c:pt idx="101">
                  <c:v>1.133</c:v>
                </c:pt>
                <c:pt idx="102">
                  <c:v>1.1160000000000001</c:v>
                </c:pt>
                <c:pt idx="103">
                  <c:v>1.151</c:v>
                </c:pt>
                <c:pt idx="104">
                  <c:v>1.1439999999999968</c:v>
                </c:pt>
                <c:pt idx="105">
                  <c:v>1.145</c:v>
                </c:pt>
                <c:pt idx="106">
                  <c:v>1.1299999999999968</c:v>
                </c:pt>
                <c:pt idx="107">
                  <c:v>1.095</c:v>
                </c:pt>
                <c:pt idx="108">
                  <c:v>1.1000000000000001</c:v>
                </c:pt>
                <c:pt idx="109">
                  <c:v>1.0609999999999971</c:v>
                </c:pt>
                <c:pt idx="110">
                  <c:v>1.042999999999997</c:v>
                </c:pt>
                <c:pt idx="111">
                  <c:v>1.02</c:v>
                </c:pt>
                <c:pt idx="112">
                  <c:v>0.96700000000000064</c:v>
                </c:pt>
                <c:pt idx="113">
                  <c:v>0.96700000000000064</c:v>
                </c:pt>
                <c:pt idx="114">
                  <c:v>0.997</c:v>
                </c:pt>
                <c:pt idx="115">
                  <c:v>0.97700000000000065</c:v>
                </c:pt>
                <c:pt idx="116">
                  <c:v>0.96400000000000063</c:v>
                </c:pt>
                <c:pt idx="117">
                  <c:v>0.96900000000000064</c:v>
                </c:pt>
                <c:pt idx="118">
                  <c:v>0.92200000000000004</c:v>
                </c:pt>
                <c:pt idx="119">
                  <c:v>0.91100000000000003</c:v>
                </c:pt>
                <c:pt idx="120">
                  <c:v>0.93100000000000005</c:v>
                </c:pt>
                <c:pt idx="121">
                  <c:v>0.95900000000000063</c:v>
                </c:pt>
                <c:pt idx="122">
                  <c:v>0.93400000000000005</c:v>
                </c:pt>
                <c:pt idx="123">
                  <c:v>0.92800000000000005</c:v>
                </c:pt>
                <c:pt idx="124">
                  <c:v>0.89500000000000002</c:v>
                </c:pt>
                <c:pt idx="125">
                  <c:v>0.90500000000000003</c:v>
                </c:pt>
                <c:pt idx="126">
                  <c:v>0.91900000000000004</c:v>
                </c:pt>
                <c:pt idx="127">
                  <c:v>0.94299999999999995</c:v>
                </c:pt>
                <c:pt idx="128">
                  <c:v>0.87100000000000144</c:v>
                </c:pt>
                <c:pt idx="129">
                  <c:v>0.92800000000000005</c:v>
                </c:pt>
                <c:pt idx="130">
                  <c:v>0.92800000000000005</c:v>
                </c:pt>
                <c:pt idx="131">
                  <c:v>0.84600000000000064</c:v>
                </c:pt>
                <c:pt idx="132">
                  <c:v>0.85400000000000065</c:v>
                </c:pt>
                <c:pt idx="133">
                  <c:v>0.84200000000000064</c:v>
                </c:pt>
                <c:pt idx="134">
                  <c:v>0.84400000000000064</c:v>
                </c:pt>
                <c:pt idx="135">
                  <c:v>0.86300000000000143</c:v>
                </c:pt>
                <c:pt idx="136">
                  <c:v>0.87500000000000155</c:v>
                </c:pt>
                <c:pt idx="137">
                  <c:v>0.87200000000000144</c:v>
                </c:pt>
                <c:pt idx="138">
                  <c:v>0.88600000000000001</c:v>
                </c:pt>
                <c:pt idx="139">
                  <c:v>0.86800000000000144</c:v>
                </c:pt>
                <c:pt idx="140">
                  <c:v>0.90100000000000002</c:v>
                </c:pt>
                <c:pt idx="141">
                  <c:v>0.86200000000000065</c:v>
                </c:pt>
                <c:pt idx="142">
                  <c:v>0.89300000000000002</c:v>
                </c:pt>
                <c:pt idx="143">
                  <c:v>0.89900000000000002</c:v>
                </c:pt>
                <c:pt idx="144">
                  <c:v>0.85000000000000064</c:v>
                </c:pt>
                <c:pt idx="145">
                  <c:v>0.82500000000000062</c:v>
                </c:pt>
                <c:pt idx="146">
                  <c:v>0.83300000000000063</c:v>
                </c:pt>
                <c:pt idx="147">
                  <c:v>0.86600000000000144</c:v>
                </c:pt>
                <c:pt idx="148">
                  <c:v>0.86400000000000143</c:v>
                </c:pt>
                <c:pt idx="149">
                  <c:v>0.86000000000000065</c:v>
                </c:pt>
                <c:pt idx="150">
                  <c:v>0.82299999999999995</c:v>
                </c:pt>
                <c:pt idx="151">
                  <c:v>0.79500000000000004</c:v>
                </c:pt>
                <c:pt idx="152">
                  <c:v>0.77700000000000191</c:v>
                </c:pt>
                <c:pt idx="153">
                  <c:v>0.77200000000000168</c:v>
                </c:pt>
                <c:pt idx="154">
                  <c:v>0.78</c:v>
                </c:pt>
                <c:pt idx="155">
                  <c:v>0.79500000000000004</c:v>
                </c:pt>
                <c:pt idx="156">
                  <c:v>0.76500000000000168</c:v>
                </c:pt>
                <c:pt idx="157">
                  <c:v>0.78200000000000003</c:v>
                </c:pt>
                <c:pt idx="158">
                  <c:v>0.73400000000000065</c:v>
                </c:pt>
                <c:pt idx="159">
                  <c:v>0.74200000000000144</c:v>
                </c:pt>
                <c:pt idx="160">
                  <c:v>0.68799999999999994</c:v>
                </c:pt>
                <c:pt idx="161">
                  <c:v>0.68300000000000005</c:v>
                </c:pt>
                <c:pt idx="162">
                  <c:v>0.66600000000000192</c:v>
                </c:pt>
                <c:pt idx="163">
                  <c:v>0.69099999999999995</c:v>
                </c:pt>
                <c:pt idx="164">
                  <c:v>0.65800000000000192</c:v>
                </c:pt>
                <c:pt idx="165">
                  <c:v>0.69099999999999995</c:v>
                </c:pt>
                <c:pt idx="166">
                  <c:v>0.69599999999999995</c:v>
                </c:pt>
                <c:pt idx="167">
                  <c:v>0.68400000000000005</c:v>
                </c:pt>
                <c:pt idx="168">
                  <c:v>0.66000000000000192</c:v>
                </c:pt>
                <c:pt idx="169">
                  <c:v>0.67200000000000193</c:v>
                </c:pt>
                <c:pt idx="170">
                  <c:v>0.65800000000000192</c:v>
                </c:pt>
                <c:pt idx="171">
                  <c:v>0.66900000000000193</c:v>
                </c:pt>
                <c:pt idx="172">
                  <c:v>0.65700000000000192</c:v>
                </c:pt>
                <c:pt idx="173">
                  <c:v>0.79400000000000004</c:v>
                </c:pt>
                <c:pt idx="174">
                  <c:v>0.79600000000000004</c:v>
                </c:pt>
                <c:pt idx="175">
                  <c:v>0.87400000000000144</c:v>
                </c:pt>
                <c:pt idx="176">
                  <c:v>0.9</c:v>
                </c:pt>
                <c:pt idx="177">
                  <c:v>0.91500000000000004</c:v>
                </c:pt>
                <c:pt idx="178">
                  <c:v>0.87700000000000156</c:v>
                </c:pt>
                <c:pt idx="179">
                  <c:v>0.88300000000000001</c:v>
                </c:pt>
                <c:pt idx="180">
                  <c:v>0.98699999999999999</c:v>
                </c:pt>
                <c:pt idx="181">
                  <c:v>0.99</c:v>
                </c:pt>
                <c:pt idx="182">
                  <c:v>0.95600000000000063</c:v>
                </c:pt>
                <c:pt idx="183">
                  <c:v>0.93799999999999994</c:v>
                </c:pt>
                <c:pt idx="184">
                  <c:v>0.89100000000000001</c:v>
                </c:pt>
                <c:pt idx="185">
                  <c:v>0.91900000000000004</c:v>
                </c:pt>
                <c:pt idx="186">
                  <c:v>0.90700000000000003</c:v>
                </c:pt>
                <c:pt idx="187">
                  <c:v>0.89100000000000001</c:v>
                </c:pt>
                <c:pt idx="188">
                  <c:v>0.86100000000000065</c:v>
                </c:pt>
                <c:pt idx="189">
                  <c:v>0.84500000000000064</c:v>
                </c:pt>
                <c:pt idx="190">
                  <c:v>0.82299999999999995</c:v>
                </c:pt>
                <c:pt idx="191">
                  <c:v>0.82099999999999995</c:v>
                </c:pt>
                <c:pt idx="192">
                  <c:v>0.81</c:v>
                </c:pt>
                <c:pt idx="193">
                  <c:v>0.87000000000000144</c:v>
                </c:pt>
                <c:pt idx="194">
                  <c:v>0.86400000000000143</c:v>
                </c:pt>
                <c:pt idx="195">
                  <c:v>0.84800000000000064</c:v>
                </c:pt>
                <c:pt idx="196">
                  <c:v>0.84500000000000064</c:v>
                </c:pt>
                <c:pt idx="197">
                  <c:v>0.84200000000000064</c:v>
                </c:pt>
                <c:pt idx="198">
                  <c:v>0.78900000000000003</c:v>
                </c:pt>
                <c:pt idx="199">
                  <c:v>0.78400000000000003</c:v>
                </c:pt>
                <c:pt idx="200">
                  <c:v>0.74100000000000144</c:v>
                </c:pt>
                <c:pt idx="201">
                  <c:v>0.76300000000000157</c:v>
                </c:pt>
                <c:pt idx="202">
                  <c:v>0.75500000000000156</c:v>
                </c:pt>
                <c:pt idx="203">
                  <c:v>0.77300000000000169</c:v>
                </c:pt>
                <c:pt idx="204">
                  <c:v>0.73800000000000143</c:v>
                </c:pt>
                <c:pt idx="205">
                  <c:v>0.74100000000000144</c:v>
                </c:pt>
                <c:pt idx="206">
                  <c:v>0.72200000000000064</c:v>
                </c:pt>
                <c:pt idx="207">
                  <c:v>0.74800000000000144</c:v>
                </c:pt>
                <c:pt idx="208">
                  <c:v>0.77000000000000168</c:v>
                </c:pt>
                <c:pt idx="209">
                  <c:v>0.78700000000000003</c:v>
                </c:pt>
                <c:pt idx="210">
                  <c:v>0.76800000000000168</c:v>
                </c:pt>
                <c:pt idx="211">
                  <c:v>0.75200000000000156</c:v>
                </c:pt>
                <c:pt idx="212">
                  <c:v>0.74300000000000144</c:v>
                </c:pt>
                <c:pt idx="213">
                  <c:v>0.74800000000000144</c:v>
                </c:pt>
                <c:pt idx="214">
                  <c:v>0.73000000000000065</c:v>
                </c:pt>
                <c:pt idx="215">
                  <c:v>0.73500000000000065</c:v>
                </c:pt>
                <c:pt idx="216">
                  <c:v>0.74200000000000144</c:v>
                </c:pt>
                <c:pt idx="217">
                  <c:v>0.73600000000000065</c:v>
                </c:pt>
                <c:pt idx="218">
                  <c:v>0.69599999999999995</c:v>
                </c:pt>
                <c:pt idx="219">
                  <c:v>0.70800000000000063</c:v>
                </c:pt>
                <c:pt idx="220">
                  <c:v>0.68899999999999995</c:v>
                </c:pt>
                <c:pt idx="221">
                  <c:v>0.70500000000000063</c:v>
                </c:pt>
                <c:pt idx="222">
                  <c:v>0.69099999999999995</c:v>
                </c:pt>
                <c:pt idx="223">
                  <c:v>0.65500000000000191</c:v>
                </c:pt>
                <c:pt idx="224">
                  <c:v>0.68200000000000005</c:v>
                </c:pt>
                <c:pt idx="225">
                  <c:v>0.63600000000000156</c:v>
                </c:pt>
                <c:pt idx="226">
                  <c:v>0.64000000000000168</c:v>
                </c:pt>
                <c:pt idx="227">
                  <c:v>0.67100000000000193</c:v>
                </c:pt>
                <c:pt idx="228">
                  <c:v>0.73700000000000065</c:v>
                </c:pt>
                <c:pt idx="229">
                  <c:v>0.71800000000000064</c:v>
                </c:pt>
                <c:pt idx="230">
                  <c:v>0.71300000000000063</c:v>
                </c:pt>
                <c:pt idx="231">
                  <c:v>0.72400000000000064</c:v>
                </c:pt>
                <c:pt idx="232">
                  <c:v>0.73000000000000065</c:v>
                </c:pt>
                <c:pt idx="233">
                  <c:v>0.73000000000000065</c:v>
                </c:pt>
                <c:pt idx="234">
                  <c:v>0.72500000000000064</c:v>
                </c:pt>
                <c:pt idx="235">
                  <c:v>0.72200000000000064</c:v>
                </c:pt>
                <c:pt idx="236">
                  <c:v>0.74900000000000144</c:v>
                </c:pt>
                <c:pt idx="237">
                  <c:v>0.74600000000000144</c:v>
                </c:pt>
                <c:pt idx="238">
                  <c:v>0.71500000000000064</c:v>
                </c:pt>
                <c:pt idx="239">
                  <c:v>0.72300000000000064</c:v>
                </c:pt>
                <c:pt idx="240">
                  <c:v>0.77800000000000191</c:v>
                </c:pt>
                <c:pt idx="241">
                  <c:v>0.76300000000000157</c:v>
                </c:pt>
                <c:pt idx="242">
                  <c:v>0.74200000000000144</c:v>
                </c:pt>
                <c:pt idx="243">
                  <c:v>0.73900000000000143</c:v>
                </c:pt>
                <c:pt idx="244">
                  <c:v>0.73400000000000065</c:v>
                </c:pt>
                <c:pt idx="245">
                  <c:v>0.72000000000000064</c:v>
                </c:pt>
                <c:pt idx="246">
                  <c:v>0.71200000000000063</c:v>
                </c:pt>
                <c:pt idx="247">
                  <c:v>0.71200000000000063</c:v>
                </c:pt>
                <c:pt idx="248">
                  <c:v>0.69499999999999995</c:v>
                </c:pt>
                <c:pt idx="249">
                  <c:v>0.69099999999999995</c:v>
                </c:pt>
                <c:pt idx="250">
                  <c:v>0.70400000000000063</c:v>
                </c:pt>
                <c:pt idx="251">
                  <c:v>0.68</c:v>
                </c:pt>
                <c:pt idx="252">
                  <c:v>0.63900000000000168</c:v>
                </c:pt>
                <c:pt idx="253">
                  <c:v>0.60900000000000065</c:v>
                </c:pt>
                <c:pt idx="254">
                  <c:v>0.61200000000000065</c:v>
                </c:pt>
                <c:pt idx="255">
                  <c:v>0.63100000000000156</c:v>
                </c:pt>
                <c:pt idx="256">
                  <c:v>0.62800000000000156</c:v>
                </c:pt>
                <c:pt idx="257">
                  <c:v>0.67100000000000193</c:v>
                </c:pt>
              </c:numCache>
            </c:numRef>
          </c:val>
          <c:extLst xmlns:c16r2="http://schemas.microsoft.com/office/drawing/2015/06/chart">
            <c:ext xmlns:c16="http://schemas.microsoft.com/office/drawing/2014/chart" uri="{C3380CC4-5D6E-409C-BE32-E72D297353CC}">
              <c16:uniqueId val="{00000003-6E98-477D-BB83-D48883701F52}"/>
            </c:ext>
          </c:extLst>
        </c:ser>
        <c:ser>
          <c:idx val="4"/>
          <c:order val="4"/>
          <c:tx>
            <c:strRef>
              <c:f>'ΣΤΟΙΧΕΙΑ ΓΙΑ ΠΡΟΥΠ 2018'!$F$2</c:f>
              <c:strCache>
                <c:ptCount val="1"/>
                <c:pt idx="0">
                  <c:v>ΙΤΑΛΙΑ</c:v>
                </c:pt>
              </c:strCache>
            </c:strRef>
          </c:tx>
          <c:marker>
            <c:symbol val="none"/>
          </c:marker>
          <c:cat>
            <c:numRef>
              <c:f>'ΣΤΟΙΧΕΙΑ ΓΙΑ ΠΡΟΥΠ 2018'!$A$3:$A$774</c:f>
              <c:numCache>
                <c:formatCode>d/m/yyyy</c:formatCode>
                <c:ptCount val="258"/>
                <c:pt idx="0">
                  <c:v>42663</c:v>
                </c:pt>
                <c:pt idx="1">
                  <c:v>42664</c:v>
                </c:pt>
                <c:pt idx="2">
                  <c:v>42667</c:v>
                </c:pt>
                <c:pt idx="3">
                  <c:v>42668</c:v>
                </c:pt>
                <c:pt idx="4">
                  <c:v>42669</c:v>
                </c:pt>
                <c:pt idx="5">
                  <c:v>42670</c:v>
                </c:pt>
                <c:pt idx="6">
                  <c:v>42671</c:v>
                </c:pt>
                <c:pt idx="7">
                  <c:v>42674</c:v>
                </c:pt>
                <c:pt idx="8">
                  <c:v>42675</c:v>
                </c:pt>
                <c:pt idx="9">
                  <c:v>42676</c:v>
                </c:pt>
                <c:pt idx="10">
                  <c:v>42677</c:v>
                </c:pt>
                <c:pt idx="11">
                  <c:v>42678</c:v>
                </c:pt>
                <c:pt idx="12">
                  <c:v>42681</c:v>
                </c:pt>
                <c:pt idx="13">
                  <c:v>42682</c:v>
                </c:pt>
                <c:pt idx="14">
                  <c:v>42683</c:v>
                </c:pt>
                <c:pt idx="15">
                  <c:v>42684</c:v>
                </c:pt>
                <c:pt idx="16">
                  <c:v>42685</c:v>
                </c:pt>
                <c:pt idx="17">
                  <c:v>42688</c:v>
                </c:pt>
                <c:pt idx="18">
                  <c:v>42689</c:v>
                </c:pt>
                <c:pt idx="19">
                  <c:v>42690</c:v>
                </c:pt>
                <c:pt idx="20">
                  <c:v>42691</c:v>
                </c:pt>
                <c:pt idx="21">
                  <c:v>42692</c:v>
                </c:pt>
                <c:pt idx="22">
                  <c:v>42695</c:v>
                </c:pt>
                <c:pt idx="23">
                  <c:v>42696</c:v>
                </c:pt>
                <c:pt idx="24">
                  <c:v>42697</c:v>
                </c:pt>
                <c:pt idx="25">
                  <c:v>42698</c:v>
                </c:pt>
                <c:pt idx="26">
                  <c:v>42699</c:v>
                </c:pt>
                <c:pt idx="27">
                  <c:v>42702</c:v>
                </c:pt>
                <c:pt idx="28">
                  <c:v>42703</c:v>
                </c:pt>
                <c:pt idx="29">
                  <c:v>42704</c:v>
                </c:pt>
                <c:pt idx="30">
                  <c:v>42705</c:v>
                </c:pt>
                <c:pt idx="31">
                  <c:v>42706</c:v>
                </c:pt>
                <c:pt idx="32">
                  <c:v>42709</c:v>
                </c:pt>
                <c:pt idx="33">
                  <c:v>42710</c:v>
                </c:pt>
                <c:pt idx="34">
                  <c:v>42711</c:v>
                </c:pt>
                <c:pt idx="35">
                  <c:v>42712</c:v>
                </c:pt>
                <c:pt idx="36">
                  <c:v>42713</c:v>
                </c:pt>
                <c:pt idx="37">
                  <c:v>42716</c:v>
                </c:pt>
                <c:pt idx="38">
                  <c:v>42717</c:v>
                </c:pt>
                <c:pt idx="39">
                  <c:v>42718</c:v>
                </c:pt>
                <c:pt idx="40">
                  <c:v>42719</c:v>
                </c:pt>
                <c:pt idx="41">
                  <c:v>42720</c:v>
                </c:pt>
                <c:pt idx="42">
                  <c:v>42723</c:v>
                </c:pt>
                <c:pt idx="43">
                  <c:v>42724</c:v>
                </c:pt>
                <c:pt idx="44">
                  <c:v>42725</c:v>
                </c:pt>
                <c:pt idx="45">
                  <c:v>42726</c:v>
                </c:pt>
                <c:pt idx="46">
                  <c:v>42727</c:v>
                </c:pt>
                <c:pt idx="47">
                  <c:v>42731</c:v>
                </c:pt>
                <c:pt idx="48">
                  <c:v>42732</c:v>
                </c:pt>
                <c:pt idx="49">
                  <c:v>42733</c:v>
                </c:pt>
                <c:pt idx="50">
                  <c:v>42734</c:v>
                </c:pt>
                <c:pt idx="51">
                  <c:v>42737</c:v>
                </c:pt>
                <c:pt idx="52">
                  <c:v>42738</c:v>
                </c:pt>
                <c:pt idx="53">
                  <c:v>42739</c:v>
                </c:pt>
                <c:pt idx="54">
                  <c:v>42740</c:v>
                </c:pt>
                <c:pt idx="55">
                  <c:v>42741</c:v>
                </c:pt>
                <c:pt idx="56">
                  <c:v>42744</c:v>
                </c:pt>
                <c:pt idx="57">
                  <c:v>42745</c:v>
                </c:pt>
                <c:pt idx="58">
                  <c:v>42746</c:v>
                </c:pt>
                <c:pt idx="59">
                  <c:v>42747</c:v>
                </c:pt>
                <c:pt idx="60">
                  <c:v>42748</c:v>
                </c:pt>
                <c:pt idx="61">
                  <c:v>42751</c:v>
                </c:pt>
                <c:pt idx="62">
                  <c:v>42752</c:v>
                </c:pt>
                <c:pt idx="63">
                  <c:v>42753</c:v>
                </c:pt>
                <c:pt idx="64">
                  <c:v>42754</c:v>
                </c:pt>
                <c:pt idx="65">
                  <c:v>42755</c:v>
                </c:pt>
                <c:pt idx="66">
                  <c:v>42758</c:v>
                </c:pt>
                <c:pt idx="67">
                  <c:v>42759</c:v>
                </c:pt>
                <c:pt idx="68">
                  <c:v>42760</c:v>
                </c:pt>
                <c:pt idx="69">
                  <c:v>42761</c:v>
                </c:pt>
                <c:pt idx="70">
                  <c:v>42762</c:v>
                </c:pt>
                <c:pt idx="71">
                  <c:v>42765</c:v>
                </c:pt>
                <c:pt idx="72">
                  <c:v>42766</c:v>
                </c:pt>
                <c:pt idx="73">
                  <c:v>42767</c:v>
                </c:pt>
                <c:pt idx="74">
                  <c:v>42768</c:v>
                </c:pt>
                <c:pt idx="75">
                  <c:v>42769</c:v>
                </c:pt>
                <c:pt idx="76">
                  <c:v>42772</c:v>
                </c:pt>
                <c:pt idx="77">
                  <c:v>42773</c:v>
                </c:pt>
                <c:pt idx="78">
                  <c:v>42774</c:v>
                </c:pt>
                <c:pt idx="79">
                  <c:v>42775</c:v>
                </c:pt>
                <c:pt idx="80">
                  <c:v>42776</c:v>
                </c:pt>
                <c:pt idx="81">
                  <c:v>42779</c:v>
                </c:pt>
                <c:pt idx="82">
                  <c:v>42780</c:v>
                </c:pt>
                <c:pt idx="83">
                  <c:v>42781</c:v>
                </c:pt>
                <c:pt idx="84">
                  <c:v>42782</c:v>
                </c:pt>
                <c:pt idx="85">
                  <c:v>42783</c:v>
                </c:pt>
                <c:pt idx="86">
                  <c:v>42786</c:v>
                </c:pt>
                <c:pt idx="87">
                  <c:v>42787</c:v>
                </c:pt>
                <c:pt idx="88">
                  <c:v>42788</c:v>
                </c:pt>
                <c:pt idx="89">
                  <c:v>42789</c:v>
                </c:pt>
                <c:pt idx="90">
                  <c:v>42790</c:v>
                </c:pt>
                <c:pt idx="91">
                  <c:v>42793</c:v>
                </c:pt>
                <c:pt idx="92">
                  <c:v>42794</c:v>
                </c:pt>
                <c:pt idx="93">
                  <c:v>42795</c:v>
                </c:pt>
                <c:pt idx="94">
                  <c:v>42796</c:v>
                </c:pt>
                <c:pt idx="95">
                  <c:v>42797</c:v>
                </c:pt>
                <c:pt idx="96">
                  <c:v>42800</c:v>
                </c:pt>
                <c:pt idx="97">
                  <c:v>42801</c:v>
                </c:pt>
                <c:pt idx="98">
                  <c:v>42802</c:v>
                </c:pt>
                <c:pt idx="99">
                  <c:v>42803</c:v>
                </c:pt>
                <c:pt idx="100">
                  <c:v>42804</c:v>
                </c:pt>
                <c:pt idx="101">
                  <c:v>42807</c:v>
                </c:pt>
                <c:pt idx="102">
                  <c:v>42808</c:v>
                </c:pt>
                <c:pt idx="103">
                  <c:v>42809</c:v>
                </c:pt>
                <c:pt idx="104">
                  <c:v>42810</c:v>
                </c:pt>
                <c:pt idx="105">
                  <c:v>42811</c:v>
                </c:pt>
                <c:pt idx="106">
                  <c:v>42814</c:v>
                </c:pt>
                <c:pt idx="107">
                  <c:v>42815</c:v>
                </c:pt>
                <c:pt idx="108">
                  <c:v>42816</c:v>
                </c:pt>
                <c:pt idx="109">
                  <c:v>42817</c:v>
                </c:pt>
                <c:pt idx="110">
                  <c:v>42818</c:v>
                </c:pt>
                <c:pt idx="111">
                  <c:v>42821</c:v>
                </c:pt>
                <c:pt idx="112">
                  <c:v>42822</c:v>
                </c:pt>
                <c:pt idx="113">
                  <c:v>42823</c:v>
                </c:pt>
                <c:pt idx="114">
                  <c:v>42824</c:v>
                </c:pt>
                <c:pt idx="115">
                  <c:v>42825</c:v>
                </c:pt>
                <c:pt idx="116">
                  <c:v>42828</c:v>
                </c:pt>
                <c:pt idx="117">
                  <c:v>42829</c:v>
                </c:pt>
                <c:pt idx="118">
                  <c:v>42830</c:v>
                </c:pt>
                <c:pt idx="119">
                  <c:v>42831</c:v>
                </c:pt>
                <c:pt idx="120">
                  <c:v>42832</c:v>
                </c:pt>
                <c:pt idx="121">
                  <c:v>42835</c:v>
                </c:pt>
                <c:pt idx="122">
                  <c:v>42836</c:v>
                </c:pt>
                <c:pt idx="123">
                  <c:v>42837</c:v>
                </c:pt>
                <c:pt idx="124">
                  <c:v>42838</c:v>
                </c:pt>
                <c:pt idx="125">
                  <c:v>42843</c:v>
                </c:pt>
                <c:pt idx="126">
                  <c:v>42844</c:v>
                </c:pt>
                <c:pt idx="127">
                  <c:v>42845</c:v>
                </c:pt>
                <c:pt idx="128">
                  <c:v>42846</c:v>
                </c:pt>
                <c:pt idx="129">
                  <c:v>42849</c:v>
                </c:pt>
                <c:pt idx="130">
                  <c:v>42850</c:v>
                </c:pt>
                <c:pt idx="131">
                  <c:v>42851</c:v>
                </c:pt>
                <c:pt idx="132">
                  <c:v>42852</c:v>
                </c:pt>
                <c:pt idx="133">
                  <c:v>42853</c:v>
                </c:pt>
                <c:pt idx="134">
                  <c:v>42857</c:v>
                </c:pt>
                <c:pt idx="135">
                  <c:v>42858</c:v>
                </c:pt>
                <c:pt idx="136">
                  <c:v>42859</c:v>
                </c:pt>
                <c:pt idx="137">
                  <c:v>42860</c:v>
                </c:pt>
                <c:pt idx="138">
                  <c:v>42863</c:v>
                </c:pt>
                <c:pt idx="139">
                  <c:v>42864</c:v>
                </c:pt>
                <c:pt idx="140">
                  <c:v>42865</c:v>
                </c:pt>
                <c:pt idx="141">
                  <c:v>42866</c:v>
                </c:pt>
                <c:pt idx="142">
                  <c:v>42867</c:v>
                </c:pt>
                <c:pt idx="143">
                  <c:v>42870</c:v>
                </c:pt>
                <c:pt idx="144">
                  <c:v>42871</c:v>
                </c:pt>
                <c:pt idx="145">
                  <c:v>42872</c:v>
                </c:pt>
                <c:pt idx="146">
                  <c:v>42873</c:v>
                </c:pt>
                <c:pt idx="147">
                  <c:v>42874</c:v>
                </c:pt>
                <c:pt idx="148">
                  <c:v>42877</c:v>
                </c:pt>
                <c:pt idx="149">
                  <c:v>42878</c:v>
                </c:pt>
                <c:pt idx="150">
                  <c:v>42879</c:v>
                </c:pt>
                <c:pt idx="151">
                  <c:v>42880</c:v>
                </c:pt>
                <c:pt idx="152">
                  <c:v>42881</c:v>
                </c:pt>
                <c:pt idx="153">
                  <c:v>42884</c:v>
                </c:pt>
                <c:pt idx="154">
                  <c:v>42885</c:v>
                </c:pt>
                <c:pt idx="155">
                  <c:v>42886</c:v>
                </c:pt>
                <c:pt idx="156">
                  <c:v>42887</c:v>
                </c:pt>
                <c:pt idx="157">
                  <c:v>42888</c:v>
                </c:pt>
                <c:pt idx="158">
                  <c:v>42891</c:v>
                </c:pt>
                <c:pt idx="159">
                  <c:v>42892</c:v>
                </c:pt>
                <c:pt idx="160">
                  <c:v>42893</c:v>
                </c:pt>
                <c:pt idx="161">
                  <c:v>42894</c:v>
                </c:pt>
                <c:pt idx="162">
                  <c:v>42895</c:v>
                </c:pt>
                <c:pt idx="163">
                  <c:v>42898</c:v>
                </c:pt>
                <c:pt idx="164">
                  <c:v>42899</c:v>
                </c:pt>
                <c:pt idx="165">
                  <c:v>42900</c:v>
                </c:pt>
                <c:pt idx="166">
                  <c:v>42901</c:v>
                </c:pt>
                <c:pt idx="167">
                  <c:v>42902</c:v>
                </c:pt>
                <c:pt idx="168">
                  <c:v>42905</c:v>
                </c:pt>
                <c:pt idx="169">
                  <c:v>42906</c:v>
                </c:pt>
                <c:pt idx="170">
                  <c:v>42907</c:v>
                </c:pt>
                <c:pt idx="171">
                  <c:v>42908</c:v>
                </c:pt>
                <c:pt idx="172">
                  <c:v>42909</c:v>
                </c:pt>
                <c:pt idx="173">
                  <c:v>42912</c:v>
                </c:pt>
                <c:pt idx="174">
                  <c:v>42913</c:v>
                </c:pt>
                <c:pt idx="175">
                  <c:v>42914</c:v>
                </c:pt>
                <c:pt idx="176">
                  <c:v>42915</c:v>
                </c:pt>
                <c:pt idx="177">
                  <c:v>42916</c:v>
                </c:pt>
                <c:pt idx="178">
                  <c:v>42919</c:v>
                </c:pt>
                <c:pt idx="179">
                  <c:v>42920</c:v>
                </c:pt>
                <c:pt idx="180">
                  <c:v>42921</c:v>
                </c:pt>
                <c:pt idx="181">
                  <c:v>42922</c:v>
                </c:pt>
                <c:pt idx="182">
                  <c:v>42923</c:v>
                </c:pt>
                <c:pt idx="183">
                  <c:v>42926</c:v>
                </c:pt>
                <c:pt idx="184">
                  <c:v>42927</c:v>
                </c:pt>
                <c:pt idx="185">
                  <c:v>42928</c:v>
                </c:pt>
                <c:pt idx="186">
                  <c:v>42929</c:v>
                </c:pt>
                <c:pt idx="187">
                  <c:v>42930</c:v>
                </c:pt>
                <c:pt idx="188">
                  <c:v>42933</c:v>
                </c:pt>
                <c:pt idx="189">
                  <c:v>42934</c:v>
                </c:pt>
                <c:pt idx="190">
                  <c:v>42935</c:v>
                </c:pt>
                <c:pt idx="191">
                  <c:v>42936</c:v>
                </c:pt>
                <c:pt idx="192">
                  <c:v>42937</c:v>
                </c:pt>
                <c:pt idx="193">
                  <c:v>42940</c:v>
                </c:pt>
                <c:pt idx="194">
                  <c:v>42941</c:v>
                </c:pt>
                <c:pt idx="195">
                  <c:v>42942</c:v>
                </c:pt>
                <c:pt idx="196">
                  <c:v>42943</c:v>
                </c:pt>
                <c:pt idx="197">
                  <c:v>42944</c:v>
                </c:pt>
                <c:pt idx="198">
                  <c:v>42947</c:v>
                </c:pt>
                <c:pt idx="199">
                  <c:v>42948</c:v>
                </c:pt>
                <c:pt idx="200">
                  <c:v>42949</c:v>
                </c:pt>
                <c:pt idx="201">
                  <c:v>42950</c:v>
                </c:pt>
                <c:pt idx="202">
                  <c:v>42951</c:v>
                </c:pt>
                <c:pt idx="203">
                  <c:v>42954</c:v>
                </c:pt>
                <c:pt idx="204">
                  <c:v>42955</c:v>
                </c:pt>
                <c:pt idx="205">
                  <c:v>42956</c:v>
                </c:pt>
                <c:pt idx="206">
                  <c:v>42957</c:v>
                </c:pt>
                <c:pt idx="207">
                  <c:v>42958</c:v>
                </c:pt>
                <c:pt idx="208">
                  <c:v>42961</c:v>
                </c:pt>
                <c:pt idx="209">
                  <c:v>42962</c:v>
                </c:pt>
                <c:pt idx="210">
                  <c:v>42963</c:v>
                </c:pt>
                <c:pt idx="211">
                  <c:v>42964</c:v>
                </c:pt>
                <c:pt idx="212">
                  <c:v>42965</c:v>
                </c:pt>
                <c:pt idx="213">
                  <c:v>42968</c:v>
                </c:pt>
                <c:pt idx="214">
                  <c:v>42969</c:v>
                </c:pt>
                <c:pt idx="215">
                  <c:v>42970</c:v>
                </c:pt>
                <c:pt idx="216">
                  <c:v>42971</c:v>
                </c:pt>
                <c:pt idx="217">
                  <c:v>42972</c:v>
                </c:pt>
                <c:pt idx="218">
                  <c:v>42975</c:v>
                </c:pt>
                <c:pt idx="219">
                  <c:v>42976</c:v>
                </c:pt>
                <c:pt idx="220">
                  <c:v>42977</c:v>
                </c:pt>
                <c:pt idx="221">
                  <c:v>42978</c:v>
                </c:pt>
                <c:pt idx="222">
                  <c:v>42979</c:v>
                </c:pt>
                <c:pt idx="223">
                  <c:v>42982</c:v>
                </c:pt>
                <c:pt idx="224">
                  <c:v>42983</c:v>
                </c:pt>
                <c:pt idx="225">
                  <c:v>42984</c:v>
                </c:pt>
                <c:pt idx="226">
                  <c:v>42985</c:v>
                </c:pt>
                <c:pt idx="227">
                  <c:v>42986</c:v>
                </c:pt>
                <c:pt idx="228">
                  <c:v>42989</c:v>
                </c:pt>
                <c:pt idx="229">
                  <c:v>42990</c:v>
                </c:pt>
                <c:pt idx="230">
                  <c:v>42991</c:v>
                </c:pt>
                <c:pt idx="231">
                  <c:v>42992</c:v>
                </c:pt>
                <c:pt idx="232">
                  <c:v>42993</c:v>
                </c:pt>
                <c:pt idx="233">
                  <c:v>42996</c:v>
                </c:pt>
                <c:pt idx="234">
                  <c:v>42997</c:v>
                </c:pt>
                <c:pt idx="235">
                  <c:v>42998</c:v>
                </c:pt>
                <c:pt idx="236">
                  <c:v>42999</c:v>
                </c:pt>
                <c:pt idx="237">
                  <c:v>43000</c:v>
                </c:pt>
                <c:pt idx="238">
                  <c:v>43003</c:v>
                </c:pt>
                <c:pt idx="239">
                  <c:v>43004</c:v>
                </c:pt>
                <c:pt idx="240">
                  <c:v>43005</c:v>
                </c:pt>
                <c:pt idx="241">
                  <c:v>43006</c:v>
                </c:pt>
                <c:pt idx="242">
                  <c:v>43007</c:v>
                </c:pt>
                <c:pt idx="243">
                  <c:v>43010</c:v>
                </c:pt>
                <c:pt idx="244">
                  <c:v>43011</c:v>
                </c:pt>
                <c:pt idx="245">
                  <c:v>43012</c:v>
                </c:pt>
                <c:pt idx="246">
                  <c:v>43013</c:v>
                </c:pt>
                <c:pt idx="247">
                  <c:v>43014</c:v>
                </c:pt>
                <c:pt idx="248">
                  <c:v>43017</c:v>
                </c:pt>
                <c:pt idx="249">
                  <c:v>43018</c:v>
                </c:pt>
                <c:pt idx="250">
                  <c:v>43019</c:v>
                </c:pt>
                <c:pt idx="251">
                  <c:v>43020</c:v>
                </c:pt>
                <c:pt idx="252">
                  <c:v>43021</c:v>
                </c:pt>
                <c:pt idx="253">
                  <c:v>43024</c:v>
                </c:pt>
                <c:pt idx="254">
                  <c:v>43025</c:v>
                </c:pt>
                <c:pt idx="255">
                  <c:v>43026</c:v>
                </c:pt>
                <c:pt idx="256">
                  <c:v>43027</c:v>
                </c:pt>
                <c:pt idx="257">
                  <c:v>43028</c:v>
                </c:pt>
              </c:numCache>
            </c:numRef>
          </c:cat>
          <c:val>
            <c:numRef>
              <c:f>'ΣΤΟΙΧΕΙΑ ΓΙΑ ΠΡΟΥΠ 2018'!$F$3:$F$774</c:f>
              <c:numCache>
                <c:formatCode>General</c:formatCode>
                <c:ptCount val="258"/>
                <c:pt idx="0">
                  <c:v>1.369</c:v>
                </c:pt>
                <c:pt idx="1">
                  <c:v>1.3740000000000001</c:v>
                </c:pt>
                <c:pt idx="2">
                  <c:v>1.391</c:v>
                </c:pt>
                <c:pt idx="3">
                  <c:v>1.383</c:v>
                </c:pt>
                <c:pt idx="4">
                  <c:v>1.458</c:v>
                </c:pt>
                <c:pt idx="5">
                  <c:v>1.5309999999999968</c:v>
                </c:pt>
                <c:pt idx="6">
                  <c:v>1.585</c:v>
                </c:pt>
                <c:pt idx="7">
                  <c:v>1.663</c:v>
                </c:pt>
                <c:pt idx="8">
                  <c:v>1.752</c:v>
                </c:pt>
                <c:pt idx="9">
                  <c:v>1.6639999999999968</c:v>
                </c:pt>
                <c:pt idx="10">
                  <c:v>1.6940000000000028</c:v>
                </c:pt>
                <c:pt idx="11">
                  <c:v>1.754</c:v>
                </c:pt>
                <c:pt idx="12">
                  <c:v>1.706</c:v>
                </c:pt>
                <c:pt idx="13">
                  <c:v>1.7209999999999968</c:v>
                </c:pt>
                <c:pt idx="14">
                  <c:v>1.7529999999999968</c:v>
                </c:pt>
                <c:pt idx="15">
                  <c:v>1.897</c:v>
                </c:pt>
                <c:pt idx="16">
                  <c:v>2.02</c:v>
                </c:pt>
                <c:pt idx="17">
                  <c:v>2.0789999999999997</c:v>
                </c:pt>
                <c:pt idx="18">
                  <c:v>1.9630000000000001</c:v>
                </c:pt>
                <c:pt idx="19">
                  <c:v>2.0329999999999977</c:v>
                </c:pt>
                <c:pt idx="20">
                  <c:v>2.0939999999999999</c:v>
                </c:pt>
                <c:pt idx="21">
                  <c:v>2.093</c:v>
                </c:pt>
                <c:pt idx="22">
                  <c:v>2.0699999999999998</c:v>
                </c:pt>
                <c:pt idx="23">
                  <c:v>2.0249999999999999</c:v>
                </c:pt>
                <c:pt idx="24">
                  <c:v>2.117</c:v>
                </c:pt>
                <c:pt idx="25">
                  <c:v>2.1309999999999998</c:v>
                </c:pt>
                <c:pt idx="26">
                  <c:v>2.0880000000000001</c:v>
                </c:pt>
                <c:pt idx="27">
                  <c:v>2.0680000000000001</c:v>
                </c:pt>
                <c:pt idx="28">
                  <c:v>1.9440000000000028</c:v>
                </c:pt>
                <c:pt idx="29">
                  <c:v>1.9880000000000031</c:v>
                </c:pt>
                <c:pt idx="30">
                  <c:v>2.0499999999999998</c:v>
                </c:pt>
                <c:pt idx="31">
                  <c:v>1.9019999999999968</c:v>
                </c:pt>
                <c:pt idx="32">
                  <c:v>1.9840000000000031</c:v>
                </c:pt>
                <c:pt idx="33">
                  <c:v>1.9430000000000001</c:v>
                </c:pt>
                <c:pt idx="34">
                  <c:v>1.887</c:v>
                </c:pt>
                <c:pt idx="35">
                  <c:v>1.9970000000000001</c:v>
                </c:pt>
                <c:pt idx="36">
                  <c:v>2.04</c:v>
                </c:pt>
                <c:pt idx="37">
                  <c:v>1.9950000000000001</c:v>
                </c:pt>
                <c:pt idx="38">
                  <c:v>1.8740000000000001</c:v>
                </c:pt>
                <c:pt idx="39">
                  <c:v>1.794999999999997</c:v>
                </c:pt>
                <c:pt idx="40">
                  <c:v>1.8260000000000001</c:v>
                </c:pt>
                <c:pt idx="41">
                  <c:v>1.873</c:v>
                </c:pt>
                <c:pt idx="42">
                  <c:v>1.819</c:v>
                </c:pt>
                <c:pt idx="43">
                  <c:v>1.839</c:v>
                </c:pt>
                <c:pt idx="44">
                  <c:v>1.8220000000000001</c:v>
                </c:pt>
                <c:pt idx="45">
                  <c:v>1.8520000000000001</c:v>
                </c:pt>
                <c:pt idx="46">
                  <c:v>1.8220000000000001</c:v>
                </c:pt>
                <c:pt idx="47">
                  <c:v>1.8460000000000001</c:v>
                </c:pt>
                <c:pt idx="48">
                  <c:v>1.8120000000000001</c:v>
                </c:pt>
                <c:pt idx="49">
                  <c:v>1.794999999999997</c:v>
                </c:pt>
                <c:pt idx="50">
                  <c:v>1.8149999999999971</c:v>
                </c:pt>
                <c:pt idx="51">
                  <c:v>1.742999999999997</c:v>
                </c:pt>
                <c:pt idx="52">
                  <c:v>1.865</c:v>
                </c:pt>
                <c:pt idx="53">
                  <c:v>1.869</c:v>
                </c:pt>
                <c:pt idx="54">
                  <c:v>1.931</c:v>
                </c:pt>
                <c:pt idx="55">
                  <c:v>1.9610000000000001</c:v>
                </c:pt>
                <c:pt idx="56">
                  <c:v>1.893</c:v>
                </c:pt>
                <c:pt idx="57">
                  <c:v>1.913</c:v>
                </c:pt>
                <c:pt idx="58">
                  <c:v>1.8660000000000001</c:v>
                </c:pt>
                <c:pt idx="59">
                  <c:v>1.893</c:v>
                </c:pt>
                <c:pt idx="60">
                  <c:v>1.8959999999999968</c:v>
                </c:pt>
                <c:pt idx="61">
                  <c:v>1.9119999999999968</c:v>
                </c:pt>
                <c:pt idx="62">
                  <c:v>1.915</c:v>
                </c:pt>
                <c:pt idx="63">
                  <c:v>1.9610000000000001</c:v>
                </c:pt>
                <c:pt idx="64">
                  <c:v>1.9890000000000001</c:v>
                </c:pt>
                <c:pt idx="65">
                  <c:v>2.0230000000000001</c:v>
                </c:pt>
                <c:pt idx="66">
                  <c:v>1.9910000000000001</c:v>
                </c:pt>
                <c:pt idx="67">
                  <c:v>2.0430000000000001</c:v>
                </c:pt>
                <c:pt idx="68">
                  <c:v>2.1109999999999998</c:v>
                </c:pt>
                <c:pt idx="69">
                  <c:v>2.234</c:v>
                </c:pt>
                <c:pt idx="70">
                  <c:v>2.2269999999999999</c:v>
                </c:pt>
                <c:pt idx="71">
                  <c:v>2.3279999999999998</c:v>
                </c:pt>
                <c:pt idx="72">
                  <c:v>2.262</c:v>
                </c:pt>
                <c:pt idx="73">
                  <c:v>2.3129999999999944</c:v>
                </c:pt>
                <c:pt idx="74">
                  <c:v>2.234</c:v>
                </c:pt>
                <c:pt idx="75">
                  <c:v>2.2650000000000001</c:v>
                </c:pt>
                <c:pt idx="76">
                  <c:v>2.3759999999999977</c:v>
                </c:pt>
                <c:pt idx="77">
                  <c:v>2.367</c:v>
                </c:pt>
                <c:pt idx="78">
                  <c:v>2.246</c:v>
                </c:pt>
                <c:pt idx="79">
                  <c:v>2.173</c:v>
                </c:pt>
                <c:pt idx="80">
                  <c:v>2.2709999999999999</c:v>
                </c:pt>
                <c:pt idx="81">
                  <c:v>2.2250000000000001</c:v>
                </c:pt>
                <c:pt idx="82">
                  <c:v>2.2330000000000001</c:v>
                </c:pt>
                <c:pt idx="83">
                  <c:v>2.242</c:v>
                </c:pt>
                <c:pt idx="84">
                  <c:v>2.1559999999999997</c:v>
                </c:pt>
                <c:pt idx="85">
                  <c:v>2.19</c:v>
                </c:pt>
                <c:pt idx="86">
                  <c:v>2.1840000000000002</c:v>
                </c:pt>
                <c:pt idx="87">
                  <c:v>2.2469999999999999</c:v>
                </c:pt>
                <c:pt idx="88">
                  <c:v>2.194</c:v>
                </c:pt>
                <c:pt idx="89">
                  <c:v>2.2250000000000001</c:v>
                </c:pt>
                <c:pt idx="90">
                  <c:v>2.1949999999999998</c:v>
                </c:pt>
                <c:pt idx="91">
                  <c:v>2.1339999999999999</c:v>
                </c:pt>
                <c:pt idx="92">
                  <c:v>2.0859999999999999</c:v>
                </c:pt>
                <c:pt idx="93">
                  <c:v>2.1240000000000001</c:v>
                </c:pt>
                <c:pt idx="94">
                  <c:v>2.1389999999999998</c:v>
                </c:pt>
                <c:pt idx="95">
                  <c:v>2.1</c:v>
                </c:pt>
                <c:pt idx="96">
                  <c:v>2.165</c:v>
                </c:pt>
                <c:pt idx="97">
                  <c:v>2.1919999999999997</c:v>
                </c:pt>
                <c:pt idx="98">
                  <c:v>2.254</c:v>
                </c:pt>
                <c:pt idx="99">
                  <c:v>2.3119999999999967</c:v>
                </c:pt>
                <c:pt idx="100">
                  <c:v>2.367</c:v>
                </c:pt>
                <c:pt idx="101">
                  <c:v>2.363</c:v>
                </c:pt>
                <c:pt idx="102">
                  <c:v>2.3409999999999997</c:v>
                </c:pt>
                <c:pt idx="103">
                  <c:v>2.3019999999999987</c:v>
                </c:pt>
                <c:pt idx="104">
                  <c:v>2.3659999999999997</c:v>
                </c:pt>
                <c:pt idx="105">
                  <c:v>2.3569999999999967</c:v>
                </c:pt>
                <c:pt idx="106">
                  <c:v>2.363</c:v>
                </c:pt>
                <c:pt idx="107">
                  <c:v>2.3189999999999977</c:v>
                </c:pt>
                <c:pt idx="108">
                  <c:v>2.262</c:v>
                </c:pt>
                <c:pt idx="109">
                  <c:v>2.2719999999999998</c:v>
                </c:pt>
                <c:pt idx="110">
                  <c:v>2.2240000000000002</c:v>
                </c:pt>
                <c:pt idx="111">
                  <c:v>2.1970000000000001</c:v>
                </c:pt>
                <c:pt idx="112">
                  <c:v>2.161</c:v>
                </c:pt>
                <c:pt idx="113">
                  <c:v>2.137</c:v>
                </c:pt>
                <c:pt idx="114">
                  <c:v>2.1480000000000001</c:v>
                </c:pt>
                <c:pt idx="115">
                  <c:v>2.3179999999999987</c:v>
                </c:pt>
                <c:pt idx="116">
                  <c:v>2.323</c:v>
                </c:pt>
                <c:pt idx="117">
                  <c:v>2.2759999999999998</c:v>
                </c:pt>
                <c:pt idx="118">
                  <c:v>2.2709999999999999</c:v>
                </c:pt>
                <c:pt idx="119">
                  <c:v>2.27</c:v>
                </c:pt>
                <c:pt idx="120">
                  <c:v>2.2200000000000002</c:v>
                </c:pt>
                <c:pt idx="121">
                  <c:v>2.2410000000000001</c:v>
                </c:pt>
                <c:pt idx="122">
                  <c:v>2.2810000000000001</c:v>
                </c:pt>
                <c:pt idx="123">
                  <c:v>2.2999999999999998</c:v>
                </c:pt>
                <c:pt idx="124">
                  <c:v>2.3169999999999944</c:v>
                </c:pt>
                <c:pt idx="125">
                  <c:v>2.2610000000000001</c:v>
                </c:pt>
                <c:pt idx="126">
                  <c:v>2.2759999999999998</c:v>
                </c:pt>
                <c:pt idx="127">
                  <c:v>2.2680000000000002</c:v>
                </c:pt>
                <c:pt idx="128">
                  <c:v>2.262</c:v>
                </c:pt>
                <c:pt idx="129">
                  <c:v>2.181</c:v>
                </c:pt>
                <c:pt idx="130">
                  <c:v>2.266</c:v>
                </c:pt>
                <c:pt idx="131">
                  <c:v>2.3119999999999967</c:v>
                </c:pt>
                <c:pt idx="132">
                  <c:v>2.2440000000000002</c:v>
                </c:pt>
                <c:pt idx="133">
                  <c:v>2.282</c:v>
                </c:pt>
                <c:pt idx="134">
                  <c:v>2.3069999999999977</c:v>
                </c:pt>
                <c:pt idx="135">
                  <c:v>2.2610000000000001</c:v>
                </c:pt>
                <c:pt idx="136">
                  <c:v>2.2530000000000001</c:v>
                </c:pt>
                <c:pt idx="137">
                  <c:v>2.165</c:v>
                </c:pt>
                <c:pt idx="138">
                  <c:v>2.2429999999999999</c:v>
                </c:pt>
                <c:pt idx="139">
                  <c:v>2.2810000000000001</c:v>
                </c:pt>
                <c:pt idx="140">
                  <c:v>2.25</c:v>
                </c:pt>
                <c:pt idx="141">
                  <c:v>2.294</c:v>
                </c:pt>
                <c:pt idx="142">
                  <c:v>2.2519999999999998</c:v>
                </c:pt>
                <c:pt idx="143">
                  <c:v>2.2770000000000001</c:v>
                </c:pt>
                <c:pt idx="144">
                  <c:v>2.2370000000000001</c:v>
                </c:pt>
                <c:pt idx="145">
                  <c:v>2.1549999999999998</c:v>
                </c:pt>
                <c:pt idx="146">
                  <c:v>2.1480000000000001</c:v>
                </c:pt>
                <c:pt idx="147">
                  <c:v>2.137</c:v>
                </c:pt>
                <c:pt idx="148">
                  <c:v>2.1379999999999999</c:v>
                </c:pt>
                <c:pt idx="149">
                  <c:v>2.1219999999999999</c:v>
                </c:pt>
                <c:pt idx="150">
                  <c:v>2.137</c:v>
                </c:pt>
                <c:pt idx="151">
                  <c:v>2.1189999999999998</c:v>
                </c:pt>
                <c:pt idx="152">
                  <c:v>2.1</c:v>
                </c:pt>
                <c:pt idx="153">
                  <c:v>2.1819999999999999</c:v>
                </c:pt>
                <c:pt idx="154">
                  <c:v>2.1800000000000002</c:v>
                </c:pt>
                <c:pt idx="155">
                  <c:v>2.2029999999999998</c:v>
                </c:pt>
                <c:pt idx="156">
                  <c:v>2.2559999999999998</c:v>
                </c:pt>
                <c:pt idx="157">
                  <c:v>2.2610000000000001</c:v>
                </c:pt>
                <c:pt idx="158">
                  <c:v>2.274</c:v>
                </c:pt>
                <c:pt idx="159">
                  <c:v>2.2559999999999998</c:v>
                </c:pt>
                <c:pt idx="160">
                  <c:v>2.2999999999999998</c:v>
                </c:pt>
                <c:pt idx="161">
                  <c:v>2.1779999999999999</c:v>
                </c:pt>
                <c:pt idx="162">
                  <c:v>2.0870000000000002</c:v>
                </c:pt>
                <c:pt idx="163">
                  <c:v>2.02</c:v>
                </c:pt>
                <c:pt idx="164">
                  <c:v>1.9810000000000001</c:v>
                </c:pt>
                <c:pt idx="165">
                  <c:v>1.9390000000000001</c:v>
                </c:pt>
                <c:pt idx="166">
                  <c:v>1.9670000000000001</c:v>
                </c:pt>
                <c:pt idx="167">
                  <c:v>1.9860000000000031</c:v>
                </c:pt>
                <c:pt idx="168">
                  <c:v>1.9540000000000028</c:v>
                </c:pt>
                <c:pt idx="169">
                  <c:v>1.909</c:v>
                </c:pt>
                <c:pt idx="170">
                  <c:v>1.907</c:v>
                </c:pt>
                <c:pt idx="171">
                  <c:v>1.907</c:v>
                </c:pt>
                <c:pt idx="172">
                  <c:v>1.9159999999999968</c:v>
                </c:pt>
                <c:pt idx="173">
                  <c:v>1.899</c:v>
                </c:pt>
                <c:pt idx="174">
                  <c:v>2.06</c:v>
                </c:pt>
                <c:pt idx="175">
                  <c:v>2.0319999999999987</c:v>
                </c:pt>
                <c:pt idx="176">
                  <c:v>2.1519999999999997</c:v>
                </c:pt>
                <c:pt idx="177">
                  <c:v>2.1579999999999999</c:v>
                </c:pt>
                <c:pt idx="178">
                  <c:v>2.1349999999999998</c:v>
                </c:pt>
                <c:pt idx="179">
                  <c:v>2.1119999999999997</c:v>
                </c:pt>
                <c:pt idx="180">
                  <c:v>2.1589999999999998</c:v>
                </c:pt>
                <c:pt idx="181">
                  <c:v>2.2680000000000002</c:v>
                </c:pt>
                <c:pt idx="182">
                  <c:v>2.343</c:v>
                </c:pt>
                <c:pt idx="183">
                  <c:v>2.2799999999999998</c:v>
                </c:pt>
                <c:pt idx="184">
                  <c:v>2.3249999999999997</c:v>
                </c:pt>
                <c:pt idx="185">
                  <c:v>2.2589999999999999</c:v>
                </c:pt>
                <c:pt idx="186">
                  <c:v>2.3309999999999977</c:v>
                </c:pt>
                <c:pt idx="187">
                  <c:v>2.29</c:v>
                </c:pt>
                <c:pt idx="188">
                  <c:v>2.2370000000000001</c:v>
                </c:pt>
                <c:pt idx="189">
                  <c:v>2.194</c:v>
                </c:pt>
                <c:pt idx="190">
                  <c:v>2.1930000000000001</c:v>
                </c:pt>
                <c:pt idx="191">
                  <c:v>2.1139999999999999</c:v>
                </c:pt>
                <c:pt idx="192">
                  <c:v>2.0719999999999987</c:v>
                </c:pt>
                <c:pt idx="193">
                  <c:v>2.0549999999999997</c:v>
                </c:pt>
                <c:pt idx="194">
                  <c:v>2.1459999999999999</c:v>
                </c:pt>
                <c:pt idx="195">
                  <c:v>2.129</c:v>
                </c:pt>
                <c:pt idx="196">
                  <c:v>2.0949999999999998</c:v>
                </c:pt>
                <c:pt idx="197">
                  <c:v>2.1219999999999999</c:v>
                </c:pt>
                <c:pt idx="198">
                  <c:v>2.0939999999999999</c:v>
                </c:pt>
                <c:pt idx="199">
                  <c:v>2.0189999999999997</c:v>
                </c:pt>
                <c:pt idx="200">
                  <c:v>2.0149999999999997</c:v>
                </c:pt>
                <c:pt idx="201">
                  <c:v>1.9880000000000031</c:v>
                </c:pt>
                <c:pt idx="202">
                  <c:v>2.0219999999999998</c:v>
                </c:pt>
                <c:pt idx="203">
                  <c:v>1.9940000000000031</c:v>
                </c:pt>
                <c:pt idx="204">
                  <c:v>2.0049999999999999</c:v>
                </c:pt>
                <c:pt idx="205">
                  <c:v>2.0129999999999977</c:v>
                </c:pt>
                <c:pt idx="206">
                  <c:v>2.0349999999999997</c:v>
                </c:pt>
                <c:pt idx="207">
                  <c:v>2.0309999999999997</c:v>
                </c:pt>
                <c:pt idx="208">
                  <c:v>2.0219999999999998</c:v>
                </c:pt>
                <c:pt idx="209">
                  <c:v>2.048</c:v>
                </c:pt>
                <c:pt idx="210">
                  <c:v>2.0470000000000002</c:v>
                </c:pt>
                <c:pt idx="211">
                  <c:v>2.0289999999999999</c:v>
                </c:pt>
                <c:pt idx="212">
                  <c:v>2.0329999999999977</c:v>
                </c:pt>
                <c:pt idx="213">
                  <c:v>2.0329999999999977</c:v>
                </c:pt>
                <c:pt idx="214">
                  <c:v>2.1019999999999999</c:v>
                </c:pt>
                <c:pt idx="215">
                  <c:v>2.12</c:v>
                </c:pt>
                <c:pt idx="216">
                  <c:v>2.1119999999999997</c:v>
                </c:pt>
                <c:pt idx="217">
                  <c:v>2.101</c:v>
                </c:pt>
                <c:pt idx="218">
                  <c:v>2.0819999999999999</c:v>
                </c:pt>
                <c:pt idx="219">
                  <c:v>2.0659999999999998</c:v>
                </c:pt>
                <c:pt idx="220">
                  <c:v>2.0779999999999998</c:v>
                </c:pt>
                <c:pt idx="221">
                  <c:v>2.0449999999999999</c:v>
                </c:pt>
                <c:pt idx="222">
                  <c:v>2.077</c:v>
                </c:pt>
                <c:pt idx="223">
                  <c:v>2.0379999999999998</c:v>
                </c:pt>
                <c:pt idx="224">
                  <c:v>1.9990000000000001</c:v>
                </c:pt>
                <c:pt idx="225">
                  <c:v>2.0270000000000001</c:v>
                </c:pt>
                <c:pt idx="226">
                  <c:v>1.923999999999997</c:v>
                </c:pt>
                <c:pt idx="227">
                  <c:v>1.9590000000000001</c:v>
                </c:pt>
                <c:pt idx="228">
                  <c:v>1.9680000000000029</c:v>
                </c:pt>
                <c:pt idx="229">
                  <c:v>2.0249999999999999</c:v>
                </c:pt>
                <c:pt idx="230">
                  <c:v>2.04</c:v>
                </c:pt>
                <c:pt idx="231">
                  <c:v>2.0589999999999997</c:v>
                </c:pt>
                <c:pt idx="232">
                  <c:v>2.0779999999999998</c:v>
                </c:pt>
                <c:pt idx="233">
                  <c:v>2.0579999999999998</c:v>
                </c:pt>
                <c:pt idx="234">
                  <c:v>2.048</c:v>
                </c:pt>
                <c:pt idx="235">
                  <c:v>2.0709999999999997</c:v>
                </c:pt>
                <c:pt idx="236">
                  <c:v>2.11</c:v>
                </c:pt>
                <c:pt idx="237">
                  <c:v>2.1070000000000002</c:v>
                </c:pt>
                <c:pt idx="238">
                  <c:v>2.1070000000000002</c:v>
                </c:pt>
                <c:pt idx="239">
                  <c:v>2.1230000000000002</c:v>
                </c:pt>
                <c:pt idx="240">
                  <c:v>2.1509999999999998</c:v>
                </c:pt>
                <c:pt idx="241">
                  <c:v>2.1219999999999999</c:v>
                </c:pt>
                <c:pt idx="242">
                  <c:v>2.1109999999999998</c:v>
                </c:pt>
                <c:pt idx="243">
                  <c:v>2.1559999999999997</c:v>
                </c:pt>
                <c:pt idx="244">
                  <c:v>2.1659999999999999</c:v>
                </c:pt>
                <c:pt idx="245">
                  <c:v>2.1949999999999998</c:v>
                </c:pt>
                <c:pt idx="246">
                  <c:v>2.15</c:v>
                </c:pt>
                <c:pt idx="247">
                  <c:v>2.1469999999999998</c:v>
                </c:pt>
                <c:pt idx="248">
                  <c:v>2.1139999999999999</c:v>
                </c:pt>
                <c:pt idx="249">
                  <c:v>2.1269999999999998</c:v>
                </c:pt>
                <c:pt idx="250">
                  <c:v>2.1629999999999998</c:v>
                </c:pt>
                <c:pt idx="251">
                  <c:v>2.1179999999999999</c:v>
                </c:pt>
                <c:pt idx="252">
                  <c:v>2.0840000000000001</c:v>
                </c:pt>
                <c:pt idx="253">
                  <c:v>2.0349999999999997</c:v>
                </c:pt>
                <c:pt idx="254">
                  <c:v>2</c:v>
                </c:pt>
                <c:pt idx="255">
                  <c:v>2.0409999999999999</c:v>
                </c:pt>
                <c:pt idx="256">
                  <c:v>2.0289999999999999</c:v>
                </c:pt>
                <c:pt idx="257">
                  <c:v>2.048</c:v>
                </c:pt>
              </c:numCache>
            </c:numRef>
          </c:val>
          <c:extLst xmlns:c16r2="http://schemas.microsoft.com/office/drawing/2015/06/chart">
            <c:ext xmlns:c16="http://schemas.microsoft.com/office/drawing/2014/chart" uri="{C3380CC4-5D6E-409C-BE32-E72D297353CC}">
              <c16:uniqueId val="{00000004-6E98-477D-BB83-D48883701F52}"/>
            </c:ext>
          </c:extLst>
        </c:ser>
        <c:ser>
          <c:idx val="5"/>
          <c:order val="5"/>
          <c:tx>
            <c:strRef>
              <c:f>'ΣΤΟΙΧΕΙΑ ΓΙΑ ΠΡΟΥΠ 2018'!$G$2</c:f>
              <c:strCache>
                <c:ptCount val="1"/>
                <c:pt idx="0">
                  <c:v>ΠΟΡΤΟΓΑΛΙΑ</c:v>
                </c:pt>
              </c:strCache>
            </c:strRef>
          </c:tx>
          <c:spPr>
            <a:ln>
              <a:solidFill>
                <a:srgbClr val="00B050"/>
              </a:solidFill>
            </a:ln>
          </c:spPr>
          <c:marker>
            <c:symbol val="none"/>
          </c:marker>
          <c:cat>
            <c:numRef>
              <c:f>'ΣΤΟΙΧΕΙΑ ΓΙΑ ΠΡΟΥΠ 2018'!$A$3:$A$774</c:f>
              <c:numCache>
                <c:formatCode>d/m/yyyy</c:formatCode>
                <c:ptCount val="258"/>
                <c:pt idx="0">
                  <c:v>42663</c:v>
                </c:pt>
                <c:pt idx="1">
                  <c:v>42664</c:v>
                </c:pt>
                <c:pt idx="2">
                  <c:v>42667</c:v>
                </c:pt>
                <c:pt idx="3">
                  <c:v>42668</c:v>
                </c:pt>
                <c:pt idx="4">
                  <c:v>42669</c:v>
                </c:pt>
                <c:pt idx="5">
                  <c:v>42670</c:v>
                </c:pt>
                <c:pt idx="6">
                  <c:v>42671</c:v>
                </c:pt>
                <c:pt idx="7">
                  <c:v>42674</c:v>
                </c:pt>
                <c:pt idx="8">
                  <c:v>42675</c:v>
                </c:pt>
                <c:pt idx="9">
                  <c:v>42676</c:v>
                </c:pt>
                <c:pt idx="10">
                  <c:v>42677</c:v>
                </c:pt>
                <c:pt idx="11">
                  <c:v>42678</c:v>
                </c:pt>
                <c:pt idx="12">
                  <c:v>42681</c:v>
                </c:pt>
                <c:pt idx="13">
                  <c:v>42682</c:v>
                </c:pt>
                <c:pt idx="14">
                  <c:v>42683</c:v>
                </c:pt>
                <c:pt idx="15">
                  <c:v>42684</c:v>
                </c:pt>
                <c:pt idx="16">
                  <c:v>42685</c:v>
                </c:pt>
                <c:pt idx="17">
                  <c:v>42688</c:v>
                </c:pt>
                <c:pt idx="18">
                  <c:v>42689</c:v>
                </c:pt>
                <c:pt idx="19">
                  <c:v>42690</c:v>
                </c:pt>
                <c:pt idx="20">
                  <c:v>42691</c:v>
                </c:pt>
                <c:pt idx="21">
                  <c:v>42692</c:v>
                </c:pt>
                <c:pt idx="22">
                  <c:v>42695</c:v>
                </c:pt>
                <c:pt idx="23">
                  <c:v>42696</c:v>
                </c:pt>
                <c:pt idx="24">
                  <c:v>42697</c:v>
                </c:pt>
                <c:pt idx="25">
                  <c:v>42698</c:v>
                </c:pt>
                <c:pt idx="26">
                  <c:v>42699</c:v>
                </c:pt>
                <c:pt idx="27">
                  <c:v>42702</c:v>
                </c:pt>
                <c:pt idx="28">
                  <c:v>42703</c:v>
                </c:pt>
                <c:pt idx="29">
                  <c:v>42704</c:v>
                </c:pt>
                <c:pt idx="30">
                  <c:v>42705</c:v>
                </c:pt>
                <c:pt idx="31">
                  <c:v>42706</c:v>
                </c:pt>
                <c:pt idx="32">
                  <c:v>42709</c:v>
                </c:pt>
                <c:pt idx="33">
                  <c:v>42710</c:v>
                </c:pt>
                <c:pt idx="34">
                  <c:v>42711</c:v>
                </c:pt>
                <c:pt idx="35">
                  <c:v>42712</c:v>
                </c:pt>
                <c:pt idx="36">
                  <c:v>42713</c:v>
                </c:pt>
                <c:pt idx="37">
                  <c:v>42716</c:v>
                </c:pt>
                <c:pt idx="38">
                  <c:v>42717</c:v>
                </c:pt>
                <c:pt idx="39">
                  <c:v>42718</c:v>
                </c:pt>
                <c:pt idx="40">
                  <c:v>42719</c:v>
                </c:pt>
                <c:pt idx="41">
                  <c:v>42720</c:v>
                </c:pt>
                <c:pt idx="42">
                  <c:v>42723</c:v>
                </c:pt>
                <c:pt idx="43">
                  <c:v>42724</c:v>
                </c:pt>
                <c:pt idx="44">
                  <c:v>42725</c:v>
                </c:pt>
                <c:pt idx="45">
                  <c:v>42726</c:v>
                </c:pt>
                <c:pt idx="46">
                  <c:v>42727</c:v>
                </c:pt>
                <c:pt idx="47">
                  <c:v>42731</c:v>
                </c:pt>
                <c:pt idx="48">
                  <c:v>42732</c:v>
                </c:pt>
                <c:pt idx="49">
                  <c:v>42733</c:v>
                </c:pt>
                <c:pt idx="50">
                  <c:v>42734</c:v>
                </c:pt>
                <c:pt idx="51">
                  <c:v>42737</c:v>
                </c:pt>
                <c:pt idx="52">
                  <c:v>42738</c:v>
                </c:pt>
                <c:pt idx="53">
                  <c:v>42739</c:v>
                </c:pt>
                <c:pt idx="54">
                  <c:v>42740</c:v>
                </c:pt>
                <c:pt idx="55">
                  <c:v>42741</c:v>
                </c:pt>
                <c:pt idx="56">
                  <c:v>42744</c:v>
                </c:pt>
                <c:pt idx="57">
                  <c:v>42745</c:v>
                </c:pt>
                <c:pt idx="58">
                  <c:v>42746</c:v>
                </c:pt>
                <c:pt idx="59">
                  <c:v>42747</c:v>
                </c:pt>
                <c:pt idx="60">
                  <c:v>42748</c:v>
                </c:pt>
                <c:pt idx="61">
                  <c:v>42751</c:v>
                </c:pt>
                <c:pt idx="62">
                  <c:v>42752</c:v>
                </c:pt>
                <c:pt idx="63">
                  <c:v>42753</c:v>
                </c:pt>
                <c:pt idx="64">
                  <c:v>42754</c:v>
                </c:pt>
                <c:pt idx="65">
                  <c:v>42755</c:v>
                </c:pt>
                <c:pt idx="66">
                  <c:v>42758</c:v>
                </c:pt>
                <c:pt idx="67">
                  <c:v>42759</c:v>
                </c:pt>
                <c:pt idx="68">
                  <c:v>42760</c:v>
                </c:pt>
                <c:pt idx="69">
                  <c:v>42761</c:v>
                </c:pt>
                <c:pt idx="70">
                  <c:v>42762</c:v>
                </c:pt>
                <c:pt idx="71">
                  <c:v>42765</c:v>
                </c:pt>
                <c:pt idx="72">
                  <c:v>42766</c:v>
                </c:pt>
                <c:pt idx="73">
                  <c:v>42767</c:v>
                </c:pt>
                <c:pt idx="74">
                  <c:v>42768</c:v>
                </c:pt>
                <c:pt idx="75">
                  <c:v>42769</c:v>
                </c:pt>
                <c:pt idx="76">
                  <c:v>42772</c:v>
                </c:pt>
                <c:pt idx="77">
                  <c:v>42773</c:v>
                </c:pt>
                <c:pt idx="78">
                  <c:v>42774</c:v>
                </c:pt>
                <c:pt idx="79">
                  <c:v>42775</c:v>
                </c:pt>
                <c:pt idx="80">
                  <c:v>42776</c:v>
                </c:pt>
                <c:pt idx="81">
                  <c:v>42779</c:v>
                </c:pt>
                <c:pt idx="82">
                  <c:v>42780</c:v>
                </c:pt>
                <c:pt idx="83">
                  <c:v>42781</c:v>
                </c:pt>
                <c:pt idx="84">
                  <c:v>42782</c:v>
                </c:pt>
                <c:pt idx="85">
                  <c:v>42783</c:v>
                </c:pt>
                <c:pt idx="86">
                  <c:v>42786</c:v>
                </c:pt>
                <c:pt idx="87">
                  <c:v>42787</c:v>
                </c:pt>
                <c:pt idx="88">
                  <c:v>42788</c:v>
                </c:pt>
                <c:pt idx="89">
                  <c:v>42789</c:v>
                </c:pt>
                <c:pt idx="90">
                  <c:v>42790</c:v>
                </c:pt>
                <c:pt idx="91">
                  <c:v>42793</c:v>
                </c:pt>
                <c:pt idx="92">
                  <c:v>42794</c:v>
                </c:pt>
                <c:pt idx="93">
                  <c:v>42795</c:v>
                </c:pt>
                <c:pt idx="94">
                  <c:v>42796</c:v>
                </c:pt>
                <c:pt idx="95">
                  <c:v>42797</c:v>
                </c:pt>
                <c:pt idx="96">
                  <c:v>42800</c:v>
                </c:pt>
                <c:pt idx="97">
                  <c:v>42801</c:v>
                </c:pt>
                <c:pt idx="98">
                  <c:v>42802</c:v>
                </c:pt>
                <c:pt idx="99">
                  <c:v>42803</c:v>
                </c:pt>
                <c:pt idx="100">
                  <c:v>42804</c:v>
                </c:pt>
                <c:pt idx="101">
                  <c:v>42807</c:v>
                </c:pt>
                <c:pt idx="102">
                  <c:v>42808</c:v>
                </c:pt>
                <c:pt idx="103">
                  <c:v>42809</c:v>
                </c:pt>
                <c:pt idx="104">
                  <c:v>42810</c:v>
                </c:pt>
                <c:pt idx="105">
                  <c:v>42811</c:v>
                </c:pt>
                <c:pt idx="106">
                  <c:v>42814</c:v>
                </c:pt>
                <c:pt idx="107">
                  <c:v>42815</c:v>
                </c:pt>
                <c:pt idx="108">
                  <c:v>42816</c:v>
                </c:pt>
                <c:pt idx="109">
                  <c:v>42817</c:v>
                </c:pt>
                <c:pt idx="110">
                  <c:v>42818</c:v>
                </c:pt>
                <c:pt idx="111">
                  <c:v>42821</c:v>
                </c:pt>
                <c:pt idx="112">
                  <c:v>42822</c:v>
                </c:pt>
                <c:pt idx="113">
                  <c:v>42823</c:v>
                </c:pt>
                <c:pt idx="114">
                  <c:v>42824</c:v>
                </c:pt>
                <c:pt idx="115">
                  <c:v>42825</c:v>
                </c:pt>
                <c:pt idx="116">
                  <c:v>42828</c:v>
                </c:pt>
                <c:pt idx="117">
                  <c:v>42829</c:v>
                </c:pt>
                <c:pt idx="118">
                  <c:v>42830</c:v>
                </c:pt>
                <c:pt idx="119">
                  <c:v>42831</c:v>
                </c:pt>
                <c:pt idx="120">
                  <c:v>42832</c:v>
                </c:pt>
                <c:pt idx="121">
                  <c:v>42835</c:v>
                </c:pt>
                <c:pt idx="122">
                  <c:v>42836</c:v>
                </c:pt>
                <c:pt idx="123">
                  <c:v>42837</c:v>
                </c:pt>
                <c:pt idx="124">
                  <c:v>42838</c:v>
                </c:pt>
                <c:pt idx="125">
                  <c:v>42843</c:v>
                </c:pt>
                <c:pt idx="126">
                  <c:v>42844</c:v>
                </c:pt>
                <c:pt idx="127">
                  <c:v>42845</c:v>
                </c:pt>
                <c:pt idx="128">
                  <c:v>42846</c:v>
                </c:pt>
                <c:pt idx="129">
                  <c:v>42849</c:v>
                </c:pt>
                <c:pt idx="130">
                  <c:v>42850</c:v>
                </c:pt>
                <c:pt idx="131">
                  <c:v>42851</c:v>
                </c:pt>
                <c:pt idx="132">
                  <c:v>42852</c:v>
                </c:pt>
                <c:pt idx="133">
                  <c:v>42853</c:v>
                </c:pt>
                <c:pt idx="134">
                  <c:v>42857</c:v>
                </c:pt>
                <c:pt idx="135">
                  <c:v>42858</c:v>
                </c:pt>
                <c:pt idx="136">
                  <c:v>42859</c:v>
                </c:pt>
                <c:pt idx="137">
                  <c:v>42860</c:v>
                </c:pt>
                <c:pt idx="138">
                  <c:v>42863</c:v>
                </c:pt>
                <c:pt idx="139">
                  <c:v>42864</c:v>
                </c:pt>
                <c:pt idx="140">
                  <c:v>42865</c:v>
                </c:pt>
                <c:pt idx="141">
                  <c:v>42866</c:v>
                </c:pt>
                <c:pt idx="142">
                  <c:v>42867</c:v>
                </c:pt>
                <c:pt idx="143">
                  <c:v>42870</c:v>
                </c:pt>
                <c:pt idx="144">
                  <c:v>42871</c:v>
                </c:pt>
                <c:pt idx="145">
                  <c:v>42872</c:v>
                </c:pt>
                <c:pt idx="146">
                  <c:v>42873</c:v>
                </c:pt>
                <c:pt idx="147">
                  <c:v>42874</c:v>
                </c:pt>
                <c:pt idx="148">
                  <c:v>42877</c:v>
                </c:pt>
                <c:pt idx="149">
                  <c:v>42878</c:v>
                </c:pt>
                <c:pt idx="150">
                  <c:v>42879</c:v>
                </c:pt>
                <c:pt idx="151">
                  <c:v>42880</c:v>
                </c:pt>
                <c:pt idx="152">
                  <c:v>42881</c:v>
                </c:pt>
                <c:pt idx="153">
                  <c:v>42884</c:v>
                </c:pt>
                <c:pt idx="154">
                  <c:v>42885</c:v>
                </c:pt>
                <c:pt idx="155">
                  <c:v>42886</c:v>
                </c:pt>
                <c:pt idx="156">
                  <c:v>42887</c:v>
                </c:pt>
                <c:pt idx="157">
                  <c:v>42888</c:v>
                </c:pt>
                <c:pt idx="158">
                  <c:v>42891</c:v>
                </c:pt>
                <c:pt idx="159">
                  <c:v>42892</c:v>
                </c:pt>
                <c:pt idx="160">
                  <c:v>42893</c:v>
                </c:pt>
                <c:pt idx="161">
                  <c:v>42894</c:v>
                </c:pt>
                <c:pt idx="162">
                  <c:v>42895</c:v>
                </c:pt>
                <c:pt idx="163">
                  <c:v>42898</c:v>
                </c:pt>
                <c:pt idx="164">
                  <c:v>42899</c:v>
                </c:pt>
                <c:pt idx="165">
                  <c:v>42900</c:v>
                </c:pt>
                <c:pt idx="166">
                  <c:v>42901</c:v>
                </c:pt>
                <c:pt idx="167">
                  <c:v>42902</c:v>
                </c:pt>
                <c:pt idx="168">
                  <c:v>42905</c:v>
                </c:pt>
                <c:pt idx="169">
                  <c:v>42906</c:v>
                </c:pt>
                <c:pt idx="170">
                  <c:v>42907</c:v>
                </c:pt>
                <c:pt idx="171">
                  <c:v>42908</c:v>
                </c:pt>
                <c:pt idx="172">
                  <c:v>42909</c:v>
                </c:pt>
                <c:pt idx="173">
                  <c:v>42912</c:v>
                </c:pt>
                <c:pt idx="174">
                  <c:v>42913</c:v>
                </c:pt>
                <c:pt idx="175">
                  <c:v>42914</c:v>
                </c:pt>
                <c:pt idx="176">
                  <c:v>42915</c:v>
                </c:pt>
                <c:pt idx="177">
                  <c:v>42916</c:v>
                </c:pt>
                <c:pt idx="178">
                  <c:v>42919</c:v>
                </c:pt>
                <c:pt idx="179">
                  <c:v>42920</c:v>
                </c:pt>
                <c:pt idx="180">
                  <c:v>42921</c:v>
                </c:pt>
                <c:pt idx="181">
                  <c:v>42922</c:v>
                </c:pt>
                <c:pt idx="182">
                  <c:v>42923</c:v>
                </c:pt>
                <c:pt idx="183">
                  <c:v>42926</c:v>
                </c:pt>
                <c:pt idx="184">
                  <c:v>42927</c:v>
                </c:pt>
                <c:pt idx="185">
                  <c:v>42928</c:v>
                </c:pt>
                <c:pt idx="186">
                  <c:v>42929</c:v>
                </c:pt>
                <c:pt idx="187">
                  <c:v>42930</c:v>
                </c:pt>
                <c:pt idx="188">
                  <c:v>42933</c:v>
                </c:pt>
                <c:pt idx="189">
                  <c:v>42934</c:v>
                </c:pt>
                <c:pt idx="190">
                  <c:v>42935</c:v>
                </c:pt>
                <c:pt idx="191">
                  <c:v>42936</c:v>
                </c:pt>
                <c:pt idx="192">
                  <c:v>42937</c:v>
                </c:pt>
                <c:pt idx="193">
                  <c:v>42940</c:v>
                </c:pt>
                <c:pt idx="194">
                  <c:v>42941</c:v>
                </c:pt>
                <c:pt idx="195">
                  <c:v>42942</c:v>
                </c:pt>
                <c:pt idx="196">
                  <c:v>42943</c:v>
                </c:pt>
                <c:pt idx="197">
                  <c:v>42944</c:v>
                </c:pt>
                <c:pt idx="198">
                  <c:v>42947</c:v>
                </c:pt>
                <c:pt idx="199">
                  <c:v>42948</c:v>
                </c:pt>
                <c:pt idx="200">
                  <c:v>42949</c:v>
                </c:pt>
                <c:pt idx="201">
                  <c:v>42950</c:v>
                </c:pt>
                <c:pt idx="202">
                  <c:v>42951</c:v>
                </c:pt>
                <c:pt idx="203">
                  <c:v>42954</c:v>
                </c:pt>
                <c:pt idx="204">
                  <c:v>42955</c:v>
                </c:pt>
                <c:pt idx="205">
                  <c:v>42956</c:v>
                </c:pt>
                <c:pt idx="206">
                  <c:v>42957</c:v>
                </c:pt>
                <c:pt idx="207">
                  <c:v>42958</c:v>
                </c:pt>
                <c:pt idx="208">
                  <c:v>42961</c:v>
                </c:pt>
                <c:pt idx="209">
                  <c:v>42962</c:v>
                </c:pt>
                <c:pt idx="210">
                  <c:v>42963</c:v>
                </c:pt>
                <c:pt idx="211">
                  <c:v>42964</c:v>
                </c:pt>
                <c:pt idx="212">
                  <c:v>42965</c:v>
                </c:pt>
                <c:pt idx="213">
                  <c:v>42968</c:v>
                </c:pt>
                <c:pt idx="214">
                  <c:v>42969</c:v>
                </c:pt>
                <c:pt idx="215">
                  <c:v>42970</c:v>
                </c:pt>
                <c:pt idx="216">
                  <c:v>42971</c:v>
                </c:pt>
                <c:pt idx="217">
                  <c:v>42972</c:v>
                </c:pt>
                <c:pt idx="218">
                  <c:v>42975</c:v>
                </c:pt>
                <c:pt idx="219">
                  <c:v>42976</c:v>
                </c:pt>
                <c:pt idx="220">
                  <c:v>42977</c:v>
                </c:pt>
                <c:pt idx="221">
                  <c:v>42978</c:v>
                </c:pt>
                <c:pt idx="222">
                  <c:v>42979</c:v>
                </c:pt>
                <c:pt idx="223">
                  <c:v>42982</c:v>
                </c:pt>
                <c:pt idx="224">
                  <c:v>42983</c:v>
                </c:pt>
                <c:pt idx="225">
                  <c:v>42984</c:v>
                </c:pt>
                <c:pt idx="226">
                  <c:v>42985</c:v>
                </c:pt>
                <c:pt idx="227">
                  <c:v>42986</c:v>
                </c:pt>
                <c:pt idx="228">
                  <c:v>42989</c:v>
                </c:pt>
                <c:pt idx="229">
                  <c:v>42990</c:v>
                </c:pt>
                <c:pt idx="230">
                  <c:v>42991</c:v>
                </c:pt>
                <c:pt idx="231">
                  <c:v>42992</c:v>
                </c:pt>
                <c:pt idx="232">
                  <c:v>42993</c:v>
                </c:pt>
                <c:pt idx="233">
                  <c:v>42996</c:v>
                </c:pt>
                <c:pt idx="234">
                  <c:v>42997</c:v>
                </c:pt>
                <c:pt idx="235">
                  <c:v>42998</c:v>
                </c:pt>
                <c:pt idx="236">
                  <c:v>42999</c:v>
                </c:pt>
                <c:pt idx="237">
                  <c:v>43000</c:v>
                </c:pt>
                <c:pt idx="238">
                  <c:v>43003</c:v>
                </c:pt>
                <c:pt idx="239">
                  <c:v>43004</c:v>
                </c:pt>
                <c:pt idx="240">
                  <c:v>43005</c:v>
                </c:pt>
                <c:pt idx="241">
                  <c:v>43006</c:v>
                </c:pt>
                <c:pt idx="242">
                  <c:v>43007</c:v>
                </c:pt>
                <c:pt idx="243">
                  <c:v>43010</c:v>
                </c:pt>
                <c:pt idx="244">
                  <c:v>43011</c:v>
                </c:pt>
                <c:pt idx="245">
                  <c:v>43012</c:v>
                </c:pt>
                <c:pt idx="246">
                  <c:v>43013</c:v>
                </c:pt>
                <c:pt idx="247">
                  <c:v>43014</c:v>
                </c:pt>
                <c:pt idx="248">
                  <c:v>43017</c:v>
                </c:pt>
                <c:pt idx="249">
                  <c:v>43018</c:v>
                </c:pt>
                <c:pt idx="250">
                  <c:v>43019</c:v>
                </c:pt>
                <c:pt idx="251">
                  <c:v>43020</c:v>
                </c:pt>
                <c:pt idx="252">
                  <c:v>43021</c:v>
                </c:pt>
                <c:pt idx="253">
                  <c:v>43024</c:v>
                </c:pt>
                <c:pt idx="254">
                  <c:v>43025</c:v>
                </c:pt>
                <c:pt idx="255">
                  <c:v>43026</c:v>
                </c:pt>
                <c:pt idx="256">
                  <c:v>43027</c:v>
                </c:pt>
                <c:pt idx="257">
                  <c:v>43028</c:v>
                </c:pt>
              </c:numCache>
            </c:numRef>
          </c:cat>
          <c:val>
            <c:numRef>
              <c:f>'ΣΤΟΙΧΕΙΑ ΓΙΑ ΠΡΟΥΠ 2018'!$G$3:$G$774</c:f>
              <c:numCache>
                <c:formatCode>General</c:formatCode>
                <c:ptCount val="258"/>
                <c:pt idx="0">
                  <c:v>3.2109999999999999</c:v>
                </c:pt>
                <c:pt idx="1">
                  <c:v>3.1919999999999997</c:v>
                </c:pt>
                <c:pt idx="2">
                  <c:v>3.1519999999999997</c:v>
                </c:pt>
                <c:pt idx="3">
                  <c:v>3.1909999999999998</c:v>
                </c:pt>
                <c:pt idx="4">
                  <c:v>3.2069999999999999</c:v>
                </c:pt>
                <c:pt idx="5">
                  <c:v>3.2840000000000011</c:v>
                </c:pt>
                <c:pt idx="6">
                  <c:v>3.3379999999999987</c:v>
                </c:pt>
                <c:pt idx="7">
                  <c:v>3.3179999999999987</c:v>
                </c:pt>
                <c:pt idx="8">
                  <c:v>3.3569999999999967</c:v>
                </c:pt>
                <c:pt idx="9">
                  <c:v>3.242</c:v>
                </c:pt>
                <c:pt idx="10">
                  <c:v>3.2519999999999998</c:v>
                </c:pt>
                <c:pt idx="11">
                  <c:v>3.2909999999999999</c:v>
                </c:pt>
                <c:pt idx="12">
                  <c:v>3.2309999999999999</c:v>
                </c:pt>
                <c:pt idx="13">
                  <c:v>3.222</c:v>
                </c:pt>
                <c:pt idx="14">
                  <c:v>3.282</c:v>
                </c:pt>
                <c:pt idx="15">
                  <c:v>3.3969999999999967</c:v>
                </c:pt>
                <c:pt idx="16">
                  <c:v>3.484</c:v>
                </c:pt>
                <c:pt idx="17">
                  <c:v>3.5409999999999999</c:v>
                </c:pt>
                <c:pt idx="18">
                  <c:v>3.4939999999999998</c:v>
                </c:pt>
                <c:pt idx="19">
                  <c:v>3.673</c:v>
                </c:pt>
                <c:pt idx="20">
                  <c:v>3.742</c:v>
                </c:pt>
                <c:pt idx="21">
                  <c:v>3.8539999999999988</c:v>
                </c:pt>
                <c:pt idx="22">
                  <c:v>3.71</c:v>
                </c:pt>
                <c:pt idx="23">
                  <c:v>3.6280000000000001</c:v>
                </c:pt>
                <c:pt idx="24">
                  <c:v>3.6779999999999999</c:v>
                </c:pt>
                <c:pt idx="25">
                  <c:v>3.6669999999999998</c:v>
                </c:pt>
                <c:pt idx="26">
                  <c:v>3.597</c:v>
                </c:pt>
                <c:pt idx="27">
                  <c:v>3.601</c:v>
                </c:pt>
                <c:pt idx="28">
                  <c:v>3.6159999999999997</c:v>
                </c:pt>
                <c:pt idx="29">
                  <c:v>3.71</c:v>
                </c:pt>
                <c:pt idx="30">
                  <c:v>3.7650000000000001</c:v>
                </c:pt>
                <c:pt idx="31">
                  <c:v>3.6970000000000001</c:v>
                </c:pt>
                <c:pt idx="32">
                  <c:v>3.7029999999999998</c:v>
                </c:pt>
                <c:pt idx="33">
                  <c:v>3.6359999999999997</c:v>
                </c:pt>
                <c:pt idx="34">
                  <c:v>3.5129999999999977</c:v>
                </c:pt>
                <c:pt idx="35">
                  <c:v>3.746</c:v>
                </c:pt>
                <c:pt idx="36">
                  <c:v>3.847</c:v>
                </c:pt>
                <c:pt idx="37">
                  <c:v>3.8309999999999977</c:v>
                </c:pt>
                <c:pt idx="38">
                  <c:v>3.7600000000000002</c:v>
                </c:pt>
                <c:pt idx="39">
                  <c:v>3.7749999999999999</c:v>
                </c:pt>
                <c:pt idx="40">
                  <c:v>3.774</c:v>
                </c:pt>
                <c:pt idx="41">
                  <c:v>3.8019999999999987</c:v>
                </c:pt>
                <c:pt idx="42">
                  <c:v>3.758</c:v>
                </c:pt>
                <c:pt idx="43">
                  <c:v>3.7440000000000002</c:v>
                </c:pt>
                <c:pt idx="44">
                  <c:v>3.77</c:v>
                </c:pt>
                <c:pt idx="45">
                  <c:v>3.8029999999999977</c:v>
                </c:pt>
                <c:pt idx="46">
                  <c:v>3.75</c:v>
                </c:pt>
                <c:pt idx="47">
                  <c:v>3.8139999999999987</c:v>
                </c:pt>
                <c:pt idx="48">
                  <c:v>3.7709999999999999</c:v>
                </c:pt>
                <c:pt idx="49">
                  <c:v>3.754</c:v>
                </c:pt>
                <c:pt idx="50">
                  <c:v>3.7640000000000002</c:v>
                </c:pt>
                <c:pt idx="51">
                  <c:v>3.7050000000000001</c:v>
                </c:pt>
                <c:pt idx="52">
                  <c:v>3.9059999999999997</c:v>
                </c:pt>
                <c:pt idx="53">
                  <c:v>3.8949999999999987</c:v>
                </c:pt>
                <c:pt idx="54">
                  <c:v>4.0309999999999997</c:v>
                </c:pt>
                <c:pt idx="55">
                  <c:v>4.0510000000000002</c:v>
                </c:pt>
                <c:pt idx="56">
                  <c:v>3.9759999999999978</c:v>
                </c:pt>
                <c:pt idx="57">
                  <c:v>4.05</c:v>
                </c:pt>
                <c:pt idx="58">
                  <c:v>3.9739999999999998</c:v>
                </c:pt>
                <c:pt idx="59">
                  <c:v>3.907</c:v>
                </c:pt>
                <c:pt idx="60">
                  <c:v>3.9059999999999997</c:v>
                </c:pt>
                <c:pt idx="61">
                  <c:v>3.8529999999999944</c:v>
                </c:pt>
                <c:pt idx="62">
                  <c:v>3.8439999999999999</c:v>
                </c:pt>
                <c:pt idx="63">
                  <c:v>3.8369999999999944</c:v>
                </c:pt>
                <c:pt idx="64">
                  <c:v>3.8809999999999998</c:v>
                </c:pt>
                <c:pt idx="65">
                  <c:v>3.8719999999999977</c:v>
                </c:pt>
                <c:pt idx="66">
                  <c:v>3.7930000000000001</c:v>
                </c:pt>
                <c:pt idx="67">
                  <c:v>3.8609999999999998</c:v>
                </c:pt>
                <c:pt idx="68">
                  <c:v>3.9849999999999999</c:v>
                </c:pt>
                <c:pt idx="69">
                  <c:v>4.1199999999999966</c:v>
                </c:pt>
                <c:pt idx="70">
                  <c:v>4.141</c:v>
                </c:pt>
                <c:pt idx="71">
                  <c:v>4.2409999999999997</c:v>
                </c:pt>
                <c:pt idx="72">
                  <c:v>4.1909999999999945</c:v>
                </c:pt>
                <c:pt idx="73">
                  <c:v>4.2089999999999996</c:v>
                </c:pt>
                <c:pt idx="74">
                  <c:v>4.1219999999999946</c:v>
                </c:pt>
                <c:pt idx="75">
                  <c:v>4.1719999999999997</c:v>
                </c:pt>
                <c:pt idx="76">
                  <c:v>4.2439999999999998</c:v>
                </c:pt>
                <c:pt idx="77">
                  <c:v>4.24</c:v>
                </c:pt>
                <c:pt idx="78">
                  <c:v>4.114999999999986</c:v>
                </c:pt>
                <c:pt idx="79">
                  <c:v>4.0510000000000002</c:v>
                </c:pt>
                <c:pt idx="80">
                  <c:v>4.114999999999986</c:v>
                </c:pt>
                <c:pt idx="81">
                  <c:v>4.0049999999999955</c:v>
                </c:pt>
                <c:pt idx="82">
                  <c:v>4.0419999999999998</c:v>
                </c:pt>
                <c:pt idx="83">
                  <c:v>4.0869999999999997</c:v>
                </c:pt>
                <c:pt idx="84">
                  <c:v>3.9819999999999998</c:v>
                </c:pt>
                <c:pt idx="85">
                  <c:v>4.0279999999999871</c:v>
                </c:pt>
                <c:pt idx="86">
                  <c:v>3.9899999999999998</c:v>
                </c:pt>
                <c:pt idx="87">
                  <c:v>4.0339999999999998</c:v>
                </c:pt>
                <c:pt idx="88">
                  <c:v>3.9649999999999999</c:v>
                </c:pt>
                <c:pt idx="89">
                  <c:v>3.9699999999999998</c:v>
                </c:pt>
                <c:pt idx="90">
                  <c:v>3.9349999999999987</c:v>
                </c:pt>
                <c:pt idx="91">
                  <c:v>3.8789999999999987</c:v>
                </c:pt>
                <c:pt idx="92">
                  <c:v>3.8769999999999967</c:v>
                </c:pt>
                <c:pt idx="93">
                  <c:v>3.9359999999999977</c:v>
                </c:pt>
                <c:pt idx="94">
                  <c:v>3.9509999999999987</c:v>
                </c:pt>
                <c:pt idx="95">
                  <c:v>3.9389999999999987</c:v>
                </c:pt>
                <c:pt idx="96">
                  <c:v>3.9619999999999997</c:v>
                </c:pt>
                <c:pt idx="97">
                  <c:v>3.9729999999999968</c:v>
                </c:pt>
                <c:pt idx="98">
                  <c:v>3.9859999999999998</c:v>
                </c:pt>
                <c:pt idx="99">
                  <c:v>4.0279999999999871</c:v>
                </c:pt>
                <c:pt idx="100">
                  <c:v>4.056</c:v>
                </c:pt>
                <c:pt idx="101">
                  <c:v>4.0149999999999881</c:v>
                </c:pt>
                <c:pt idx="102">
                  <c:v>3.9659999999999997</c:v>
                </c:pt>
                <c:pt idx="103">
                  <c:v>3.9919999999999987</c:v>
                </c:pt>
                <c:pt idx="104">
                  <c:v>4.2969999999999997</c:v>
                </c:pt>
                <c:pt idx="105">
                  <c:v>4.2859999999999996</c:v>
                </c:pt>
                <c:pt idx="106">
                  <c:v>4.2370000000000001</c:v>
                </c:pt>
                <c:pt idx="107">
                  <c:v>4.2130000000000001</c:v>
                </c:pt>
                <c:pt idx="108">
                  <c:v>4.154999999999986</c:v>
                </c:pt>
                <c:pt idx="109">
                  <c:v>4.1949999999999861</c:v>
                </c:pt>
                <c:pt idx="110">
                  <c:v>4.1319999999999997</c:v>
                </c:pt>
                <c:pt idx="111">
                  <c:v>4.077</c:v>
                </c:pt>
                <c:pt idx="112">
                  <c:v>4.0709999999999997</c:v>
                </c:pt>
                <c:pt idx="113">
                  <c:v>4.0030000000000001</c:v>
                </c:pt>
                <c:pt idx="114">
                  <c:v>3.9499999999999997</c:v>
                </c:pt>
                <c:pt idx="115">
                  <c:v>3.9779999999999998</c:v>
                </c:pt>
                <c:pt idx="116">
                  <c:v>3.9089999999999998</c:v>
                </c:pt>
                <c:pt idx="117">
                  <c:v>3.9259999999999997</c:v>
                </c:pt>
                <c:pt idx="118">
                  <c:v>3.9539999999999997</c:v>
                </c:pt>
                <c:pt idx="119">
                  <c:v>3.9039999999999999</c:v>
                </c:pt>
                <c:pt idx="120">
                  <c:v>3.8649999999999998</c:v>
                </c:pt>
                <c:pt idx="121">
                  <c:v>3.82</c:v>
                </c:pt>
                <c:pt idx="122">
                  <c:v>3.8539999999999988</c:v>
                </c:pt>
                <c:pt idx="123">
                  <c:v>3.8609999999999998</c:v>
                </c:pt>
                <c:pt idx="124">
                  <c:v>3.8849999999999998</c:v>
                </c:pt>
                <c:pt idx="125">
                  <c:v>3.8179999999999987</c:v>
                </c:pt>
                <c:pt idx="126">
                  <c:v>3.8119999999999967</c:v>
                </c:pt>
                <c:pt idx="127">
                  <c:v>3.7770000000000001</c:v>
                </c:pt>
                <c:pt idx="128">
                  <c:v>3.7429999999999999</c:v>
                </c:pt>
                <c:pt idx="129">
                  <c:v>3.5579999999999998</c:v>
                </c:pt>
                <c:pt idx="130">
                  <c:v>3.6059999999999999</c:v>
                </c:pt>
                <c:pt idx="131">
                  <c:v>3.5739999999999998</c:v>
                </c:pt>
                <c:pt idx="132">
                  <c:v>3.46</c:v>
                </c:pt>
                <c:pt idx="133">
                  <c:v>3.5449999999999999</c:v>
                </c:pt>
                <c:pt idx="134">
                  <c:v>3.5640000000000001</c:v>
                </c:pt>
                <c:pt idx="135">
                  <c:v>3.4649999999999999</c:v>
                </c:pt>
                <c:pt idx="136">
                  <c:v>3.423</c:v>
                </c:pt>
                <c:pt idx="137">
                  <c:v>3.3899999999999997</c:v>
                </c:pt>
                <c:pt idx="138">
                  <c:v>3.4039999999999999</c:v>
                </c:pt>
                <c:pt idx="139">
                  <c:v>3.4369999999999967</c:v>
                </c:pt>
                <c:pt idx="140">
                  <c:v>3.3959999999999977</c:v>
                </c:pt>
                <c:pt idx="141">
                  <c:v>3.3909999999999987</c:v>
                </c:pt>
                <c:pt idx="142">
                  <c:v>3.3729999999999967</c:v>
                </c:pt>
                <c:pt idx="143">
                  <c:v>3.3789999999999987</c:v>
                </c:pt>
                <c:pt idx="144">
                  <c:v>3.2989999999999999</c:v>
                </c:pt>
                <c:pt idx="145">
                  <c:v>3.2109999999999999</c:v>
                </c:pt>
                <c:pt idx="146">
                  <c:v>3.2029999999999998</c:v>
                </c:pt>
                <c:pt idx="147">
                  <c:v>3.1829999999999998</c:v>
                </c:pt>
                <c:pt idx="148">
                  <c:v>3.1519999999999997</c:v>
                </c:pt>
                <c:pt idx="149">
                  <c:v>3.1709999999999998</c:v>
                </c:pt>
                <c:pt idx="150">
                  <c:v>3.23</c:v>
                </c:pt>
                <c:pt idx="151">
                  <c:v>3.1930000000000001</c:v>
                </c:pt>
                <c:pt idx="152">
                  <c:v>3.1440000000000001</c:v>
                </c:pt>
                <c:pt idx="153">
                  <c:v>3.153</c:v>
                </c:pt>
                <c:pt idx="154">
                  <c:v>3.109</c:v>
                </c:pt>
                <c:pt idx="155">
                  <c:v>3.06</c:v>
                </c:pt>
                <c:pt idx="156">
                  <c:v>2.9959999999999987</c:v>
                </c:pt>
                <c:pt idx="157">
                  <c:v>3.0349999999999997</c:v>
                </c:pt>
                <c:pt idx="158">
                  <c:v>3.0539999999999998</c:v>
                </c:pt>
                <c:pt idx="159">
                  <c:v>3.085</c:v>
                </c:pt>
                <c:pt idx="160">
                  <c:v>3.097</c:v>
                </c:pt>
                <c:pt idx="161">
                  <c:v>3.0230000000000001</c:v>
                </c:pt>
                <c:pt idx="162">
                  <c:v>3.0169999999999977</c:v>
                </c:pt>
                <c:pt idx="163">
                  <c:v>2.984</c:v>
                </c:pt>
                <c:pt idx="164">
                  <c:v>2.9489999999999998</c:v>
                </c:pt>
                <c:pt idx="165">
                  <c:v>2.8459999999999988</c:v>
                </c:pt>
                <c:pt idx="166">
                  <c:v>2.8619999999999997</c:v>
                </c:pt>
                <c:pt idx="167">
                  <c:v>2.9189999999999987</c:v>
                </c:pt>
                <c:pt idx="168">
                  <c:v>2.8729999999999967</c:v>
                </c:pt>
                <c:pt idx="169">
                  <c:v>2.8739999999999997</c:v>
                </c:pt>
                <c:pt idx="170">
                  <c:v>2.9209999999999998</c:v>
                </c:pt>
                <c:pt idx="171">
                  <c:v>2.9559999999999977</c:v>
                </c:pt>
                <c:pt idx="172">
                  <c:v>2.9239999999999999</c:v>
                </c:pt>
                <c:pt idx="173">
                  <c:v>2.9309999999999987</c:v>
                </c:pt>
                <c:pt idx="174">
                  <c:v>3.07</c:v>
                </c:pt>
                <c:pt idx="175">
                  <c:v>2.9809999999999999</c:v>
                </c:pt>
                <c:pt idx="176">
                  <c:v>3.0339999999999998</c:v>
                </c:pt>
                <c:pt idx="177">
                  <c:v>3.0270000000000001</c:v>
                </c:pt>
                <c:pt idx="178">
                  <c:v>3.0089999999999999</c:v>
                </c:pt>
                <c:pt idx="179">
                  <c:v>2.968</c:v>
                </c:pt>
                <c:pt idx="180">
                  <c:v>2.9779999999999998</c:v>
                </c:pt>
                <c:pt idx="181">
                  <c:v>3.0609999999999999</c:v>
                </c:pt>
                <c:pt idx="182">
                  <c:v>3.16</c:v>
                </c:pt>
                <c:pt idx="183">
                  <c:v>3.1259999999999999</c:v>
                </c:pt>
                <c:pt idx="184">
                  <c:v>3.15</c:v>
                </c:pt>
                <c:pt idx="185">
                  <c:v>3.105</c:v>
                </c:pt>
                <c:pt idx="186">
                  <c:v>3.1989999999999998</c:v>
                </c:pt>
                <c:pt idx="187">
                  <c:v>3.1519999999999997</c:v>
                </c:pt>
                <c:pt idx="188">
                  <c:v>3.101</c:v>
                </c:pt>
                <c:pt idx="189">
                  <c:v>3.0649999999999999</c:v>
                </c:pt>
                <c:pt idx="190">
                  <c:v>3.0670000000000002</c:v>
                </c:pt>
                <c:pt idx="191">
                  <c:v>3.0049999999999999</c:v>
                </c:pt>
                <c:pt idx="192">
                  <c:v>2.9079999999999999</c:v>
                </c:pt>
                <c:pt idx="193">
                  <c:v>2.9039999999999999</c:v>
                </c:pt>
                <c:pt idx="194">
                  <c:v>2.9809999999999999</c:v>
                </c:pt>
                <c:pt idx="195">
                  <c:v>2.9739999999999998</c:v>
                </c:pt>
                <c:pt idx="196">
                  <c:v>2.9549999999999987</c:v>
                </c:pt>
                <c:pt idx="197">
                  <c:v>2.9259999999999997</c:v>
                </c:pt>
                <c:pt idx="198">
                  <c:v>2.8809999999999998</c:v>
                </c:pt>
                <c:pt idx="199">
                  <c:v>2.8389999999999977</c:v>
                </c:pt>
                <c:pt idx="200">
                  <c:v>2.8639999999999999</c:v>
                </c:pt>
                <c:pt idx="201">
                  <c:v>2.8589999999999987</c:v>
                </c:pt>
                <c:pt idx="202">
                  <c:v>2.867</c:v>
                </c:pt>
                <c:pt idx="203">
                  <c:v>2.863</c:v>
                </c:pt>
                <c:pt idx="204">
                  <c:v>2.8619999999999997</c:v>
                </c:pt>
                <c:pt idx="205">
                  <c:v>2.8419999999999987</c:v>
                </c:pt>
                <c:pt idx="206">
                  <c:v>2.8679999999999999</c:v>
                </c:pt>
                <c:pt idx="207">
                  <c:v>2.8529999999999944</c:v>
                </c:pt>
                <c:pt idx="208">
                  <c:v>2.8119999999999967</c:v>
                </c:pt>
                <c:pt idx="209">
                  <c:v>2.84</c:v>
                </c:pt>
                <c:pt idx="210">
                  <c:v>2.8319999999999967</c:v>
                </c:pt>
                <c:pt idx="211">
                  <c:v>2.7749999999999999</c:v>
                </c:pt>
                <c:pt idx="212">
                  <c:v>2.774</c:v>
                </c:pt>
                <c:pt idx="213">
                  <c:v>2.7469999999999999</c:v>
                </c:pt>
                <c:pt idx="214">
                  <c:v>2.7770000000000001</c:v>
                </c:pt>
                <c:pt idx="215">
                  <c:v>2.8169999999999944</c:v>
                </c:pt>
                <c:pt idx="216">
                  <c:v>2.867</c:v>
                </c:pt>
                <c:pt idx="217">
                  <c:v>2.8699999999999997</c:v>
                </c:pt>
                <c:pt idx="218">
                  <c:v>2.8609999999999998</c:v>
                </c:pt>
                <c:pt idx="219">
                  <c:v>2.8499999999999988</c:v>
                </c:pt>
                <c:pt idx="220">
                  <c:v>2.86</c:v>
                </c:pt>
                <c:pt idx="221">
                  <c:v>2.8319999999999967</c:v>
                </c:pt>
                <c:pt idx="222">
                  <c:v>2.8409999999999997</c:v>
                </c:pt>
                <c:pt idx="223">
                  <c:v>2.8329999999999944</c:v>
                </c:pt>
                <c:pt idx="224">
                  <c:v>2.8409999999999997</c:v>
                </c:pt>
                <c:pt idx="225">
                  <c:v>2.8459999999999988</c:v>
                </c:pt>
                <c:pt idx="226">
                  <c:v>2.7480000000000002</c:v>
                </c:pt>
                <c:pt idx="227">
                  <c:v>2.7989999999999999</c:v>
                </c:pt>
                <c:pt idx="228">
                  <c:v>2.8179999999999987</c:v>
                </c:pt>
                <c:pt idx="229">
                  <c:v>2.8499999999999988</c:v>
                </c:pt>
                <c:pt idx="230">
                  <c:v>2.8169999999999944</c:v>
                </c:pt>
                <c:pt idx="231">
                  <c:v>2.8139999999999987</c:v>
                </c:pt>
                <c:pt idx="232">
                  <c:v>2.8029999999999977</c:v>
                </c:pt>
                <c:pt idx="233">
                  <c:v>2.5430000000000001</c:v>
                </c:pt>
                <c:pt idx="234">
                  <c:v>2.4219999999999997</c:v>
                </c:pt>
                <c:pt idx="235">
                  <c:v>2.383</c:v>
                </c:pt>
                <c:pt idx="236">
                  <c:v>2.427</c:v>
                </c:pt>
                <c:pt idx="237">
                  <c:v>2.4369999999999967</c:v>
                </c:pt>
                <c:pt idx="238">
                  <c:v>2.4499999999999997</c:v>
                </c:pt>
                <c:pt idx="239">
                  <c:v>2.4179999999999997</c:v>
                </c:pt>
                <c:pt idx="240">
                  <c:v>2.4619999999999997</c:v>
                </c:pt>
                <c:pt idx="241">
                  <c:v>2.4189999999999987</c:v>
                </c:pt>
                <c:pt idx="242">
                  <c:v>2.3879999999999999</c:v>
                </c:pt>
                <c:pt idx="243">
                  <c:v>2.4279999999999999</c:v>
                </c:pt>
                <c:pt idx="244">
                  <c:v>2.4109999999999987</c:v>
                </c:pt>
                <c:pt idx="245">
                  <c:v>2.4159999999999977</c:v>
                </c:pt>
                <c:pt idx="246">
                  <c:v>2.4009999999999998</c:v>
                </c:pt>
                <c:pt idx="247">
                  <c:v>2.4139999999999997</c:v>
                </c:pt>
                <c:pt idx="248">
                  <c:v>2.4049999999999998</c:v>
                </c:pt>
                <c:pt idx="249">
                  <c:v>2.3919999999999977</c:v>
                </c:pt>
                <c:pt idx="250">
                  <c:v>2.3369999999999944</c:v>
                </c:pt>
                <c:pt idx="251">
                  <c:v>2.3209999999999997</c:v>
                </c:pt>
                <c:pt idx="252">
                  <c:v>2.3329999999999944</c:v>
                </c:pt>
                <c:pt idx="253">
                  <c:v>2.3289999999999997</c:v>
                </c:pt>
                <c:pt idx="254">
                  <c:v>2.3209999999999997</c:v>
                </c:pt>
                <c:pt idx="255">
                  <c:v>2.3459999999999988</c:v>
                </c:pt>
                <c:pt idx="256">
                  <c:v>2.3089999999999997</c:v>
                </c:pt>
                <c:pt idx="257">
                  <c:v>2.3189999999999977</c:v>
                </c:pt>
              </c:numCache>
            </c:numRef>
          </c:val>
          <c:extLst xmlns:c16r2="http://schemas.microsoft.com/office/drawing/2015/06/chart">
            <c:ext xmlns:c16="http://schemas.microsoft.com/office/drawing/2014/chart" uri="{C3380CC4-5D6E-409C-BE32-E72D297353CC}">
              <c16:uniqueId val="{00000005-6E98-477D-BB83-D48883701F52}"/>
            </c:ext>
          </c:extLst>
        </c:ser>
        <c:ser>
          <c:idx val="6"/>
          <c:order val="6"/>
          <c:tx>
            <c:strRef>
              <c:f>'ΣΤΟΙΧΕΙΑ ΓΙΑ ΠΡΟΥΠ 2018'!$H$2</c:f>
              <c:strCache>
                <c:ptCount val="1"/>
                <c:pt idx="0">
                  <c:v>ΙΣΠΑΝΙΑ</c:v>
                </c:pt>
              </c:strCache>
            </c:strRef>
          </c:tx>
          <c:spPr>
            <a:ln>
              <a:solidFill>
                <a:srgbClr val="FFC000"/>
              </a:solidFill>
            </a:ln>
          </c:spPr>
          <c:marker>
            <c:symbol val="none"/>
          </c:marker>
          <c:cat>
            <c:numRef>
              <c:f>'ΣΤΟΙΧΕΙΑ ΓΙΑ ΠΡΟΥΠ 2018'!$A$3:$A$774</c:f>
              <c:numCache>
                <c:formatCode>d/m/yyyy</c:formatCode>
                <c:ptCount val="258"/>
                <c:pt idx="0">
                  <c:v>42663</c:v>
                </c:pt>
                <c:pt idx="1">
                  <c:v>42664</c:v>
                </c:pt>
                <c:pt idx="2">
                  <c:v>42667</c:v>
                </c:pt>
                <c:pt idx="3">
                  <c:v>42668</c:v>
                </c:pt>
                <c:pt idx="4">
                  <c:v>42669</c:v>
                </c:pt>
                <c:pt idx="5">
                  <c:v>42670</c:v>
                </c:pt>
                <c:pt idx="6">
                  <c:v>42671</c:v>
                </c:pt>
                <c:pt idx="7">
                  <c:v>42674</c:v>
                </c:pt>
                <c:pt idx="8">
                  <c:v>42675</c:v>
                </c:pt>
                <c:pt idx="9">
                  <c:v>42676</c:v>
                </c:pt>
                <c:pt idx="10">
                  <c:v>42677</c:v>
                </c:pt>
                <c:pt idx="11">
                  <c:v>42678</c:v>
                </c:pt>
                <c:pt idx="12">
                  <c:v>42681</c:v>
                </c:pt>
                <c:pt idx="13">
                  <c:v>42682</c:v>
                </c:pt>
                <c:pt idx="14">
                  <c:v>42683</c:v>
                </c:pt>
                <c:pt idx="15">
                  <c:v>42684</c:v>
                </c:pt>
                <c:pt idx="16">
                  <c:v>42685</c:v>
                </c:pt>
                <c:pt idx="17">
                  <c:v>42688</c:v>
                </c:pt>
                <c:pt idx="18">
                  <c:v>42689</c:v>
                </c:pt>
                <c:pt idx="19">
                  <c:v>42690</c:v>
                </c:pt>
                <c:pt idx="20">
                  <c:v>42691</c:v>
                </c:pt>
                <c:pt idx="21">
                  <c:v>42692</c:v>
                </c:pt>
                <c:pt idx="22">
                  <c:v>42695</c:v>
                </c:pt>
                <c:pt idx="23">
                  <c:v>42696</c:v>
                </c:pt>
                <c:pt idx="24">
                  <c:v>42697</c:v>
                </c:pt>
                <c:pt idx="25">
                  <c:v>42698</c:v>
                </c:pt>
                <c:pt idx="26">
                  <c:v>42699</c:v>
                </c:pt>
                <c:pt idx="27">
                  <c:v>42702</c:v>
                </c:pt>
                <c:pt idx="28">
                  <c:v>42703</c:v>
                </c:pt>
                <c:pt idx="29">
                  <c:v>42704</c:v>
                </c:pt>
                <c:pt idx="30">
                  <c:v>42705</c:v>
                </c:pt>
                <c:pt idx="31">
                  <c:v>42706</c:v>
                </c:pt>
                <c:pt idx="32">
                  <c:v>42709</c:v>
                </c:pt>
                <c:pt idx="33">
                  <c:v>42710</c:v>
                </c:pt>
                <c:pt idx="34">
                  <c:v>42711</c:v>
                </c:pt>
                <c:pt idx="35">
                  <c:v>42712</c:v>
                </c:pt>
                <c:pt idx="36">
                  <c:v>42713</c:v>
                </c:pt>
                <c:pt idx="37">
                  <c:v>42716</c:v>
                </c:pt>
                <c:pt idx="38">
                  <c:v>42717</c:v>
                </c:pt>
                <c:pt idx="39">
                  <c:v>42718</c:v>
                </c:pt>
                <c:pt idx="40">
                  <c:v>42719</c:v>
                </c:pt>
                <c:pt idx="41">
                  <c:v>42720</c:v>
                </c:pt>
                <c:pt idx="42">
                  <c:v>42723</c:v>
                </c:pt>
                <c:pt idx="43">
                  <c:v>42724</c:v>
                </c:pt>
                <c:pt idx="44">
                  <c:v>42725</c:v>
                </c:pt>
                <c:pt idx="45">
                  <c:v>42726</c:v>
                </c:pt>
                <c:pt idx="46">
                  <c:v>42727</c:v>
                </c:pt>
                <c:pt idx="47">
                  <c:v>42731</c:v>
                </c:pt>
                <c:pt idx="48">
                  <c:v>42732</c:v>
                </c:pt>
                <c:pt idx="49">
                  <c:v>42733</c:v>
                </c:pt>
                <c:pt idx="50">
                  <c:v>42734</c:v>
                </c:pt>
                <c:pt idx="51">
                  <c:v>42737</c:v>
                </c:pt>
                <c:pt idx="52">
                  <c:v>42738</c:v>
                </c:pt>
                <c:pt idx="53">
                  <c:v>42739</c:v>
                </c:pt>
                <c:pt idx="54">
                  <c:v>42740</c:v>
                </c:pt>
                <c:pt idx="55">
                  <c:v>42741</c:v>
                </c:pt>
                <c:pt idx="56">
                  <c:v>42744</c:v>
                </c:pt>
                <c:pt idx="57">
                  <c:v>42745</c:v>
                </c:pt>
                <c:pt idx="58">
                  <c:v>42746</c:v>
                </c:pt>
                <c:pt idx="59">
                  <c:v>42747</c:v>
                </c:pt>
                <c:pt idx="60">
                  <c:v>42748</c:v>
                </c:pt>
                <c:pt idx="61">
                  <c:v>42751</c:v>
                </c:pt>
                <c:pt idx="62">
                  <c:v>42752</c:v>
                </c:pt>
                <c:pt idx="63">
                  <c:v>42753</c:v>
                </c:pt>
                <c:pt idx="64">
                  <c:v>42754</c:v>
                </c:pt>
                <c:pt idx="65">
                  <c:v>42755</c:v>
                </c:pt>
                <c:pt idx="66">
                  <c:v>42758</c:v>
                </c:pt>
                <c:pt idx="67">
                  <c:v>42759</c:v>
                </c:pt>
                <c:pt idx="68">
                  <c:v>42760</c:v>
                </c:pt>
                <c:pt idx="69">
                  <c:v>42761</c:v>
                </c:pt>
                <c:pt idx="70">
                  <c:v>42762</c:v>
                </c:pt>
                <c:pt idx="71">
                  <c:v>42765</c:v>
                </c:pt>
                <c:pt idx="72">
                  <c:v>42766</c:v>
                </c:pt>
                <c:pt idx="73">
                  <c:v>42767</c:v>
                </c:pt>
                <c:pt idx="74">
                  <c:v>42768</c:v>
                </c:pt>
                <c:pt idx="75">
                  <c:v>42769</c:v>
                </c:pt>
                <c:pt idx="76">
                  <c:v>42772</c:v>
                </c:pt>
                <c:pt idx="77">
                  <c:v>42773</c:v>
                </c:pt>
                <c:pt idx="78">
                  <c:v>42774</c:v>
                </c:pt>
                <c:pt idx="79">
                  <c:v>42775</c:v>
                </c:pt>
                <c:pt idx="80">
                  <c:v>42776</c:v>
                </c:pt>
                <c:pt idx="81">
                  <c:v>42779</c:v>
                </c:pt>
                <c:pt idx="82">
                  <c:v>42780</c:v>
                </c:pt>
                <c:pt idx="83">
                  <c:v>42781</c:v>
                </c:pt>
                <c:pt idx="84">
                  <c:v>42782</c:v>
                </c:pt>
                <c:pt idx="85">
                  <c:v>42783</c:v>
                </c:pt>
                <c:pt idx="86">
                  <c:v>42786</c:v>
                </c:pt>
                <c:pt idx="87">
                  <c:v>42787</c:v>
                </c:pt>
                <c:pt idx="88">
                  <c:v>42788</c:v>
                </c:pt>
                <c:pt idx="89">
                  <c:v>42789</c:v>
                </c:pt>
                <c:pt idx="90">
                  <c:v>42790</c:v>
                </c:pt>
                <c:pt idx="91">
                  <c:v>42793</c:v>
                </c:pt>
                <c:pt idx="92">
                  <c:v>42794</c:v>
                </c:pt>
                <c:pt idx="93">
                  <c:v>42795</c:v>
                </c:pt>
                <c:pt idx="94">
                  <c:v>42796</c:v>
                </c:pt>
                <c:pt idx="95">
                  <c:v>42797</c:v>
                </c:pt>
                <c:pt idx="96">
                  <c:v>42800</c:v>
                </c:pt>
                <c:pt idx="97">
                  <c:v>42801</c:v>
                </c:pt>
                <c:pt idx="98">
                  <c:v>42802</c:v>
                </c:pt>
                <c:pt idx="99">
                  <c:v>42803</c:v>
                </c:pt>
                <c:pt idx="100">
                  <c:v>42804</c:v>
                </c:pt>
                <c:pt idx="101">
                  <c:v>42807</c:v>
                </c:pt>
                <c:pt idx="102">
                  <c:v>42808</c:v>
                </c:pt>
                <c:pt idx="103">
                  <c:v>42809</c:v>
                </c:pt>
                <c:pt idx="104">
                  <c:v>42810</c:v>
                </c:pt>
                <c:pt idx="105">
                  <c:v>42811</c:v>
                </c:pt>
                <c:pt idx="106">
                  <c:v>42814</c:v>
                </c:pt>
                <c:pt idx="107">
                  <c:v>42815</c:v>
                </c:pt>
                <c:pt idx="108">
                  <c:v>42816</c:v>
                </c:pt>
                <c:pt idx="109">
                  <c:v>42817</c:v>
                </c:pt>
                <c:pt idx="110">
                  <c:v>42818</c:v>
                </c:pt>
                <c:pt idx="111">
                  <c:v>42821</c:v>
                </c:pt>
                <c:pt idx="112">
                  <c:v>42822</c:v>
                </c:pt>
                <c:pt idx="113">
                  <c:v>42823</c:v>
                </c:pt>
                <c:pt idx="114">
                  <c:v>42824</c:v>
                </c:pt>
                <c:pt idx="115">
                  <c:v>42825</c:v>
                </c:pt>
                <c:pt idx="116">
                  <c:v>42828</c:v>
                </c:pt>
                <c:pt idx="117">
                  <c:v>42829</c:v>
                </c:pt>
                <c:pt idx="118">
                  <c:v>42830</c:v>
                </c:pt>
                <c:pt idx="119">
                  <c:v>42831</c:v>
                </c:pt>
                <c:pt idx="120">
                  <c:v>42832</c:v>
                </c:pt>
                <c:pt idx="121">
                  <c:v>42835</c:v>
                </c:pt>
                <c:pt idx="122">
                  <c:v>42836</c:v>
                </c:pt>
                <c:pt idx="123">
                  <c:v>42837</c:v>
                </c:pt>
                <c:pt idx="124">
                  <c:v>42838</c:v>
                </c:pt>
                <c:pt idx="125">
                  <c:v>42843</c:v>
                </c:pt>
                <c:pt idx="126">
                  <c:v>42844</c:v>
                </c:pt>
                <c:pt idx="127">
                  <c:v>42845</c:v>
                </c:pt>
                <c:pt idx="128">
                  <c:v>42846</c:v>
                </c:pt>
                <c:pt idx="129">
                  <c:v>42849</c:v>
                </c:pt>
                <c:pt idx="130">
                  <c:v>42850</c:v>
                </c:pt>
                <c:pt idx="131">
                  <c:v>42851</c:v>
                </c:pt>
                <c:pt idx="132">
                  <c:v>42852</c:v>
                </c:pt>
                <c:pt idx="133">
                  <c:v>42853</c:v>
                </c:pt>
                <c:pt idx="134">
                  <c:v>42857</c:v>
                </c:pt>
                <c:pt idx="135">
                  <c:v>42858</c:v>
                </c:pt>
                <c:pt idx="136">
                  <c:v>42859</c:v>
                </c:pt>
                <c:pt idx="137">
                  <c:v>42860</c:v>
                </c:pt>
                <c:pt idx="138">
                  <c:v>42863</c:v>
                </c:pt>
                <c:pt idx="139">
                  <c:v>42864</c:v>
                </c:pt>
                <c:pt idx="140">
                  <c:v>42865</c:v>
                </c:pt>
                <c:pt idx="141">
                  <c:v>42866</c:v>
                </c:pt>
                <c:pt idx="142">
                  <c:v>42867</c:v>
                </c:pt>
                <c:pt idx="143">
                  <c:v>42870</c:v>
                </c:pt>
                <c:pt idx="144">
                  <c:v>42871</c:v>
                </c:pt>
                <c:pt idx="145">
                  <c:v>42872</c:v>
                </c:pt>
                <c:pt idx="146">
                  <c:v>42873</c:v>
                </c:pt>
                <c:pt idx="147">
                  <c:v>42874</c:v>
                </c:pt>
                <c:pt idx="148">
                  <c:v>42877</c:v>
                </c:pt>
                <c:pt idx="149">
                  <c:v>42878</c:v>
                </c:pt>
                <c:pt idx="150">
                  <c:v>42879</c:v>
                </c:pt>
                <c:pt idx="151">
                  <c:v>42880</c:v>
                </c:pt>
                <c:pt idx="152">
                  <c:v>42881</c:v>
                </c:pt>
                <c:pt idx="153">
                  <c:v>42884</c:v>
                </c:pt>
                <c:pt idx="154">
                  <c:v>42885</c:v>
                </c:pt>
                <c:pt idx="155">
                  <c:v>42886</c:v>
                </c:pt>
                <c:pt idx="156">
                  <c:v>42887</c:v>
                </c:pt>
                <c:pt idx="157">
                  <c:v>42888</c:v>
                </c:pt>
                <c:pt idx="158">
                  <c:v>42891</c:v>
                </c:pt>
                <c:pt idx="159">
                  <c:v>42892</c:v>
                </c:pt>
                <c:pt idx="160">
                  <c:v>42893</c:v>
                </c:pt>
                <c:pt idx="161">
                  <c:v>42894</c:v>
                </c:pt>
                <c:pt idx="162">
                  <c:v>42895</c:v>
                </c:pt>
                <c:pt idx="163">
                  <c:v>42898</c:v>
                </c:pt>
                <c:pt idx="164">
                  <c:v>42899</c:v>
                </c:pt>
                <c:pt idx="165">
                  <c:v>42900</c:v>
                </c:pt>
                <c:pt idx="166">
                  <c:v>42901</c:v>
                </c:pt>
                <c:pt idx="167">
                  <c:v>42902</c:v>
                </c:pt>
                <c:pt idx="168">
                  <c:v>42905</c:v>
                </c:pt>
                <c:pt idx="169">
                  <c:v>42906</c:v>
                </c:pt>
                <c:pt idx="170">
                  <c:v>42907</c:v>
                </c:pt>
                <c:pt idx="171">
                  <c:v>42908</c:v>
                </c:pt>
                <c:pt idx="172">
                  <c:v>42909</c:v>
                </c:pt>
                <c:pt idx="173">
                  <c:v>42912</c:v>
                </c:pt>
                <c:pt idx="174">
                  <c:v>42913</c:v>
                </c:pt>
                <c:pt idx="175">
                  <c:v>42914</c:v>
                </c:pt>
                <c:pt idx="176">
                  <c:v>42915</c:v>
                </c:pt>
                <c:pt idx="177">
                  <c:v>42916</c:v>
                </c:pt>
                <c:pt idx="178">
                  <c:v>42919</c:v>
                </c:pt>
                <c:pt idx="179">
                  <c:v>42920</c:v>
                </c:pt>
                <c:pt idx="180">
                  <c:v>42921</c:v>
                </c:pt>
                <c:pt idx="181">
                  <c:v>42922</c:v>
                </c:pt>
                <c:pt idx="182">
                  <c:v>42923</c:v>
                </c:pt>
                <c:pt idx="183">
                  <c:v>42926</c:v>
                </c:pt>
                <c:pt idx="184">
                  <c:v>42927</c:v>
                </c:pt>
                <c:pt idx="185">
                  <c:v>42928</c:v>
                </c:pt>
                <c:pt idx="186">
                  <c:v>42929</c:v>
                </c:pt>
                <c:pt idx="187">
                  <c:v>42930</c:v>
                </c:pt>
                <c:pt idx="188">
                  <c:v>42933</c:v>
                </c:pt>
                <c:pt idx="189">
                  <c:v>42934</c:v>
                </c:pt>
                <c:pt idx="190">
                  <c:v>42935</c:v>
                </c:pt>
                <c:pt idx="191">
                  <c:v>42936</c:v>
                </c:pt>
                <c:pt idx="192">
                  <c:v>42937</c:v>
                </c:pt>
                <c:pt idx="193">
                  <c:v>42940</c:v>
                </c:pt>
                <c:pt idx="194">
                  <c:v>42941</c:v>
                </c:pt>
                <c:pt idx="195">
                  <c:v>42942</c:v>
                </c:pt>
                <c:pt idx="196">
                  <c:v>42943</c:v>
                </c:pt>
                <c:pt idx="197">
                  <c:v>42944</c:v>
                </c:pt>
                <c:pt idx="198">
                  <c:v>42947</c:v>
                </c:pt>
                <c:pt idx="199">
                  <c:v>42948</c:v>
                </c:pt>
                <c:pt idx="200">
                  <c:v>42949</c:v>
                </c:pt>
                <c:pt idx="201">
                  <c:v>42950</c:v>
                </c:pt>
                <c:pt idx="202">
                  <c:v>42951</c:v>
                </c:pt>
                <c:pt idx="203">
                  <c:v>42954</c:v>
                </c:pt>
                <c:pt idx="204">
                  <c:v>42955</c:v>
                </c:pt>
                <c:pt idx="205">
                  <c:v>42956</c:v>
                </c:pt>
                <c:pt idx="206">
                  <c:v>42957</c:v>
                </c:pt>
                <c:pt idx="207">
                  <c:v>42958</c:v>
                </c:pt>
                <c:pt idx="208">
                  <c:v>42961</c:v>
                </c:pt>
                <c:pt idx="209">
                  <c:v>42962</c:v>
                </c:pt>
                <c:pt idx="210">
                  <c:v>42963</c:v>
                </c:pt>
                <c:pt idx="211">
                  <c:v>42964</c:v>
                </c:pt>
                <c:pt idx="212">
                  <c:v>42965</c:v>
                </c:pt>
                <c:pt idx="213">
                  <c:v>42968</c:v>
                </c:pt>
                <c:pt idx="214">
                  <c:v>42969</c:v>
                </c:pt>
                <c:pt idx="215">
                  <c:v>42970</c:v>
                </c:pt>
                <c:pt idx="216">
                  <c:v>42971</c:v>
                </c:pt>
                <c:pt idx="217">
                  <c:v>42972</c:v>
                </c:pt>
                <c:pt idx="218">
                  <c:v>42975</c:v>
                </c:pt>
                <c:pt idx="219">
                  <c:v>42976</c:v>
                </c:pt>
                <c:pt idx="220">
                  <c:v>42977</c:v>
                </c:pt>
                <c:pt idx="221">
                  <c:v>42978</c:v>
                </c:pt>
                <c:pt idx="222">
                  <c:v>42979</c:v>
                </c:pt>
                <c:pt idx="223">
                  <c:v>42982</c:v>
                </c:pt>
                <c:pt idx="224">
                  <c:v>42983</c:v>
                </c:pt>
                <c:pt idx="225">
                  <c:v>42984</c:v>
                </c:pt>
                <c:pt idx="226">
                  <c:v>42985</c:v>
                </c:pt>
                <c:pt idx="227">
                  <c:v>42986</c:v>
                </c:pt>
                <c:pt idx="228">
                  <c:v>42989</c:v>
                </c:pt>
                <c:pt idx="229">
                  <c:v>42990</c:v>
                </c:pt>
                <c:pt idx="230">
                  <c:v>42991</c:v>
                </c:pt>
                <c:pt idx="231">
                  <c:v>42992</c:v>
                </c:pt>
                <c:pt idx="232">
                  <c:v>42993</c:v>
                </c:pt>
                <c:pt idx="233">
                  <c:v>42996</c:v>
                </c:pt>
                <c:pt idx="234">
                  <c:v>42997</c:v>
                </c:pt>
                <c:pt idx="235">
                  <c:v>42998</c:v>
                </c:pt>
                <c:pt idx="236">
                  <c:v>42999</c:v>
                </c:pt>
                <c:pt idx="237">
                  <c:v>43000</c:v>
                </c:pt>
                <c:pt idx="238">
                  <c:v>43003</c:v>
                </c:pt>
                <c:pt idx="239">
                  <c:v>43004</c:v>
                </c:pt>
                <c:pt idx="240">
                  <c:v>43005</c:v>
                </c:pt>
                <c:pt idx="241">
                  <c:v>43006</c:v>
                </c:pt>
                <c:pt idx="242">
                  <c:v>43007</c:v>
                </c:pt>
                <c:pt idx="243">
                  <c:v>43010</c:v>
                </c:pt>
                <c:pt idx="244">
                  <c:v>43011</c:v>
                </c:pt>
                <c:pt idx="245">
                  <c:v>43012</c:v>
                </c:pt>
                <c:pt idx="246">
                  <c:v>43013</c:v>
                </c:pt>
                <c:pt idx="247">
                  <c:v>43014</c:v>
                </c:pt>
                <c:pt idx="248">
                  <c:v>43017</c:v>
                </c:pt>
                <c:pt idx="249">
                  <c:v>43018</c:v>
                </c:pt>
                <c:pt idx="250">
                  <c:v>43019</c:v>
                </c:pt>
                <c:pt idx="251">
                  <c:v>43020</c:v>
                </c:pt>
                <c:pt idx="252">
                  <c:v>43021</c:v>
                </c:pt>
                <c:pt idx="253">
                  <c:v>43024</c:v>
                </c:pt>
                <c:pt idx="254">
                  <c:v>43025</c:v>
                </c:pt>
                <c:pt idx="255">
                  <c:v>43026</c:v>
                </c:pt>
                <c:pt idx="256">
                  <c:v>43027</c:v>
                </c:pt>
                <c:pt idx="257">
                  <c:v>43028</c:v>
                </c:pt>
              </c:numCache>
            </c:numRef>
          </c:cat>
          <c:val>
            <c:numRef>
              <c:f>'ΣΤΟΙΧΕΙΑ ΓΙΑ ΠΡΟΥΠ 2018'!$H$3:$H$774</c:f>
              <c:numCache>
                <c:formatCode>General</c:formatCode>
                <c:ptCount val="258"/>
                <c:pt idx="0">
                  <c:v>1.1040000000000001</c:v>
                </c:pt>
                <c:pt idx="1">
                  <c:v>1.115</c:v>
                </c:pt>
                <c:pt idx="2">
                  <c:v>1.105</c:v>
                </c:pt>
                <c:pt idx="3">
                  <c:v>1.083</c:v>
                </c:pt>
                <c:pt idx="4">
                  <c:v>1.129</c:v>
                </c:pt>
                <c:pt idx="5">
                  <c:v>1.1970000000000001</c:v>
                </c:pt>
                <c:pt idx="6">
                  <c:v>1.2309999999999968</c:v>
                </c:pt>
                <c:pt idx="7">
                  <c:v>1.1990000000000001</c:v>
                </c:pt>
                <c:pt idx="8">
                  <c:v>1.296999999999997</c:v>
                </c:pt>
                <c:pt idx="9">
                  <c:v>1.206</c:v>
                </c:pt>
                <c:pt idx="10">
                  <c:v>1.2329999999999968</c:v>
                </c:pt>
                <c:pt idx="11">
                  <c:v>1.268</c:v>
                </c:pt>
                <c:pt idx="12">
                  <c:v>1.244</c:v>
                </c:pt>
                <c:pt idx="13">
                  <c:v>1.254</c:v>
                </c:pt>
                <c:pt idx="14">
                  <c:v>1.2769999999999968</c:v>
                </c:pt>
                <c:pt idx="15">
                  <c:v>1.3900000000000001</c:v>
                </c:pt>
                <c:pt idx="16">
                  <c:v>1.474</c:v>
                </c:pt>
                <c:pt idx="17">
                  <c:v>1.5189999999999968</c:v>
                </c:pt>
                <c:pt idx="18">
                  <c:v>1.458</c:v>
                </c:pt>
                <c:pt idx="19">
                  <c:v>1.544</c:v>
                </c:pt>
                <c:pt idx="20">
                  <c:v>1.593</c:v>
                </c:pt>
                <c:pt idx="21">
                  <c:v>1.593</c:v>
                </c:pt>
                <c:pt idx="22">
                  <c:v>1.611</c:v>
                </c:pt>
                <c:pt idx="23">
                  <c:v>1.5249999999999968</c:v>
                </c:pt>
                <c:pt idx="24">
                  <c:v>1.5960000000000001</c:v>
                </c:pt>
                <c:pt idx="25">
                  <c:v>1.589</c:v>
                </c:pt>
                <c:pt idx="26">
                  <c:v>1.573</c:v>
                </c:pt>
                <c:pt idx="27">
                  <c:v>1.5620000000000001</c:v>
                </c:pt>
                <c:pt idx="28">
                  <c:v>1.51</c:v>
                </c:pt>
                <c:pt idx="29">
                  <c:v>1.550999999999997</c:v>
                </c:pt>
                <c:pt idx="30">
                  <c:v>1.615</c:v>
                </c:pt>
                <c:pt idx="31">
                  <c:v>1.542999999999997</c:v>
                </c:pt>
                <c:pt idx="32">
                  <c:v>1.552</c:v>
                </c:pt>
                <c:pt idx="33">
                  <c:v>1.492</c:v>
                </c:pt>
                <c:pt idx="34">
                  <c:v>1.4239999999999942</c:v>
                </c:pt>
                <c:pt idx="35">
                  <c:v>1.504</c:v>
                </c:pt>
                <c:pt idx="36">
                  <c:v>1.514</c:v>
                </c:pt>
                <c:pt idx="37">
                  <c:v>1.498999999999997</c:v>
                </c:pt>
                <c:pt idx="38">
                  <c:v>1.4309999999999961</c:v>
                </c:pt>
                <c:pt idx="39">
                  <c:v>1.4019999999999935</c:v>
                </c:pt>
                <c:pt idx="40">
                  <c:v>1.420999999999996</c:v>
                </c:pt>
                <c:pt idx="41">
                  <c:v>1.4239999999999942</c:v>
                </c:pt>
                <c:pt idx="42">
                  <c:v>1.363</c:v>
                </c:pt>
                <c:pt idx="43">
                  <c:v>1.337</c:v>
                </c:pt>
                <c:pt idx="44">
                  <c:v>1.367</c:v>
                </c:pt>
                <c:pt idx="45">
                  <c:v>1.4009999999999958</c:v>
                </c:pt>
                <c:pt idx="46">
                  <c:v>1.377</c:v>
                </c:pt>
                <c:pt idx="47">
                  <c:v>1.391</c:v>
                </c:pt>
                <c:pt idx="48">
                  <c:v>1.3420000000000001</c:v>
                </c:pt>
                <c:pt idx="49">
                  <c:v>1.3260000000000001</c:v>
                </c:pt>
                <c:pt idx="50">
                  <c:v>1.3839999999999968</c:v>
                </c:pt>
                <c:pt idx="51">
                  <c:v>1.3320000000000001</c:v>
                </c:pt>
                <c:pt idx="52">
                  <c:v>1.418999999999996</c:v>
                </c:pt>
                <c:pt idx="53">
                  <c:v>1.4329999999999961</c:v>
                </c:pt>
                <c:pt idx="54">
                  <c:v>1.48</c:v>
                </c:pt>
                <c:pt idx="55">
                  <c:v>1.54</c:v>
                </c:pt>
                <c:pt idx="56">
                  <c:v>1.4709999999999968</c:v>
                </c:pt>
                <c:pt idx="57">
                  <c:v>1.474</c:v>
                </c:pt>
                <c:pt idx="58">
                  <c:v>1.4139999999999937</c:v>
                </c:pt>
                <c:pt idx="59">
                  <c:v>1.4029999999999958</c:v>
                </c:pt>
                <c:pt idx="60">
                  <c:v>1.4309999999999961</c:v>
                </c:pt>
                <c:pt idx="61">
                  <c:v>1.4289999999999961</c:v>
                </c:pt>
                <c:pt idx="62">
                  <c:v>1.3919999999999968</c:v>
                </c:pt>
                <c:pt idx="63">
                  <c:v>1.448</c:v>
                </c:pt>
                <c:pt idx="64">
                  <c:v>1.4789999999999968</c:v>
                </c:pt>
                <c:pt idx="65">
                  <c:v>1.5049999999999968</c:v>
                </c:pt>
                <c:pt idx="66">
                  <c:v>1.4349999999999961</c:v>
                </c:pt>
                <c:pt idx="67">
                  <c:v>1.5069999999999968</c:v>
                </c:pt>
                <c:pt idx="68">
                  <c:v>1.54</c:v>
                </c:pt>
                <c:pt idx="69">
                  <c:v>1.571</c:v>
                </c:pt>
                <c:pt idx="70">
                  <c:v>1.587</c:v>
                </c:pt>
                <c:pt idx="71">
                  <c:v>1.6300000000000001</c:v>
                </c:pt>
                <c:pt idx="72">
                  <c:v>1.5980000000000001</c:v>
                </c:pt>
                <c:pt idx="73">
                  <c:v>1.679</c:v>
                </c:pt>
                <c:pt idx="74">
                  <c:v>1.641</c:v>
                </c:pt>
                <c:pt idx="75">
                  <c:v>1.6819999999999971</c:v>
                </c:pt>
                <c:pt idx="76">
                  <c:v>1.786</c:v>
                </c:pt>
                <c:pt idx="77">
                  <c:v>1.7709999999999968</c:v>
                </c:pt>
                <c:pt idx="78">
                  <c:v>1.6960000000000028</c:v>
                </c:pt>
                <c:pt idx="79">
                  <c:v>1.625</c:v>
                </c:pt>
                <c:pt idx="80">
                  <c:v>1.702</c:v>
                </c:pt>
                <c:pt idx="81">
                  <c:v>1.6619999999999968</c:v>
                </c:pt>
                <c:pt idx="82">
                  <c:v>1.667</c:v>
                </c:pt>
                <c:pt idx="83">
                  <c:v>1.6830000000000001</c:v>
                </c:pt>
                <c:pt idx="84">
                  <c:v>1.603</c:v>
                </c:pt>
                <c:pt idx="85">
                  <c:v>1.6359999999999968</c:v>
                </c:pt>
                <c:pt idx="86">
                  <c:v>1.609</c:v>
                </c:pt>
                <c:pt idx="87">
                  <c:v>1.6819999999999971</c:v>
                </c:pt>
                <c:pt idx="88">
                  <c:v>1.6930000000000001</c:v>
                </c:pt>
                <c:pt idx="89">
                  <c:v>1.6859999999999971</c:v>
                </c:pt>
                <c:pt idx="90">
                  <c:v>1.6980000000000028</c:v>
                </c:pt>
                <c:pt idx="91">
                  <c:v>1.659</c:v>
                </c:pt>
                <c:pt idx="92">
                  <c:v>1.655</c:v>
                </c:pt>
                <c:pt idx="93">
                  <c:v>1.6910000000000001</c:v>
                </c:pt>
                <c:pt idx="94">
                  <c:v>1.702</c:v>
                </c:pt>
                <c:pt idx="95">
                  <c:v>1.677999999999997</c:v>
                </c:pt>
                <c:pt idx="96">
                  <c:v>1.728</c:v>
                </c:pt>
                <c:pt idx="97">
                  <c:v>1.738</c:v>
                </c:pt>
                <c:pt idx="98">
                  <c:v>1.8109999999999971</c:v>
                </c:pt>
                <c:pt idx="99">
                  <c:v>1.839</c:v>
                </c:pt>
                <c:pt idx="100">
                  <c:v>1.889</c:v>
                </c:pt>
                <c:pt idx="101">
                  <c:v>1.9059999999999968</c:v>
                </c:pt>
                <c:pt idx="102">
                  <c:v>1.871</c:v>
                </c:pt>
                <c:pt idx="103">
                  <c:v>1.839</c:v>
                </c:pt>
                <c:pt idx="104">
                  <c:v>1.899</c:v>
                </c:pt>
                <c:pt idx="105">
                  <c:v>1.881</c:v>
                </c:pt>
                <c:pt idx="106">
                  <c:v>1.847</c:v>
                </c:pt>
                <c:pt idx="107">
                  <c:v>1.8149999999999971</c:v>
                </c:pt>
                <c:pt idx="108">
                  <c:v>1.7369999999999968</c:v>
                </c:pt>
                <c:pt idx="109">
                  <c:v>1.7309999999999968</c:v>
                </c:pt>
                <c:pt idx="110">
                  <c:v>1.6930000000000001</c:v>
                </c:pt>
                <c:pt idx="111">
                  <c:v>1.6879999999999971</c:v>
                </c:pt>
                <c:pt idx="112">
                  <c:v>1.6800000000000028</c:v>
                </c:pt>
                <c:pt idx="113">
                  <c:v>1.643</c:v>
                </c:pt>
                <c:pt idx="114">
                  <c:v>1.649</c:v>
                </c:pt>
                <c:pt idx="115">
                  <c:v>1.667</c:v>
                </c:pt>
                <c:pt idx="116">
                  <c:v>1.643</c:v>
                </c:pt>
                <c:pt idx="117">
                  <c:v>1.617</c:v>
                </c:pt>
                <c:pt idx="118">
                  <c:v>1.62</c:v>
                </c:pt>
                <c:pt idx="119">
                  <c:v>1.6319999999999968</c:v>
                </c:pt>
                <c:pt idx="120">
                  <c:v>1.6140000000000001</c:v>
                </c:pt>
                <c:pt idx="121">
                  <c:v>1.613</c:v>
                </c:pt>
                <c:pt idx="122">
                  <c:v>1.6439999999999968</c:v>
                </c:pt>
                <c:pt idx="123">
                  <c:v>1.6700000000000021</c:v>
                </c:pt>
                <c:pt idx="124">
                  <c:v>1.7069999999999967</c:v>
                </c:pt>
                <c:pt idx="125">
                  <c:v>1.6700000000000021</c:v>
                </c:pt>
                <c:pt idx="126">
                  <c:v>1.677</c:v>
                </c:pt>
                <c:pt idx="127">
                  <c:v>1.7</c:v>
                </c:pt>
                <c:pt idx="128">
                  <c:v>1.6950000000000001</c:v>
                </c:pt>
                <c:pt idx="129">
                  <c:v>1.605</c:v>
                </c:pt>
                <c:pt idx="130">
                  <c:v>1.675</c:v>
                </c:pt>
                <c:pt idx="131">
                  <c:v>1.6990000000000001</c:v>
                </c:pt>
                <c:pt idx="132">
                  <c:v>1.6259999999999968</c:v>
                </c:pt>
                <c:pt idx="133">
                  <c:v>1.6479999999999968</c:v>
                </c:pt>
                <c:pt idx="134">
                  <c:v>1.6539999999999968</c:v>
                </c:pt>
                <c:pt idx="135">
                  <c:v>1.6120000000000001</c:v>
                </c:pt>
                <c:pt idx="136">
                  <c:v>1.6</c:v>
                </c:pt>
                <c:pt idx="137">
                  <c:v>1.5580000000000001</c:v>
                </c:pt>
                <c:pt idx="138">
                  <c:v>1.5880000000000001</c:v>
                </c:pt>
                <c:pt idx="139">
                  <c:v>1.621</c:v>
                </c:pt>
                <c:pt idx="140">
                  <c:v>1.6060000000000001</c:v>
                </c:pt>
                <c:pt idx="141">
                  <c:v>1.647</c:v>
                </c:pt>
                <c:pt idx="142">
                  <c:v>1.627</c:v>
                </c:pt>
                <c:pt idx="143">
                  <c:v>1.6319999999999968</c:v>
                </c:pt>
                <c:pt idx="144">
                  <c:v>1.6279999999999968</c:v>
                </c:pt>
                <c:pt idx="145">
                  <c:v>1.5640000000000001</c:v>
                </c:pt>
                <c:pt idx="146">
                  <c:v>1.5669999999999971</c:v>
                </c:pt>
                <c:pt idx="147">
                  <c:v>1.579</c:v>
                </c:pt>
                <c:pt idx="148">
                  <c:v>1.623</c:v>
                </c:pt>
                <c:pt idx="149">
                  <c:v>1.6180000000000001</c:v>
                </c:pt>
                <c:pt idx="150">
                  <c:v>1.61</c:v>
                </c:pt>
                <c:pt idx="151">
                  <c:v>1.5840000000000001</c:v>
                </c:pt>
                <c:pt idx="152">
                  <c:v>1.542999999999997</c:v>
                </c:pt>
                <c:pt idx="153">
                  <c:v>1.5549999999999971</c:v>
                </c:pt>
                <c:pt idx="154">
                  <c:v>1.528</c:v>
                </c:pt>
                <c:pt idx="155">
                  <c:v>1.552999999999997</c:v>
                </c:pt>
                <c:pt idx="156">
                  <c:v>1.5629999999999971</c:v>
                </c:pt>
                <c:pt idx="157">
                  <c:v>1.5720000000000001</c:v>
                </c:pt>
                <c:pt idx="158">
                  <c:v>1.579</c:v>
                </c:pt>
                <c:pt idx="159">
                  <c:v>1.5389999999999968</c:v>
                </c:pt>
                <c:pt idx="160">
                  <c:v>1.5680000000000001</c:v>
                </c:pt>
                <c:pt idx="161">
                  <c:v>1.476</c:v>
                </c:pt>
                <c:pt idx="162">
                  <c:v>1.444</c:v>
                </c:pt>
                <c:pt idx="163">
                  <c:v>1.4449999999999967</c:v>
                </c:pt>
                <c:pt idx="164">
                  <c:v>1.4359999999999942</c:v>
                </c:pt>
                <c:pt idx="165">
                  <c:v>1.3819999999999968</c:v>
                </c:pt>
                <c:pt idx="166">
                  <c:v>1.4159999999999939</c:v>
                </c:pt>
                <c:pt idx="167">
                  <c:v>1.456</c:v>
                </c:pt>
                <c:pt idx="168">
                  <c:v>1.448</c:v>
                </c:pt>
                <c:pt idx="169">
                  <c:v>1.385</c:v>
                </c:pt>
                <c:pt idx="170">
                  <c:v>1.37</c:v>
                </c:pt>
                <c:pt idx="171">
                  <c:v>1.3859999999999968</c:v>
                </c:pt>
                <c:pt idx="172">
                  <c:v>1.381</c:v>
                </c:pt>
                <c:pt idx="173">
                  <c:v>1.377</c:v>
                </c:pt>
                <c:pt idx="174">
                  <c:v>1.494999999999997</c:v>
                </c:pt>
                <c:pt idx="175">
                  <c:v>1.4289999999999961</c:v>
                </c:pt>
                <c:pt idx="176">
                  <c:v>1.5329999999999968</c:v>
                </c:pt>
                <c:pt idx="177">
                  <c:v>1.5389999999999968</c:v>
                </c:pt>
                <c:pt idx="178">
                  <c:v>1.526</c:v>
                </c:pt>
                <c:pt idx="179">
                  <c:v>1.5249999999999968</c:v>
                </c:pt>
                <c:pt idx="180">
                  <c:v>1.571</c:v>
                </c:pt>
                <c:pt idx="181">
                  <c:v>1.677999999999997</c:v>
                </c:pt>
                <c:pt idx="182">
                  <c:v>1.732</c:v>
                </c:pt>
                <c:pt idx="183">
                  <c:v>1.671</c:v>
                </c:pt>
                <c:pt idx="184">
                  <c:v>1.6930000000000001</c:v>
                </c:pt>
                <c:pt idx="185">
                  <c:v>1.643</c:v>
                </c:pt>
                <c:pt idx="186">
                  <c:v>1.7049999999999967</c:v>
                </c:pt>
                <c:pt idx="187">
                  <c:v>1.651</c:v>
                </c:pt>
                <c:pt idx="188">
                  <c:v>1.5920000000000001</c:v>
                </c:pt>
                <c:pt idx="189">
                  <c:v>1.5549999999999971</c:v>
                </c:pt>
                <c:pt idx="190">
                  <c:v>1.5589999999999971</c:v>
                </c:pt>
                <c:pt idx="191">
                  <c:v>1.4849999999999968</c:v>
                </c:pt>
                <c:pt idx="192">
                  <c:v>1.4509999999999967</c:v>
                </c:pt>
                <c:pt idx="193">
                  <c:v>1.4849999999999968</c:v>
                </c:pt>
                <c:pt idx="194">
                  <c:v>1.552</c:v>
                </c:pt>
                <c:pt idx="195">
                  <c:v>1.546999999999997</c:v>
                </c:pt>
                <c:pt idx="196">
                  <c:v>1.5069999999999968</c:v>
                </c:pt>
                <c:pt idx="197">
                  <c:v>1.5249999999999968</c:v>
                </c:pt>
                <c:pt idx="198">
                  <c:v>1.5</c:v>
                </c:pt>
                <c:pt idx="199">
                  <c:v>1.4379999999999942</c:v>
                </c:pt>
                <c:pt idx="200">
                  <c:v>1.458</c:v>
                </c:pt>
                <c:pt idx="201">
                  <c:v>1.452</c:v>
                </c:pt>
                <c:pt idx="202">
                  <c:v>1.4829999999999968</c:v>
                </c:pt>
                <c:pt idx="203">
                  <c:v>1.4589999999999967</c:v>
                </c:pt>
                <c:pt idx="204">
                  <c:v>1.454</c:v>
                </c:pt>
                <c:pt idx="205">
                  <c:v>1.43</c:v>
                </c:pt>
                <c:pt idx="206">
                  <c:v>1.458</c:v>
                </c:pt>
                <c:pt idx="207">
                  <c:v>1.458</c:v>
                </c:pt>
                <c:pt idx="208">
                  <c:v>1.4379999999999942</c:v>
                </c:pt>
                <c:pt idx="209">
                  <c:v>1.4729999999999968</c:v>
                </c:pt>
                <c:pt idx="210">
                  <c:v>1.464</c:v>
                </c:pt>
                <c:pt idx="211">
                  <c:v>1.4389999999999961</c:v>
                </c:pt>
                <c:pt idx="212">
                  <c:v>1.5609999999999971</c:v>
                </c:pt>
                <c:pt idx="213">
                  <c:v>1.546999999999997</c:v>
                </c:pt>
                <c:pt idx="214">
                  <c:v>1.5720000000000001</c:v>
                </c:pt>
                <c:pt idx="215">
                  <c:v>1.5720000000000001</c:v>
                </c:pt>
                <c:pt idx="216">
                  <c:v>1.5980000000000001</c:v>
                </c:pt>
                <c:pt idx="217">
                  <c:v>1.609</c:v>
                </c:pt>
                <c:pt idx="218">
                  <c:v>1.601</c:v>
                </c:pt>
                <c:pt idx="219">
                  <c:v>1.5620000000000001</c:v>
                </c:pt>
                <c:pt idx="220">
                  <c:v>1.58</c:v>
                </c:pt>
                <c:pt idx="221">
                  <c:v>1.5620000000000001</c:v>
                </c:pt>
                <c:pt idx="222">
                  <c:v>1.599</c:v>
                </c:pt>
                <c:pt idx="223">
                  <c:v>1.548999999999997</c:v>
                </c:pt>
                <c:pt idx="224">
                  <c:v>1.534</c:v>
                </c:pt>
                <c:pt idx="225">
                  <c:v>1.5669999999999971</c:v>
                </c:pt>
                <c:pt idx="226">
                  <c:v>1.494999999999997</c:v>
                </c:pt>
                <c:pt idx="227">
                  <c:v>1.544</c:v>
                </c:pt>
                <c:pt idx="228">
                  <c:v>1.5660000000000001</c:v>
                </c:pt>
                <c:pt idx="229">
                  <c:v>1.6020000000000001</c:v>
                </c:pt>
                <c:pt idx="230">
                  <c:v>1.58</c:v>
                </c:pt>
                <c:pt idx="231">
                  <c:v>1.6020000000000001</c:v>
                </c:pt>
                <c:pt idx="232">
                  <c:v>1.609</c:v>
                </c:pt>
                <c:pt idx="233">
                  <c:v>1.595</c:v>
                </c:pt>
                <c:pt idx="234">
                  <c:v>1.556</c:v>
                </c:pt>
                <c:pt idx="235">
                  <c:v>1.5820000000000001</c:v>
                </c:pt>
                <c:pt idx="236">
                  <c:v>1.6220000000000001</c:v>
                </c:pt>
                <c:pt idx="237">
                  <c:v>1.6259999999999968</c:v>
                </c:pt>
                <c:pt idx="238">
                  <c:v>1.6240000000000001</c:v>
                </c:pt>
                <c:pt idx="239">
                  <c:v>1.6120000000000001</c:v>
                </c:pt>
                <c:pt idx="240">
                  <c:v>1.6459999999999968</c:v>
                </c:pt>
                <c:pt idx="241">
                  <c:v>1.6259999999999968</c:v>
                </c:pt>
                <c:pt idx="242">
                  <c:v>1.6040000000000001</c:v>
                </c:pt>
                <c:pt idx="243">
                  <c:v>1.6940000000000028</c:v>
                </c:pt>
                <c:pt idx="244">
                  <c:v>1.7229999999999968</c:v>
                </c:pt>
                <c:pt idx="245">
                  <c:v>1.784</c:v>
                </c:pt>
                <c:pt idx="246">
                  <c:v>1.6990000000000001</c:v>
                </c:pt>
                <c:pt idx="247">
                  <c:v>1.7089999999999967</c:v>
                </c:pt>
                <c:pt idx="248">
                  <c:v>1.677</c:v>
                </c:pt>
                <c:pt idx="249">
                  <c:v>1.6950000000000001</c:v>
                </c:pt>
                <c:pt idx="250">
                  <c:v>1.6379999999999968</c:v>
                </c:pt>
                <c:pt idx="251">
                  <c:v>1.637</c:v>
                </c:pt>
                <c:pt idx="252">
                  <c:v>1.611</c:v>
                </c:pt>
                <c:pt idx="253">
                  <c:v>1.5820000000000001</c:v>
                </c:pt>
                <c:pt idx="254">
                  <c:v>1.546999999999997</c:v>
                </c:pt>
                <c:pt idx="255">
                  <c:v>1.619</c:v>
                </c:pt>
                <c:pt idx="256">
                  <c:v>1.635</c:v>
                </c:pt>
                <c:pt idx="257">
                  <c:v>1.653</c:v>
                </c:pt>
              </c:numCache>
            </c:numRef>
          </c:val>
          <c:extLst xmlns:c16r2="http://schemas.microsoft.com/office/drawing/2015/06/chart">
            <c:ext xmlns:c16="http://schemas.microsoft.com/office/drawing/2014/chart" uri="{C3380CC4-5D6E-409C-BE32-E72D297353CC}">
              <c16:uniqueId val="{00000006-6E98-477D-BB83-D48883701F52}"/>
            </c:ext>
          </c:extLst>
        </c:ser>
        <c:marker val="1"/>
        <c:axId val="147893632"/>
        <c:axId val="147907712"/>
      </c:lineChart>
      <c:dateAx>
        <c:axId val="147893632"/>
        <c:scaling>
          <c:orientation val="minMax"/>
        </c:scaling>
        <c:axPos val="b"/>
        <c:numFmt formatCode="d/m/yyyy" sourceLinked="1"/>
        <c:majorTickMark val="none"/>
        <c:tickLblPos val="nextTo"/>
        <c:txPr>
          <a:bodyPr rot="-5400000" vert="horz"/>
          <a:lstStyle/>
          <a:p>
            <a:pPr>
              <a:defRPr sz="600" b="1" i="1">
                <a:latin typeface="Arial Narrow" pitchFamily="34" charset="0"/>
              </a:defRPr>
            </a:pPr>
            <a:endParaRPr lang="el-GR"/>
          </a:p>
        </c:txPr>
        <c:crossAx val="147907712"/>
        <c:crosses val="autoZero"/>
        <c:auto val="1"/>
        <c:lblOffset val="100"/>
        <c:baseTimeUnit val="days"/>
        <c:majorUnit val="1"/>
        <c:majorTimeUnit val="months"/>
        <c:minorUnit val="1"/>
        <c:minorTimeUnit val="months"/>
      </c:dateAx>
      <c:valAx>
        <c:axId val="147907712"/>
        <c:scaling>
          <c:orientation val="minMax"/>
          <c:max val="10"/>
        </c:scaling>
        <c:axPos val="l"/>
        <c:title>
          <c:tx>
            <c:rich>
              <a:bodyPr rot="-5400000" vert="horz"/>
              <a:lstStyle/>
              <a:p>
                <a:pPr>
                  <a:defRPr sz="600">
                    <a:latin typeface="Arial Narrow" pitchFamily="34" charset="0"/>
                  </a:defRPr>
                </a:pPr>
                <a:r>
                  <a:rPr lang="el-GR" sz="600">
                    <a:latin typeface="Arial Narrow" pitchFamily="34" charset="0"/>
                  </a:rPr>
                  <a:t>Απόδοση (</a:t>
                </a:r>
                <a:r>
                  <a:rPr lang="en-US" sz="600">
                    <a:latin typeface="Arial Narrow" pitchFamily="34" charset="0"/>
                  </a:rPr>
                  <a:t>%</a:t>
                </a:r>
                <a:r>
                  <a:rPr lang="el-GR" sz="600">
                    <a:latin typeface="Arial Narrow" pitchFamily="34" charset="0"/>
                  </a:rPr>
                  <a:t>)</a:t>
                </a:r>
                <a:endParaRPr lang="en-US" sz="600">
                  <a:latin typeface="Arial Narrow" pitchFamily="34" charset="0"/>
                </a:endParaRPr>
              </a:p>
            </c:rich>
          </c:tx>
          <c:layout>
            <c:manualLayout>
              <c:xMode val="edge"/>
              <c:yMode val="edge"/>
              <c:x val="4.8395420479338501E-3"/>
              <c:y val="0.41332528621088305"/>
            </c:manualLayout>
          </c:layout>
        </c:title>
        <c:numFmt formatCode="General" sourceLinked="1"/>
        <c:tickLblPos val="nextTo"/>
        <c:txPr>
          <a:bodyPr/>
          <a:lstStyle/>
          <a:p>
            <a:pPr>
              <a:defRPr sz="600" b="1">
                <a:latin typeface="Arial Narrow" pitchFamily="34" charset="0"/>
              </a:defRPr>
            </a:pPr>
            <a:endParaRPr lang="el-GR"/>
          </a:p>
        </c:txPr>
        <c:crossAx val="147893632"/>
        <c:crossesAt val="41931"/>
        <c:crossBetween val="between"/>
        <c:majorUnit val="1"/>
      </c:valAx>
      <c:spPr>
        <a:pattFill prst="pct20">
          <a:fgClr>
            <a:schemeClr val="accent1"/>
          </a:fgClr>
          <a:bgClr>
            <a:schemeClr val="bg1"/>
          </a:bgClr>
        </a:pattFill>
        <a:ln>
          <a:noFill/>
        </a:ln>
      </c:spPr>
    </c:plotArea>
    <c:legend>
      <c:legendPos val="b"/>
      <c:layout>
        <c:manualLayout>
          <c:xMode val="edge"/>
          <c:yMode val="edge"/>
          <c:x val="0.15880431612715126"/>
          <c:y val="0.92691413852234439"/>
          <c:w val="0.76806350818897562"/>
          <c:h val="4.0845948310515225E-2"/>
        </c:manualLayout>
      </c:layout>
      <c:txPr>
        <a:bodyPr/>
        <a:lstStyle/>
        <a:p>
          <a:pPr>
            <a:defRPr sz="500" b="1"/>
          </a:pPr>
          <a:endParaRPr lang="el-GR"/>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view3D>
      <c:perspective val="0"/>
    </c:view3D>
    <c:plotArea>
      <c:layout>
        <c:manualLayout>
          <c:layoutTarget val="inner"/>
          <c:xMode val="edge"/>
          <c:yMode val="edge"/>
          <c:x val="0.13174968679671034"/>
          <c:y val="0.21183849682341188"/>
          <c:w val="0.73434202713918806"/>
          <c:h val="0.63084256088128121"/>
        </c:manualLayout>
      </c:layout>
      <c:pie3DChart>
        <c:varyColors val="1"/>
        <c:ser>
          <c:idx val="0"/>
          <c:order val="0"/>
          <c:spPr>
            <a:ln w="12700">
              <a:solidFill>
                <a:srgbClr val="000000"/>
              </a:solidFill>
              <a:prstDash val="solid"/>
            </a:ln>
          </c:spPr>
          <c:explosion val="6"/>
          <c:dPt>
            <c:idx val="0"/>
            <c:spPr>
              <a:solidFill>
                <a:srgbClr val="FF9900"/>
              </a:solidFill>
              <a:ln w="12700">
                <a:solidFill>
                  <a:srgbClr val="000000"/>
                </a:solidFill>
                <a:prstDash val="solid"/>
              </a:ln>
            </c:spPr>
            <c:extLst xmlns:c16r2="http://schemas.microsoft.com/office/drawing/2015/06/chart">
              <c:ext xmlns:c16="http://schemas.microsoft.com/office/drawing/2014/chart" uri="{C3380CC4-5D6E-409C-BE32-E72D297353CC}">
                <c16:uniqueId val="{00000001-6106-459A-8763-730F53206993}"/>
              </c:ext>
            </c:extLst>
          </c:dPt>
          <c:dPt>
            <c:idx val="1"/>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3-6106-459A-8763-730F53206993}"/>
              </c:ext>
            </c:extLst>
          </c:dPt>
          <c:dPt>
            <c:idx val="2"/>
            <c:spPr>
              <a:solidFill>
                <a:srgbClr val="00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5-6106-459A-8763-730F53206993}"/>
              </c:ext>
            </c:extLst>
          </c:dPt>
          <c:dPt>
            <c:idx val="3"/>
            <c:spPr>
              <a:solidFill>
                <a:srgbClr val="00B0F0"/>
              </a:solidFill>
              <a:ln w="12700">
                <a:solidFill>
                  <a:srgbClr val="000000"/>
                </a:solidFill>
                <a:prstDash val="solid"/>
              </a:ln>
            </c:spPr>
            <c:extLst xmlns:c16r2="http://schemas.microsoft.com/office/drawing/2015/06/chart">
              <c:ext xmlns:c16="http://schemas.microsoft.com/office/drawing/2014/chart" uri="{C3380CC4-5D6E-409C-BE32-E72D297353CC}">
                <c16:uniqueId val="{00000007-6106-459A-8763-730F53206993}"/>
              </c:ext>
            </c:extLst>
          </c:dPt>
          <c:dPt>
            <c:idx val="4"/>
            <c:spPr>
              <a:solidFill>
                <a:schemeClr val="accent6">
                  <a:lumMod val="40000"/>
                  <a:lumOff val="6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9-6106-459A-8763-730F53206993}"/>
              </c:ext>
            </c:extLst>
          </c:dPt>
          <c:dPt>
            <c:idx val="5"/>
            <c:spPr>
              <a:solidFill>
                <a:schemeClr val="accent3">
                  <a:lumMod val="60000"/>
                  <a:lumOff val="4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B-6106-459A-8763-730F53206993}"/>
              </c:ext>
            </c:extLst>
          </c:dPt>
          <c:dLbls>
            <c:dLbl>
              <c:idx val="0"/>
              <c:layout>
                <c:manualLayout>
                  <c:x val="-9.7268640555999708E-2"/>
                  <c:y val="-0.11999852822135552"/>
                </c:manualLayout>
              </c:layout>
              <c:tx>
                <c:rich>
                  <a:bodyPr/>
                  <a:lstStyle/>
                  <a:p>
                    <a:r>
                      <a:rPr lang="el-GR" sz="600"/>
                      <a:t>Έ</a:t>
                    </a:r>
                    <a:r>
                      <a:rPr lang="el-GR"/>
                      <a:t>ντοκα</a:t>
                    </a:r>
                    <a:r>
                      <a:rPr lang="el-GR" baseline="0"/>
                      <a:t> </a:t>
                    </a:r>
                    <a:r>
                      <a:rPr lang="el-GR"/>
                      <a:t>Γραμμάτια
16,0%</a:t>
                    </a:r>
                  </a:p>
                </c:rich>
              </c:tx>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06-459A-8763-730F53206993}"/>
                </c:ext>
              </c:extLst>
            </c:dLbl>
            <c:dLbl>
              <c:idx val="1"/>
              <c:layout>
                <c:manualLayout>
                  <c:x val="1.0302545875070153E-2"/>
                  <c:y val="2.7044913778301229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06-459A-8763-730F53206993}"/>
                </c:ext>
              </c:extLst>
            </c:dLbl>
            <c:dLbl>
              <c:idx val="2"/>
              <c:layout>
                <c:manualLayout>
                  <c:x val="-7.7084856833499514E-3"/>
                  <c:y val="2.7806313930384886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06-459A-8763-730F53206993}"/>
                </c:ext>
              </c:extLst>
            </c:dLbl>
            <c:dLbl>
              <c:idx val="3"/>
              <c:layout>
                <c:manualLayout>
                  <c:x val="8.8303260148637208E-2"/>
                  <c:y val="4.7496749822159984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06-459A-8763-730F53206993}"/>
                </c:ext>
              </c:extLst>
            </c:dLbl>
            <c:dLbl>
              <c:idx val="4"/>
              <c:layout>
                <c:manualLayout>
                  <c:x val="-2.6763490416829724E-2"/>
                  <c:y val="3.5250079721343357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06-459A-8763-730F53206993}"/>
                </c:ext>
              </c:extLst>
            </c:dLbl>
            <c:dLbl>
              <c:idx val="5"/>
              <c:layout>
                <c:manualLayout>
                  <c:x val="9.3654189554600073E-2"/>
                  <c:y val="-0.128021684205362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06-459A-8763-730F53206993}"/>
                </c:ext>
              </c:extLst>
            </c:dLbl>
            <c:numFmt formatCode="0.0%" sourceLinked="0"/>
            <c:spPr>
              <a:noFill/>
              <a:ln w="25400">
                <a:noFill/>
              </a:ln>
            </c:spPr>
            <c:txPr>
              <a:bodyPr/>
              <a:lstStyle/>
              <a:p>
                <a:pPr>
                  <a:defRPr sz="600" b="1" i="0" u="none" strike="noStrike" baseline="0">
                    <a:solidFill>
                      <a:srgbClr val="000000"/>
                    </a:solidFill>
                    <a:latin typeface="Arial"/>
                    <a:ea typeface="Arial"/>
                    <a:cs typeface="Arial"/>
                  </a:defRPr>
                </a:pPr>
                <a:endParaRPr lang="el-GR"/>
              </a:p>
            </c:txPr>
            <c:showCatName val="1"/>
            <c:showPercent val="1"/>
            <c:showLeaderLines val="1"/>
            <c:extLst xmlns:c16r2="http://schemas.microsoft.com/office/drawing/2015/06/chart">
              <c:ext xmlns:c15="http://schemas.microsoft.com/office/drawing/2012/chart" uri="{CE6537A1-D6FC-4f65-9D91-7224C49458BB}"/>
            </c:extLst>
          </c:dLbls>
          <c:cat>
            <c:strRef>
              <c:f>'C:\Koinos fakelos sto a_tmhma\ΔΕΛΤΙΟ ΔΗΜΟΣΙΟΥ ΧΡΕΟΥΣ\Bulletin_87\[trade volume by maturity.xls]Sheet1'!$A$1:$A$6</c:f>
              <c:strCache>
                <c:ptCount val="6"/>
                <c:pt idx="0">
                  <c:v>Έντ. Γρ/τια</c:v>
                </c:pt>
                <c:pt idx="1">
                  <c:v>Έως 3 έτη</c:v>
                </c:pt>
                <c:pt idx="2">
                  <c:v>3-5 έτη</c:v>
                </c:pt>
                <c:pt idx="3">
                  <c:v>Έως 10 έτη</c:v>
                </c:pt>
                <c:pt idx="4">
                  <c:v>10-15 έτη</c:v>
                </c:pt>
                <c:pt idx="5">
                  <c:v>15-30 έτη</c:v>
                </c:pt>
              </c:strCache>
            </c:strRef>
          </c:cat>
          <c:val>
            <c:numRef>
              <c:f>'C:\Koinos fakelos sto a_tmhma\ΔΕΛΤΙΟ ΔΗΜΟΣΙΟΥ ΧΡΕΟΥΣ\Bulletin_87\[trade volume by maturity.xls]Sheet1'!$B$1:$B$6</c:f>
              <c:numCache>
                <c:formatCode>General</c:formatCode>
                <c:ptCount val="6"/>
                <c:pt idx="0">
                  <c:v>0.16</c:v>
                </c:pt>
                <c:pt idx="1">
                  <c:v>8.0000000000000043E-2</c:v>
                </c:pt>
                <c:pt idx="2">
                  <c:v>0.19</c:v>
                </c:pt>
                <c:pt idx="3">
                  <c:v>8.0000000000000043E-2</c:v>
                </c:pt>
                <c:pt idx="4">
                  <c:v>0.13</c:v>
                </c:pt>
                <c:pt idx="5">
                  <c:v>0.36000000000000032</c:v>
                </c:pt>
              </c:numCache>
            </c:numRef>
          </c:val>
          <c:extLst xmlns:c16r2="http://schemas.microsoft.com/office/drawing/2015/06/chart">
            <c:ext xmlns:c16="http://schemas.microsoft.com/office/drawing/2014/chart" uri="{C3380CC4-5D6E-409C-BE32-E72D297353CC}">
              <c16:uniqueId val="{0000000C-6106-459A-8763-730F53206993}"/>
            </c:ext>
          </c:extLst>
        </c:ser>
      </c:pie3DChart>
      <c:spPr>
        <a:noFill/>
        <a:ln w="25400">
          <a:noFill/>
        </a:ln>
      </c:spPr>
    </c:plotArea>
    <c:plotVisOnly val="1"/>
    <c:dispBlanksAs val="zero"/>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7.9416531604538543E-2"/>
          <c:y val="7.2980149325994448E-2"/>
          <c:w val="0.90761750405186359"/>
          <c:h val="0.7704918032786926"/>
        </c:manualLayout>
      </c:layout>
      <c:barChart>
        <c:barDir val="col"/>
        <c:grouping val="clustered"/>
        <c:ser>
          <c:idx val="0"/>
          <c:order val="0"/>
          <c:tx>
            <c:strRef>
              <c:f>'Diagramma 4.7 '!$D$1</c:f>
              <c:strCache>
                <c:ptCount val="1"/>
                <c:pt idx="0">
                  <c:v>2016</c:v>
                </c:pt>
              </c:strCache>
            </c:strRef>
          </c:tx>
          <c:spPr>
            <a:solidFill>
              <a:srgbClr val="FF0000"/>
            </a:solidFill>
            <a:ln w="12700">
              <a:noFill/>
              <a:prstDash val="solid"/>
            </a:ln>
          </c:spPr>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'!$D$2:$D$10</c:f>
              <c:numCache>
                <c:formatCode>0</c:formatCode>
                <c:ptCount val="9"/>
                <c:pt idx="0">
                  <c:v>48</c:v>
                </c:pt>
                <c:pt idx="1">
                  <c:v>32</c:v>
                </c:pt>
                <c:pt idx="2">
                  <c:v>92</c:v>
                </c:pt>
                <c:pt idx="3">
                  <c:v>41</c:v>
                </c:pt>
                <c:pt idx="4">
                  <c:v>43</c:v>
                </c:pt>
                <c:pt idx="5">
                  <c:v>42</c:v>
                </c:pt>
                <c:pt idx="6">
                  <c:v>12</c:v>
                </c:pt>
                <c:pt idx="7">
                  <c:v>11</c:v>
                </c:pt>
                <c:pt idx="8">
                  <c:v>40</c:v>
                </c:pt>
              </c:numCache>
            </c:numRef>
          </c:val>
          <c:extLst xmlns:c16r2="http://schemas.microsoft.com/office/drawing/2015/06/chart">
            <c:ext xmlns:c16="http://schemas.microsoft.com/office/drawing/2014/chart" uri="{C3380CC4-5D6E-409C-BE32-E72D297353CC}">
              <c16:uniqueId val="{00000000-A7CA-4F21-A6A0-8C011FF0A3C4}"/>
            </c:ext>
          </c:extLst>
        </c:ser>
        <c:ser>
          <c:idx val="1"/>
          <c:order val="1"/>
          <c:tx>
            <c:strRef>
              <c:f>'Diagramma 4.7 '!$E$1</c:f>
              <c:strCache>
                <c:ptCount val="1"/>
                <c:pt idx="0">
                  <c:v>2017</c:v>
                </c:pt>
              </c:strCache>
            </c:strRef>
          </c:tx>
          <c:spPr>
            <a:solidFill>
              <a:schemeClr val="bg1">
                <a:lumMod val="50000"/>
              </a:schemeClr>
            </a:solidFill>
            <a:ln w="12700">
              <a:noFill/>
              <a:prstDash val="solid"/>
            </a:ln>
          </c:spPr>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'!$E$2:$E$10</c:f>
              <c:numCache>
                <c:formatCode>0</c:formatCode>
                <c:ptCount val="9"/>
                <c:pt idx="0">
                  <c:v>30</c:v>
                </c:pt>
                <c:pt idx="1">
                  <c:v>17</c:v>
                </c:pt>
                <c:pt idx="2">
                  <c:v>29</c:v>
                </c:pt>
                <c:pt idx="3">
                  <c:v>5</c:v>
                </c:pt>
                <c:pt idx="4">
                  <c:v>104</c:v>
                </c:pt>
                <c:pt idx="5">
                  <c:v>27</c:v>
                </c:pt>
                <c:pt idx="6">
                  <c:v>29</c:v>
                </c:pt>
                <c:pt idx="7">
                  <c:v>64</c:v>
                </c:pt>
                <c:pt idx="8">
                  <c:v>26</c:v>
                </c:pt>
              </c:numCache>
            </c:numRef>
          </c:val>
          <c:extLst xmlns:c16r2="http://schemas.microsoft.com/office/drawing/2015/06/chart">
            <c:ext xmlns:c16="http://schemas.microsoft.com/office/drawing/2014/chart" uri="{C3380CC4-5D6E-409C-BE32-E72D297353CC}">
              <c16:uniqueId val="{00000001-A7CA-4F21-A6A0-8C011FF0A3C4}"/>
            </c:ext>
          </c:extLst>
        </c:ser>
        <c:axId val="147872384"/>
        <c:axId val="147878272"/>
      </c:barChart>
      <c:catAx>
        <c:axId val="147872384"/>
        <c:scaling>
          <c:orientation val="minMax"/>
        </c:scaling>
        <c:axPos val="b"/>
        <c:numFmt formatCode="General" sourceLinked="1"/>
        <c:tickLblPos val="nextTo"/>
        <c:spPr>
          <a:ln w="3175">
            <a:solidFill>
              <a:srgbClr val="000000"/>
            </a:solidFill>
            <a:prstDash val="solid"/>
          </a:ln>
        </c:spPr>
        <c:txPr>
          <a:bodyPr rot="0" vert="horz"/>
          <a:lstStyle/>
          <a:p>
            <a:pPr>
              <a:defRPr/>
            </a:pPr>
            <a:endParaRPr lang="el-GR"/>
          </a:p>
        </c:txPr>
        <c:crossAx val="147878272"/>
        <c:crosses val="autoZero"/>
        <c:auto val="1"/>
        <c:lblAlgn val="ctr"/>
        <c:lblOffset val="100"/>
        <c:tickLblSkip val="1"/>
        <c:tickMarkSkip val="1"/>
      </c:catAx>
      <c:valAx>
        <c:axId val="147878272"/>
        <c:scaling>
          <c:orientation val="minMax"/>
          <c:max val="11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l-GR"/>
          </a:p>
        </c:txPr>
        <c:crossAx val="147872384"/>
        <c:crosses val="autoZero"/>
        <c:crossBetween val="between"/>
        <c:majorUnit val="10"/>
      </c:valAx>
      <c:spPr>
        <a:solidFill>
          <a:srgbClr val="FFFFFF"/>
        </a:solidFill>
        <a:ln w="12700">
          <a:solidFill>
            <a:srgbClr val="FFFFFF"/>
          </a:solidFill>
          <a:prstDash val="solid"/>
        </a:ln>
      </c:spPr>
    </c:plotArea>
    <c:legend>
      <c:legendPos val="b"/>
      <c:layout>
        <c:manualLayout>
          <c:xMode val="edge"/>
          <c:yMode val="edge"/>
          <c:x val="0.43883340352310096"/>
          <c:y val="0.9310922542449187"/>
          <c:w val="0.11801103468225306"/>
          <c:h val="6.4592751148825178E-2"/>
        </c:manualLayout>
      </c:layout>
      <c:spPr>
        <a:solidFill>
          <a:srgbClr val="FFFFFF"/>
        </a:solidFill>
        <a:ln w="3175">
          <a:noFill/>
          <a:prstDash val="solid"/>
        </a:ln>
      </c:spPr>
    </c:legend>
    <c:plotVisOnly val="1"/>
    <c:dispBlanksAs val="gap"/>
  </c:chart>
  <c:spPr>
    <a:solidFill>
      <a:srgbClr val="FFFFFF"/>
    </a:solidFill>
    <a:ln w="9525">
      <a:noFill/>
    </a:ln>
  </c:spPr>
  <c:txPr>
    <a:bodyPr/>
    <a:lstStyle/>
    <a:p>
      <a:pPr>
        <a:defRPr sz="800" b="0" i="0" u="none" strike="noStrike" baseline="0">
          <a:solidFill>
            <a:srgbClr val="000000"/>
          </a:solidFill>
          <a:latin typeface="Arial Narrow" pitchFamily="34" charset="0"/>
          <a:ea typeface="Arial"/>
          <a:cs typeface="Arial"/>
        </a:defRPr>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2122492080253488"/>
          <c:y val="0.15633806367424424"/>
          <c:w val="0.60994972719206664"/>
          <c:h val="0.38760092381249556"/>
        </c:manualLayout>
      </c:layout>
      <c:barChart>
        <c:barDir val="col"/>
        <c:grouping val="clustered"/>
        <c:ser>
          <c:idx val="1"/>
          <c:order val="0"/>
          <c:tx>
            <c:strRef>
              <c:f>table1!$C$10</c:f>
              <c:strCache>
                <c:ptCount val="1"/>
                <c:pt idx="0">
                  <c:v>ΕΓΓΥΗΣΕΙΣ ως % του ΑΕΠ</c:v>
                </c:pt>
              </c:strCache>
            </c:strRef>
          </c:tx>
          <c:spPr>
            <a:solidFill>
              <a:srgbClr val="FF0000"/>
            </a:solidFill>
            <a:ln w="12700">
              <a:noFill/>
              <a:prstDash val="solid"/>
            </a:ln>
          </c:spPr>
          <c:cat>
            <c:strRef>
              <c:f>table1!$A$11:$A$28</c:f>
              <c:strCach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strCache>
            </c:strRef>
          </c:cat>
          <c:val>
            <c:numRef>
              <c:f>table1!$C$11:$C$28</c:f>
              <c:numCache>
                <c:formatCode>0.0%</c:formatCode>
                <c:ptCount val="18"/>
                <c:pt idx="0">
                  <c:v>1.0999999999999998E-2</c:v>
                </c:pt>
                <c:pt idx="1">
                  <c:v>7.0000000000000114E-3</c:v>
                </c:pt>
                <c:pt idx="2">
                  <c:v>6.0000000000000114E-3</c:v>
                </c:pt>
                <c:pt idx="3">
                  <c:v>9.0000000000000028E-3</c:v>
                </c:pt>
                <c:pt idx="4">
                  <c:v>1.0000000000000005E-2</c:v>
                </c:pt>
                <c:pt idx="5">
                  <c:v>8.0000000000000227E-3</c:v>
                </c:pt>
                <c:pt idx="6">
                  <c:v>8.0000000000000227E-3</c:v>
                </c:pt>
                <c:pt idx="7">
                  <c:v>7.0000000000000114E-3</c:v>
                </c:pt>
                <c:pt idx="8">
                  <c:v>7.0000000000000114E-3</c:v>
                </c:pt>
                <c:pt idx="9">
                  <c:v>7.0000000000000114E-3</c:v>
                </c:pt>
                <c:pt idx="10">
                  <c:v>6.0000000000000114E-3</c:v>
                </c:pt>
                <c:pt idx="11">
                  <c:v>9.0000000000000028E-3</c:v>
                </c:pt>
                <c:pt idx="12">
                  <c:v>4.0000000000000114E-3</c:v>
                </c:pt>
                <c:pt idx="13">
                  <c:v>4.0000000000000114E-3</c:v>
                </c:pt>
                <c:pt idx="14">
                  <c:v>3.000000000000007E-3</c:v>
                </c:pt>
                <c:pt idx="15" formatCode="0.00%">
                  <c:v>4.0000000000000034E-4</c:v>
                </c:pt>
                <c:pt idx="16" formatCode="0.00%">
                  <c:v>9.0000000000000247E-4</c:v>
                </c:pt>
                <c:pt idx="17" formatCode="0.00%">
                  <c:v>1.5000000000000035E-3</c:v>
                </c:pt>
              </c:numCache>
            </c:numRef>
          </c:val>
          <c:extLst xmlns:c16r2="http://schemas.microsoft.com/office/drawing/2015/06/chart">
            <c:ext xmlns:c16="http://schemas.microsoft.com/office/drawing/2014/chart" uri="{C3380CC4-5D6E-409C-BE32-E72D297353CC}">
              <c16:uniqueId val="{00000000-1917-4556-AAF8-295AD906C575}"/>
            </c:ext>
          </c:extLst>
        </c:ser>
        <c:ser>
          <c:idx val="2"/>
          <c:order val="1"/>
          <c:tx>
            <c:strRef>
              <c:f>table1!$G$10</c:f>
              <c:strCache>
                <c:ptCount val="1"/>
                <c:pt idx="0">
                  <c:v>ΚΑΤΑΠΤΩΣΕΙΣ ως  % του ΑΕΠ</c:v>
                </c:pt>
              </c:strCache>
            </c:strRef>
          </c:tx>
          <c:spPr>
            <a:solidFill>
              <a:srgbClr val="0000FF"/>
            </a:solidFill>
            <a:ln w="38100">
              <a:noFill/>
              <a:prstDash val="solid"/>
            </a:ln>
          </c:spPr>
          <c:cat>
            <c:strRef>
              <c:f>table1!$A$11:$A$28</c:f>
              <c:strCach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strCache>
            </c:strRef>
          </c:cat>
          <c:val>
            <c:numRef>
              <c:f>table1!$G$11:$G$28</c:f>
              <c:numCache>
                <c:formatCode>0.0%</c:formatCode>
                <c:ptCount val="18"/>
                <c:pt idx="0">
                  <c:v>2.0000000000000052E-3</c:v>
                </c:pt>
                <c:pt idx="1">
                  <c:v>2.0000000000000052E-3</c:v>
                </c:pt>
                <c:pt idx="2">
                  <c:v>2.0000000000000052E-3</c:v>
                </c:pt>
                <c:pt idx="3">
                  <c:v>2.0000000000000052E-3</c:v>
                </c:pt>
                <c:pt idx="4">
                  <c:v>3.000000000000007E-3</c:v>
                </c:pt>
                <c:pt idx="5">
                  <c:v>2.0000000000000052E-3</c:v>
                </c:pt>
                <c:pt idx="6">
                  <c:v>1.0000000000000035E-3</c:v>
                </c:pt>
                <c:pt idx="7" formatCode="0.00%">
                  <c:v>2.0000000000000052E-4</c:v>
                </c:pt>
                <c:pt idx="8" formatCode="0.00%">
                  <c:v>1.8000000000000052E-3</c:v>
                </c:pt>
                <c:pt idx="9" formatCode="0.00%">
                  <c:v>3.000000000000007E-3</c:v>
                </c:pt>
                <c:pt idx="10" formatCode="0.00%">
                  <c:v>4.3000000000000104E-3</c:v>
                </c:pt>
                <c:pt idx="11" formatCode="0.00%">
                  <c:v>7.0000000000000114E-3</c:v>
                </c:pt>
                <c:pt idx="12" formatCode="0.00%">
                  <c:v>4.1999999999999997E-3</c:v>
                </c:pt>
                <c:pt idx="13" formatCode="0.00%">
                  <c:v>4.9000000000000172E-3</c:v>
                </c:pt>
                <c:pt idx="14" formatCode="0.00%">
                  <c:v>3.3000000000000052E-3</c:v>
                </c:pt>
                <c:pt idx="15" formatCode="0.00%">
                  <c:v>4.0000000000000114E-3</c:v>
                </c:pt>
                <c:pt idx="16" formatCode="0.00%">
                  <c:v>2.3999999999999998E-3</c:v>
                </c:pt>
                <c:pt idx="17" formatCode="0.00%">
                  <c:v>3.8000000000000052E-3</c:v>
                </c:pt>
              </c:numCache>
            </c:numRef>
          </c:val>
          <c:extLst xmlns:c16r2="http://schemas.microsoft.com/office/drawing/2015/06/chart">
            <c:ext xmlns:c16="http://schemas.microsoft.com/office/drawing/2014/chart" uri="{C3380CC4-5D6E-409C-BE32-E72D297353CC}">
              <c16:uniqueId val="{00000001-1917-4556-AAF8-295AD906C575}"/>
            </c:ext>
          </c:extLst>
        </c:ser>
        <c:axId val="148860928"/>
        <c:axId val="148862848"/>
      </c:barChart>
      <c:lineChart>
        <c:grouping val="standard"/>
        <c:ser>
          <c:idx val="0"/>
          <c:order val="2"/>
          <c:tx>
            <c:strRef>
              <c:f>table1!$E$10</c:f>
              <c:strCache>
                <c:ptCount val="1"/>
                <c:pt idx="0">
                  <c:v>ΥΠΟΛΟΙΠΟ ως % του ΑΕΠ</c:v>
                </c:pt>
              </c:strCache>
            </c:strRef>
          </c:tx>
          <c:spPr>
            <a:ln w="15875">
              <a:solidFill>
                <a:schemeClr val="bg1">
                  <a:lumMod val="50000"/>
                </a:schemeClr>
              </a:solidFill>
              <a:prstDash val="solid"/>
            </a:ln>
          </c:spPr>
          <c:marker>
            <c:symbol val="diamond"/>
            <c:size val="5"/>
            <c:spPr>
              <a:solidFill>
                <a:schemeClr val="bg1">
                  <a:lumMod val="50000"/>
                </a:schemeClr>
              </a:solidFill>
              <a:ln w="3175">
                <a:solidFill>
                  <a:schemeClr val="bg1">
                    <a:lumMod val="50000"/>
                  </a:schemeClr>
                </a:solidFill>
                <a:prstDash val="solid"/>
              </a:ln>
            </c:spPr>
          </c:marker>
          <c:cat>
            <c:strRef>
              <c:f>table1!$A$11:$A$28</c:f>
              <c:strCach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strCache>
            </c:strRef>
          </c:cat>
          <c:val>
            <c:numRef>
              <c:f>table1!$E$11:$E$28</c:f>
              <c:numCache>
                <c:formatCode>0.0%</c:formatCode>
                <c:ptCount val="18"/>
                <c:pt idx="0">
                  <c:v>6.0000000000000032E-2</c:v>
                </c:pt>
                <c:pt idx="1">
                  <c:v>5.8000000000000003E-2</c:v>
                </c:pt>
                <c:pt idx="2">
                  <c:v>5.9000000000000143E-2</c:v>
                </c:pt>
                <c:pt idx="3">
                  <c:v>6.8000000000000019E-2</c:v>
                </c:pt>
                <c:pt idx="4">
                  <c:v>7.5000000000000011E-2</c:v>
                </c:pt>
                <c:pt idx="5">
                  <c:v>8.1000000000000003E-2</c:v>
                </c:pt>
                <c:pt idx="6">
                  <c:v>8.2000000000000003E-2</c:v>
                </c:pt>
                <c:pt idx="7">
                  <c:v>8.6000000000000021E-2</c:v>
                </c:pt>
                <c:pt idx="8">
                  <c:v>9.6000000000000002E-2</c:v>
                </c:pt>
                <c:pt idx="9">
                  <c:v>0.10800000000000012</c:v>
                </c:pt>
                <c:pt idx="10">
                  <c:v>9.9000000000000046E-2</c:v>
                </c:pt>
                <c:pt idx="11">
                  <c:v>9.6000000000000002E-2</c:v>
                </c:pt>
                <c:pt idx="12">
                  <c:v>0.10100000000000002</c:v>
                </c:pt>
                <c:pt idx="13">
                  <c:v>9.5000000000000043E-2</c:v>
                </c:pt>
                <c:pt idx="14">
                  <c:v>9.1000000000000025E-2</c:v>
                </c:pt>
                <c:pt idx="15">
                  <c:v>8.6000000000000021E-2</c:v>
                </c:pt>
                <c:pt idx="16">
                  <c:v>7.5000000000000011E-2</c:v>
                </c:pt>
                <c:pt idx="17">
                  <c:v>6.7000000000000004E-2</c:v>
                </c:pt>
              </c:numCache>
            </c:numRef>
          </c:val>
          <c:extLst xmlns:c16r2="http://schemas.microsoft.com/office/drawing/2015/06/chart">
            <c:ext xmlns:c16="http://schemas.microsoft.com/office/drawing/2014/chart" uri="{C3380CC4-5D6E-409C-BE32-E72D297353CC}">
              <c16:uniqueId val="{00000002-1917-4556-AAF8-295AD906C575}"/>
            </c:ext>
          </c:extLst>
        </c:ser>
        <c:marker val="1"/>
        <c:axId val="148864384"/>
        <c:axId val="148874368"/>
      </c:lineChart>
      <c:catAx>
        <c:axId val="148860928"/>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a:pPr>
            <a:endParaRPr lang="el-GR"/>
          </a:p>
        </c:txPr>
        <c:crossAx val="148862848"/>
        <c:crosses val="autoZero"/>
        <c:lblAlgn val="ctr"/>
        <c:lblOffset val="100"/>
        <c:tickMarkSkip val="1"/>
      </c:catAx>
      <c:valAx>
        <c:axId val="148862848"/>
        <c:scaling>
          <c:orientation val="minMax"/>
        </c:scaling>
        <c:axPos val="l"/>
        <c:numFmt formatCode="0.0%" sourceLinked="1"/>
        <c:majorTickMark val="cross"/>
        <c:tickLblPos val="nextTo"/>
        <c:spPr>
          <a:ln w="3175">
            <a:solidFill>
              <a:srgbClr val="000000"/>
            </a:solidFill>
            <a:prstDash val="solid"/>
          </a:ln>
        </c:spPr>
        <c:txPr>
          <a:bodyPr rot="0" vert="horz"/>
          <a:lstStyle/>
          <a:p>
            <a:pPr>
              <a:defRPr/>
            </a:pPr>
            <a:endParaRPr lang="el-GR"/>
          </a:p>
        </c:txPr>
        <c:crossAx val="148860928"/>
        <c:crosses val="autoZero"/>
        <c:crossBetween val="between"/>
      </c:valAx>
      <c:catAx>
        <c:axId val="148864384"/>
        <c:scaling>
          <c:orientation val="minMax"/>
        </c:scaling>
        <c:delete val="1"/>
        <c:axPos val="b"/>
        <c:numFmt formatCode="General" sourceLinked="1"/>
        <c:tickLblPos val="none"/>
        <c:crossAx val="148874368"/>
        <c:crosses val="autoZero"/>
        <c:lblAlgn val="ctr"/>
        <c:lblOffset val="100"/>
      </c:catAx>
      <c:valAx>
        <c:axId val="148874368"/>
        <c:scaling>
          <c:orientation val="minMax"/>
        </c:scaling>
        <c:axPos val="r"/>
        <c:numFmt formatCode="0.0%" sourceLinked="1"/>
        <c:majorTickMark val="cross"/>
        <c:tickLblPos val="nextTo"/>
        <c:spPr>
          <a:ln w="3175">
            <a:solidFill>
              <a:srgbClr val="000000"/>
            </a:solidFill>
            <a:prstDash val="solid"/>
          </a:ln>
        </c:spPr>
        <c:txPr>
          <a:bodyPr rot="0" vert="horz"/>
          <a:lstStyle/>
          <a:p>
            <a:pPr>
              <a:defRPr/>
            </a:pPr>
            <a:endParaRPr lang="el-GR"/>
          </a:p>
        </c:txPr>
        <c:crossAx val="148864384"/>
        <c:crosses val="max"/>
        <c:crossBetween val="between"/>
      </c:valAx>
      <c:dTable>
        <c:showHorzBorder val="1"/>
        <c:showVertBorder val="1"/>
        <c:showOutline val="1"/>
        <c:showKeys val="1"/>
        <c:spPr>
          <a:ln w="3175">
            <a:solidFill>
              <a:srgbClr val="008000"/>
            </a:solidFill>
            <a:prstDash val="solid"/>
          </a:ln>
        </c:spPr>
      </c:dTable>
      <c:spPr>
        <a:noFill/>
        <a:ln w="12700">
          <a:noFill/>
          <a:prstDash val="solid"/>
        </a:ln>
      </c:spPr>
    </c:plotArea>
    <c:plotVisOnly val="1"/>
    <c:dispBlanksAs val="gap"/>
  </c:chart>
  <c:spPr>
    <a:noFill/>
    <a:ln w="9525">
      <a:noFill/>
    </a:ln>
  </c:spPr>
  <c:txPr>
    <a:bodyPr/>
    <a:lstStyle/>
    <a:p>
      <a:pPr>
        <a:defRPr sz="600" b="1" i="0" u="none" strike="noStrike" baseline="0">
          <a:solidFill>
            <a:srgbClr val="000000"/>
          </a:solidFill>
          <a:latin typeface="Arial Narrow" pitchFamily="34" charset="0"/>
          <a:ea typeface="Arial"/>
          <a:cs typeface="Arial"/>
        </a:defRPr>
      </a:pPr>
      <a:endParaRPr lang="el-G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0.10744</cdr:x>
      <cdr:y>0.09718</cdr:y>
    </cdr:from>
    <cdr:to>
      <cdr:x>0.17116</cdr:x>
      <cdr:y>0.54366</cdr:y>
    </cdr:to>
    <cdr:sp macro="" textlink="">
      <cdr:nvSpPr>
        <cdr:cNvPr id="3" name="2 - TextBox"/>
        <cdr:cNvSpPr txBox="1"/>
      </cdr:nvSpPr>
      <cdr:spPr bwMode="auto">
        <a:xfrm xmlns:a="http://schemas.openxmlformats.org/drawingml/2006/main">
          <a:off x="660400" y="292101"/>
          <a:ext cx="391686" cy="134196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vert="vert270" wrap="square" lIns="27432" tIns="22860" rIns="27432" bIns="22860" rtlCol="0" anchor="ctr" upright="1"/>
        <a:lstStyle xmlns:a="http://schemas.openxmlformats.org/drawingml/2006/main"/>
        <a:p xmlns:a="http://schemas.openxmlformats.org/drawingml/2006/main">
          <a:pPr algn="ctr" rtl="0"/>
          <a:r>
            <a:rPr lang="el-GR" sz="600" b="1" i="0" u="none" strike="noStrike">
              <a:solidFill>
                <a:srgbClr val="000000"/>
              </a:solidFill>
              <a:latin typeface="Arial Narrow" pitchFamily="34" charset="0"/>
              <a:cs typeface="Arial"/>
            </a:rPr>
            <a:t>Εγγυήσεις</a:t>
          </a:r>
          <a:r>
            <a:rPr lang="el-GR" sz="600" b="1" i="0" u="none" strike="noStrike" baseline="0">
              <a:solidFill>
                <a:srgbClr val="000000"/>
              </a:solidFill>
              <a:latin typeface="Arial Narrow" pitchFamily="34" charset="0"/>
              <a:cs typeface="Arial"/>
            </a:rPr>
            <a:t> και καταπτώσεις</a:t>
          </a:r>
        </a:p>
        <a:p xmlns:a="http://schemas.openxmlformats.org/drawingml/2006/main">
          <a:pPr algn="ctr" rtl="0"/>
          <a:r>
            <a:rPr lang="el-GR" sz="600" b="1" i="0" u="none" strike="noStrike" baseline="0">
              <a:solidFill>
                <a:srgbClr val="000000"/>
              </a:solidFill>
              <a:latin typeface="Arial Narrow" pitchFamily="34" charset="0"/>
              <a:cs typeface="Arial"/>
            </a:rPr>
            <a:t>ως % του ΑΕΠ</a:t>
          </a:r>
          <a:endParaRPr lang="el-GR" sz="600" b="1" i="0" u="none" strike="noStrike">
            <a:solidFill>
              <a:srgbClr val="000000"/>
            </a:solidFill>
            <a:latin typeface="Arial Narrow" pitchFamily="34" charset="0"/>
            <a:cs typeface="Arial"/>
          </a:endParaRPr>
        </a:p>
      </cdr:txBody>
    </cdr:sp>
  </cdr:relSizeAnchor>
  <cdr:relSizeAnchor xmlns:cdr="http://schemas.openxmlformats.org/drawingml/2006/chartDrawing">
    <cdr:from>
      <cdr:x>0.90565</cdr:x>
      <cdr:y>0.14225</cdr:y>
    </cdr:from>
    <cdr:to>
      <cdr:x>0.96694</cdr:x>
      <cdr:y>0.5338</cdr:y>
    </cdr:to>
    <cdr:sp macro="" textlink="">
      <cdr:nvSpPr>
        <cdr:cNvPr id="4" name="3 - TextBox"/>
        <cdr:cNvSpPr txBox="1"/>
      </cdr:nvSpPr>
      <cdr:spPr bwMode="auto">
        <a:xfrm xmlns:a="http://schemas.openxmlformats.org/drawingml/2006/main">
          <a:off x="5566834" y="427568"/>
          <a:ext cx="376766" cy="117686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vert="vert270" wrap="square" lIns="27432" tIns="22860" rIns="27432" bIns="22860" rtlCol="0" anchor="ctr" upright="1"/>
        <a:lstStyle xmlns:a="http://schemas.openxmlformats.org/drawingml/2006/main"/>
        <a:p xmlns:a="http://schemas.openxmlformats.org/drawingml/2006/main">
          <a:pPr algn="ctr" rtl="0"/>
          <a:r>
            <a:rPr lang="el-GR" sz="600" b="1" i="0" u="none" strike="noStrike">
              <a:solidFill>
                <a:srgbClr val="000000"/>
              </a:solidFill>
              <a:latin typeface="Arial Narrow" pitchFamily="34" charset="0"/>
              <a:cs typeface="Arial"/>
            </a:rPr>
            <a:t>Ανεξόφλητο εγγυημένο</a:t>
          </a:r>
          <a:r>
            <a:rPr lang="el-GR" sz="600" b="1" i="0" u="none" strike="noStrike" baseline="0">
              <a:solidFill>
                <a:srgbClr val="000000"/>
              </a:solidFill>
              <a:latin typeface="Arial Narrow" pitchFamily="34" charset="0"/>
              <a:cs typeface="Arial"/>
            </a:rPr>
            <a:t> υπόλοιπο</a:t>
          </a:r>
        </a:p>
        <a:p xmlns:a="http://schemas.openxmlformats.org/drawingml/2006/main">
          <a:pPr algn="ctr" rtl="0"/>
          <a:r>
            <a:rPr lang="el-GR" sz="600" b="1" i="0" u="none" strike="noStrike" baseline="0">
              <a:solidFill>
                <a:srgbClr val="000000"/>
              </a:solidFill>
              <a:latin typeface="Arial Narrow" pitchFamily="34" charset="0"/>
              <a:cs typeface="Arial"/>
            </a:rPr>
            <a:t>ως % του ΑΕΠ</a:t>
          </a:r>
          <a:endParaRPr lang="el-GR" sz="600" b="1" i="0" u="none" strike="noStrike">
            <a:solidFill>
              <a:srgbClr val="000000"/>
            </a:solidFill>
            <a:latin typeface="Arial Narrow" pitchFamily="34" charset="0"/>
            <a:cs typeface="Arial"/>
          </a:endParaRPr>
        </a:p>
      </cdr:txBody>
    </cdr:sp>
  </cdr:relSizeAnchor>
  <cdr:relSizeAnchor xmlns:cdr="http://schemas.openxmlformats.org/drawingml/2006/chartDrawing">
    <cdr:from>
      <cdr:x>0.24896</cdr:x>
      <cdr:y>0.74614</cdr:y>
    </cdr:from>
    <cdr:to>
      <cdr:x>0.7417</cdr:x>
      <cdr:y>0.81132</cdr:y>
    </cdr:to>
    <cdr:sp macro="" textlink="">
      <cdr:nvSpPr>
        <cdr:cNvPr id="5" name="4 - TextBox"/>
        <cdr:cNvSpPr txBox="1"/>
      </cdr:nvSpPr>
      <cdr:spPr bwMode="auto">
        <a:xfrm xmlns:a="http://schemas.openxmlformats.org/drawingml/2006/main">
          <a:off x="2286001" y="4143375"/>
          <a:ext cx="4524375" cy="36195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rtlCol="0" anchor="ctr" upright="1"/>
        <a:lstStyle xmlns:a="http://schemas.openxmlformats.org/drawingml/2006/main"/>
        <a:p xmlns:a="http://schemas.openxmlformats.org/drawingml/2006/main">
          <a:pPr algn="ctr" rtl="0"/>
          <a:endParaRPr lang="el-GR" sz="700" b="1" i="0" u="none" strike="noStrike">
            <a:solidFill>
              <a:srgbClr val="000000"/>
            </a:solidFill>
            <a:latin typeface="Arial Narrow" pitchFamily="34" charset="0"/>
            <a:cs typeface="Arial"/>
          </a:endParaRPr>
        </a:p>
      </cdr:txBody>
    </cdr:sp>
  </cdr:relSizeAnchor>
  <cdr:relSizeAnchor xmlns:cdr="http://schemas.openxmlformats.org/drawingml/2006/chartDrawing">
    <cdr:from>
      <cdr:x>0.28876</cdr:x>
      <cdr:y>0.78606</cdr:y>
    </cdr:from>
    <cdr:to>
      <cdr:x>0.74656</cdr:x>
      <cdr:y>0.85915</cdr:y>
    </cdr:to>
    <cdr:sp macro="" textlink="">
      <cdr:nvSpPr>
        <cdr:cNvPr id="7" name="6 - TextBox"/>
        <cdr:cNvSpPr txBox="1"/>
      </cdr:nvSpPr>
      <cdr:spPr>
        <a:xfrm xmlns:a="http://schemas.openxmlformats.org/drawingml/2006/main">
          <a:off x="1774950" y="2362636"/>
          <a:ext cx="2813983" cy="2196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l-GR" sz="600" b="1">
              <a:latin typeface="Arial Narrow" pitchFamily="34" charset="0"/>
            </a:rPr>
            <a:t>ΣΗΜΕΙΩΣΗ:</a:t>
          </a:r>
          <a:r>
            <a:rPr lang="el-GR" sz="600" b="1" baseline="0">
              <a:latin typeface="Arial Narrow" pitchFamily="34" charset="0"/>
            </a:rPr>
            <a:t> </a:t>
          </a:r>
          <a:r>
            <a:rPr lang="el-GR" sz="600" b="1">
              <a:latin typeface="Arial Narrow" pitchFamily="34" charset="0"/>
            </a:rPr>
            <a:t>Οι</a:t>
          </a:r>
          <a:r>
            <a:rPr lang="el-GR" sz="600" b="1" baseline="0">
              <a:latin typeface="Arial Narrow" pitchFamily="34" charset="0"/>
            </a:rPr>
            <a:t> καταπτώσεις (μπλε στήλη) αφορούν εγγυήσεις προηγούμενων ετών.</a:t>
          </a:r>
          <a:endParaRPr lang="el-GR" sz="600" b="1">
            <a:latin typeface="Arial Narrow" pitchFamily="34" charset="0"/>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977E6-4608-491D-926C-33C14DB1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EIS_2005</Template>
  <TotalTime>2</TotalTime>
  <Pages>14</Pages>
  <Words>4860</Words>
  <Characters>26250</Characters>
  <Application>Microsoft Office Word</Application>
  <DocSecurity>0</DocSecurity>
  <Lines>218</Lines>
  <Paragraphs>62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pxristof</dc:creator>
  <cp:lastModifiedBy>pxristoforidou</cp:lastModifiedBy>
  <cp:revision>3</cp:revision>
  <cp:lastPrinted>2016-11-18T08:50:00Z</cp:lastPrinted>
  <dcterms:created xsi:type="dcterms:W3CDTF">2017-11-20T15:34:00Z</dcterms:created>
  <dcterms:modified xsi:type="dcterms:W3CDTF">2017-11-20T15:35:00Z</dcterms:modified>
</cp:coreProperties>
</file>