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AB" w:rsidRPr="002A3DAA" w:rsidRDefault="00361F11" w:rsidP="00BD6F50">
      <w:pPr>
        <w:jc w:val="both"/>
        <w:rPr>
          <w:rFonts w:ascii="Arial Narrow" w:hAnsi="Arial Narrow"/>
          <w:b/>
          <w:color w:val="000080"/>
          <w:sz w:val="40"/>
          <w:szCs w:val="40"/>
        </w:rPr>
      </w:pPr>
      <w:r w:rsidRPr="002A3DAA">
        <w:rPr>
          <w:rFonts w:ascii="Arial Narrow" w:hAnsi="Arial Narrow"/>
          <w:b/>
          <w:color w:val="000080"/>
          <w:sz w:val="40"/>
          <w:szCs w:val="40"/>
        </w:rPr>
        <w:t xml:space="preserve">ΟΙΚΟΝΟΜΙΚΕΣ </w:t>
      </w:r>
      <w:r w:rsidR="00A41DAB" w:rsidRPr="002A3DAA">
        <w:rPr>
          <w:rFonts w:ascii="Arial Narrow" w:hAnsi="Arial Narrow"/>
          <w:b/>
          <w:color w:val="000080"/>
          <w:sz w:val="40"/>
          <w:szCs w:val="40"/>
        </w:rPr>
        <w:t>ΕΞΕΛΙΞΕΙΣ</w:t>
      </w:r>
    </w:p>
    <w:p w:rsidR="00A41DAB" w:rsidRPr="002A3DAA" w:rsidRDefault="00A41DAB" w:rsidP="00A41DAB">
      <w:pPr>
        <w:jc w:val="both"/>
        <w:rPr>
          <w:rFonts w:ascii="Arial Narrow" w:hAnsi="Arial Narrow"/>
          <w:b/>
          <w:color w:val="000080"/>
          <w:sz w:val="40"/>
          <w:szCs w:val="40"/>
        </w:rPr>
      </w:pPr>
      <w:r w:rsidRPr="002A3DAA">
        <w:rPr>
          <w:rFonts w:ascii="Arial Narrow" w:hAnsi="Arial Narrow"/>
          <w:b/>
          <w:color w:val="000080"/>
          <w:sz w:val="40"/>
          <w:szCs w:val="40"/>
        </w:rPr>
        <w:t>ΚΑΙ ΠΡΟΟΠΤΙΚΕΣ</w:t>
      </w:r>
    </w:p>
    <w:p w:rsidR="00A41DAB" w:rsidRPr="00472EC7" w:rsidRDefault="00A41DAB" w:rsidP="00A41DAB">
      <w:pPr>
        <w:jc w:val="both"/>
        <w:rPr>
          <w:rFonts w:ascii="Arial Narrow" w:hAnsi="Arial Narrow"/>
          <w:color w:val="000080"/>
          <w:sz w:val="40"/>
          <w:szCs w:val="40"/>
        </w:rPr>
      </w:pPr>
    </w:p>
    <w:p w:rsidR="006E2D30" w:rsidRPr="00472EC7" w:rsidRDefault="00A41DAB" w:rsidP="00E5576A">
      <w:pPr>
        <w:shd w:val="clear" w:color="auto" w:fill="595959"/>
        <w:jc w:val="both"/>
        <w:rPr>
          <w:rFonts w:ascii="Arial Narrow" w:hAnsi="Arial Narrow"/>
          <w:b/>
          <w:color w:val="FFFFFF"/>
          <w:sz w:val="26"/>
          <w:szCs w:val="26"/>
        </w:rPr>
      </w:pPr>
      <w:r w:rsidRPr="00472EC7">
        <w:rPr>
          <w:rFonts w:ascii="Arial Narrow" w:hAnsi="Arial Narrow"/>
          <w:b/>
          <w:color w:val="FFFFFF"/>
          <w:sz w:val="26"/>
          <w:szCs w:val="26"/>
        </w:rPr>
        <w:t>1.</w:t>
      </w:r>
      <w:r w:rsidRPr="00472EC7">
        <w:rPr>
          <w:rFonts w:ascii="Arial Narrow" w:hAnsi="Arial Narrow"/>
          <w:b/>
          <w:color w:val="FFFFFF"/>
          <w:sz w:val="26"/>
          <w:szCs w:val="26"/>
        </w:rPr>
        <w:tab/>
        <w:t>Διεθνείς οικονομικές εξελίξεις</w:t>
      </w:r>
    </w:p>
    <w:p w:rsidR="00793243" w:rsidRDefault="00793243" w:rsidP="00793243">
      <w:pPr>
        <w:pStyle w:val="10"/>
        <w:rPr>
          <w:b/>
          <w:sz w:val="22"/>
        </w:rPr>
      </w:pPr>
      <w:bookmarkStart w:id="0" w:name="OLE_LINK1"/>
    </w:p>
    <w:p w:rsidR="00AA01E7" w:rsidRPr="00857BE0" w:rsidRDefault="00AA01E7" w:rsidP="00780119">
      <w:pPr>
        <w:jc w:val="both"/>
        <w:rPr>
          <w:sz w:val="22"/>
          <w:szCs w:val="22"/>
        </w:rPr>
      </w:pPr>
      <w:r w:rsidRPr="00857BE0">
        <w:rPr>
          <w:sz w:val="22"/>
          <w:szCs w:val="22"/>
        </w:rPr>
        <w:t xml:space="preserve">Η </w:t>
      </w:r>
      <w:r w:rsidR="00FC4C2A">
        <w:rPr>
          <w:sz w:val="22"/>
          <w:szCs w:val="22"/>
        </w:rPr>
        <w:t>παγκόσμια οικονομική ανάπτυξη</w:t>
      </w:r>
      <w:r w:rsidRPr="00857BE0">
        <w:rPr>
          <w:sz w:val="22"/>
          <w:szCs w:val="22"/>
        </w:rPr>
        <w:t xml:space="preserve"> αναμένεται να παραμείνει</w:t>
      </w:r>
      <w:r w:rsidR="0098529A">
        <w:rPr>
          <w:sz w:val="22"/>
          <w:szCs w:val="22"/>
        </w:rPr>
        <w:t xml:space="preserve"> </w:t>
      </w:r>
      <w:r w:rsidRPr="00857BE0">
        <w:rPr>
          <w:sz w:val="22"/>
          <w:szCs w:val="22"/>
        </w:rPr>
        <w:t xml:space="preserve">σταθερή, καθώς, σύμφωνα με </w:t>
      </w:r>
      <w:r w:rsidR="00FC4C2A">
        <w:rPr>
          <w:sz w:val="22"/>
          <w:szCs w:val="22"/>
        </w:rPr>
        <w:t xml:space="preserve">την </w:t>
      </w:r>
      <w:r w:rsidRPr="00857BE0">
        <w:rPr>
          <w:sz w:val="22"/>
          <w:szCs w:val="22"/>
        </w:rPr>
        <w:t>αν</w:t>
      </w:r>
      <w:r w:rsidRPr="00857BE0">
        <w:rPr>
          <w:sz w:val="22"/>
          <w:szCs w:val="22"/>
        </w:rPr>
        <w:t>α</w:t>
      </w:r>
      <w:r w:rsidRPr="00857BE0">
        <w:rPr>
          <w:sz w:val="22"/>
          <w:szCs w:val="22"/>
        </w:rPr>
        <w:t>θεωρημένη έκθεση του Οκτωβρίου</w:t>
      </w:r>
      <w:r w:rsidR="00C410A5">
        <w:rPr>
          <w:sz w:val="22"/>
          <w:szCs w:val="22"/>
        </w:rPr>
        <w:t xml:space="preserve"> 2018</w:t>
      </w:r>
      <w:r w:rsidRPr="00857BE0">
        <w:rPr>
          <w:sz w:val="22"/>
          <w:szCs w:val="22"/>
        </w:rPr>
        <w:t xml:space="preserve"> του Διεθνούς Νομισματικού Ταμείου (ΔΝΤ), ο ρυθμός α</w:t>
      </w:r>
      <w:r w:rsidRPr="00857BE0">
        <w:rPr>
          <w:sz w:val="22"/>
          <w:szCs w:val="22"/>
        </w:rPr>
        <w:t>ύ</w:t>
      </w:r>
      <w:r w:rsidRPr="00857BE0">
        <w:rPr>
          <w:sz w:val="22"/>
          <w:szCs w:val="22"/>
        </w:rPr>
        <w:t>ξησης του παγκόσμιου ΑΕΠ</w:t>
      </w:r>
      <w:r w:rsidR="0098529A">
        <w:rPr>
          <w:sz w:val="22"/>
          <w:szCs w:val="22"/>
        </w:rPr>
        <w:t xml:space="preserve"> </w:t>
      </w:r>
      <w:r w:rsidRPr="00857BE0">
        <w:rPr>
          <w:sz w:val="22"/>
          <w:szCs w:val="22"/>
        </w:rPr>
        <w:t>εκτιμάται ότι θα παραμείνει στο</w:t>
      </w:r>
      <w:r w:rsidR="0098529A">
        <w:rPr>
          <w:sz w:val="22"/>
          <w:szCs w:val="22"/>
        </w:rPr>
        <w:t xml:space="preserve"> </w:t>
      </w:r>
      <w:r w:rsidRPr="00857BE0">
        <w:rPr>
          <w:sz w:val="22"/>
          <w:szCs w:val="22"/>
        </w:rPr>
        <w:t>επίπεδο του 2017 και θα διαμορφωθεί σε 3,7% τόσο για το 2018 όσο και το 2019 (Πίνακας 1</w:t>
      </w:r>
      <w:r w:rsidR="00C410A5">
        <w:rPr>
          <w:sz w:val="22"/>
          <w:szCs w:val="22"/>
        </w:rPr>
        <w:t>.1</w:t>
      </w:r>
      <w:r w:rsidRPr="00857BE0">
        <w:rPr>
          <w:sz w:val="22"/>
          <w:szCs w:val="22"/>
        </w:rPr>
        <w:t>). Ωστόσο, η δυναμική του ρυθμού οικονομ</w:t>
      </w:r>
      <w:r w:rsidRPr="00857BE0">
        <w:rPr>
          <w:sz w:val="22"/>
          <w:szCs w:val="22"/>
        </w:rPr>
        <w:t>ι</w:t>
      </w:r>
      <w:r w:rsidRPr="00857BE0">
        <w:rPr>
          <w:sz w:val="22"/>
          <w:szCs w:val="22"/>
        </w:rPr>
        <w:t>κής μεγέθυνσης είναι μικρότερη</w:t>
      </w:r>
      <w:r w:rsidR="00FC4C2A">
        <w:rPr>
          <w:sz w:val="22"/>
          <w:szCs w:val="22"/>
        </w:rPr>
        <w:t xml:space="preserve"> σε σχέση με τις προβλέψεις </w:t>
      </w:r>
      <w:r w:rsidRPr="00857BE0">
        <w:rPr>
          <w:sz w:val="22"/>
          <w:szCs w:val="22"/>
        </w:rPr>
        <w:t>του Ιουλίου. Η οικονομική</w:t>
      </w:r>
      <w:r w:rsidR="0098529A">
        <w:rPr>
          <w:sz w:val="22"/>
          <w:szCs w:val="22"/>
        </w:rPr>
        <w:t xml:space="preserve"> </w:t>
      </w:r>
      <w:r w:rsidRPr="00857BE0">
        <w:rPr>
          <w:sz w:val="22"/>
          <w:szCs w:val="22"/>
        </w:rPr>
        <w:t>δραστηριότ</w:t>
      </w:r>
      <w:r w:rsidRPr="00857BE0">
        <w:rPr>
          <w:sz w:val="22"/>
          <w:szCs w:val="22"/>
        </w:rPr>
        <w:t>η</w:t>
      </w:r>
      <w:r w:rsidRPr="00857BE0">
        <w:rPr>
          <w:sz w:val="22"/>
          <w:szCs w:val="22"/>
        </w:rPr>
        <w:t>τα</w:t>
      </w:r>
      <w:r w:rsidR="00FC4C2A">
        <w:rPr>
          <w:sz w:val="22"/>
          <w:szCs w:val="22"/>
        </w:rPr>
        <w:t xml:space="preserve"> </w:t>
      </w:r>
      <w:r w:rsidRPr="00857BE0">
        <w:rPr>
          <w:sz w:val="22"/>
          <w:szCs w:val="22"/>
        </w:rPr>
        <w:t>αναμένεται να επιβραδυνθεί μεσοπρόθεσμα</w:t>
      </w:r>
      <w:r w:rsidR="0098529A">
        <w:rPr>
          <w:sz w:val="22"/>
          <w:szCs w:val="22"/>
        </w:rPr>
        <w:t xml:space="preserve"> </w:t>
      </w:r>
      <w:r w:rsidR="00FC4C2A">
        <w:rPr>
          <w:sz w:val="22"/>
          <w:szCs w:val="22"/>
        </w:rPr>
        <w:t xml:space="preserve">και </w:t>
      </w:r>
      <w:r w:rsidRPr="00857BE0">
        <w:rPr>
          <w:sz w:val="22"/>
          <w:szCs w:val="22"/>
        </w:rPr>
        <w:t>γίνεται, πλέον, λιγότερο συγχρονισμένη και ισό</w:t>
      </w:r>
      <w:r w:rsidRPr="00857BE0">
        <w:rPr>
          <w:sz w:val="22"/>
          <w:szCs w:val="22"/>
        </w:rPr>
        <w:t>ρ</w:t>
      </w:r>
      <w:r w:rsidRPr="00857BE0">
        <w:rPr>
          <w:sz w:val="22"/>
          <w:szCs w:val="22"/>
        </w:rPr>
        <w:t xml:space="preserve">ροπη. Ειδικότερα, οι ρυθμοί οικονομικής μεγέθυνσης </w:t>
      </w:r>
      <w:r w:rsidR="00FC4C2A">
        <w:rPr>
          <w:sz w:val="22"/>
          <w:szCs w:val="22"/>
        </w:rPr>
        <w:t xml:space="preserve">διαφοροποιούνται </w:t>
      </w:r>
      <w:r w:rsidRPr="00857BE0">
        <w:rPr>
          <w:sz w:val="22"/>
          <w:szCs w:val="22"/>
        </w:rPr>
        <w:t xml:space="preserve">όλο και </w:t>
      </w:r>
      <w:r w:rsidR="00FC4C2A">
        <w:rPr>
          <w:sz w:val="22"/>
          <w:szCs w:val="22"/>
        </w:rPr>
        <w:t xml:space="preserve">περισσότερο </w:t>
      </w:r>
      <w:r w:rsidRPr="00857BE0">
        <w:rPr>
          <w:sz w:val="22"/>
          <w:szCs w:val="22"/>
        </w:rPr>
        <w:t>μεταξύ των χωρών, καθώς αυξάνονται οι αβεβαιότητες και οι κίνδυνοι, οι οποίοι είναι στενά συνδεδεμένοι</w:t>
      </w:r>
      <w:r w:rsidR="00FC4C2A">
        <w:rPr>
          <w:sz w:val="22"/>
          <w:szCs w:val="22"/>
        </w:rPr>
        <w:t xml:space="preserve"> μεταξύ τους, ενώ σε πολλές οικονομίες η ανάπτυξη υποστηρίζεται από πολιτικές που εμφανίζονται μη διατηρήσιμες μακροπρόθεσμα</w:t>
      </w:r>
      <w:r w:rsidRPr="00857BE0">
        <w:rPr>
          <w:sz w:val="22"/>
          <w:szCs w:val="22"/>
        </w:rPr>
        <w:t xml:space="preserve">. </w:t>
      </w:r>
    </w:p>
    <w:p w:rsidR="00AB1CFE" w:rsidRDefault="00AB1CFE" w:rsidP="00780119">
      <w:pPr>
        <w:jc w:val="both"/>
        <w:rPr>
          <w:sz w:val="22"/>
          <w:szCs w:val="22"/>
        </w:rPr>
      </w:pPr>
    </w:p>
    <w:p w:rsidR="00AB1CFE" w:rsidRDefault="00AA01E7" w:rsidP="00780119">
      <w:pPr>
        <w:jc w:val="both"/>
        <w:rPr>
          <w:sz w:val="22"/>
          <w:szCs w:val="22"/>
        </w:rPr>
      </w:pPr>
      <w:r w:rsidRPr="00857BE0">
        <w:rPr>
          <w:sz w:val="22"/>
          <w:szCs w:val="22"/>
        </w:rPr>
        <w:t>Ο ρυθμός μεγέθυνσης του παγκόσμιου ΑΕΠ</w:t>
      </w:r>
      <w:r w:rsidRPr="00857BE0">
        <w:rPr>
          <w:sz w:val="22"/>
          <w:szCs w:val="22"/>
          <w:vertAlign w:val="superscript"/>
        </w:rPr>
        <w:footnoteReference w:id="1"/>
      </w:r>
      <w:r w:rsidRPr="00857BE0">
        <w:rPr>
          <w:sz w:val="22"/>
          <w:szCs w:val="22"/>
        </w:rPr>
        <w:t xml:space="preserve"> σύμφωνα με τα αναφερόμενα στην έκθεση του Οκτω</w:t>
      </w:r>
      <w:r w:rsidRPr="00857BE0">
        <w:rPr>
          <w:sz w:val="22"/>
          <w:szCs w:val="22"/>
        </w:rPr>
        <w:t>β</w:t>
      </w:r>
      <w:r w:rsidRPr="00857BE0">
        <w:rPr>
          <w:sz w:val="22"/>
          <w:szCs w:val="22"/>
        </w:rPr>
        <w:t>ρίου του ΔΝΤ εκτιμάται χαμηλότερο</w:t>
      </w:r>
      <w:r w:rsidR="00777F38">
        <w:rPr>
          <w:sz w:val="22"/>
          <w:szCs w:val="22"/>
        </w:rPr>
        <w:t xml:space="preserve">ς κατά </w:t>
      </w:r>
      <w:r w:rsidRPr="00857BE0">
        <w:rPr>
          <w:sz w:val="22"/>
          <w:szCs w:val="22"/>
        </w:rPr>
        <w:t>0,2% για τα έτη 2018 και</w:t>
      </w:r>
      <w:r w:rsidR="0098529A">
        <w:rPr>
          <w:sz w:val="22"/>
          <w:szCs w:val="22"/>
        </w:rPr>
        <w:t xml:space="preserve"> </w:t>
      </w:r>
      <w:r w:rsidRPr="00857BE0">
        <w:rPr>
          <w:sz w:val="22"/>
          <w:szCs w:val="22"/>
        </w:rPr>
        <w:t xml:space="preserve">2019, συγκριτικά με την έκθεση του Ιουλίου του ιδίου έτους. Οι </w:t>
      </w:r>
      <w:r w:rsidR="00777F38">
        <w:rPr>
          <w:sz w:val="22"/>
          <w:szCs w:val="22"/>
        </w:rPr>
        <w:t xml:space="preserve">μεταβολές ως προς τη συνεισφορά διαφορετικών </w:t>
      </w:r>
      <w:r w:rsidRPr="00857BE0">
        <w:rPr>
          <w:sz w:val="22"/>
          <w:szCs w:val="22"/>
        </w:rPr>
        <w:t xml:space="preserve">χωρών </w:t>
      </w:r>
      <w:r w:rsidR="00777F38">
        <w:rPr>
          <w:sz w:val="22"/>
          <w:szCs w:val="22"/>
        </w:rPr>
        <w:t>στην πα</w:t>
      </w:r>
      <w:r w:rsidR="00777F38">
        <w:rPr>
          <w:sz w:val="22"/>
          <w:szCs w:val="22"/>
        </w:rPr>
        <w:t>γ</w:t>
      </w:r>
      <w:r w:rsidR="00777F38">
        <w:rPr>
          <w:sz w:val="22"/>
          <w:szCs w:val="22"/>
        </w:rPr>
        <w:t xml:space="preserve">κόσμια δραστηριότητα </w:t>
      </w:r>
      <w:r w:rsidRPr="00857BE0">
        <w:rPr>
          <w:sz w:val="22"/>
          <w:szCs w:val="22"/>
        </w:rPr>
        <w:t>αντανακλούν, κυρίως, διαφορές στη νομισματική και στη δημοσιονομική π</w:t>
      </w:r>
      <w:r w:rsidRPr="00857BE0">
        <w:rPr>
          <w:sz w:val="22"/>
          <w:szCs w:val="22"/>
        </w:rPr>
        <w:t>ο</w:t>
      </w:r>
      <w:r w:rsidRPr="00857BE0">
        <w:rPr>
          <w:sz w:val="22"/>
          <w:szCs w:val="22"/>
        </w:rPr>
        <w:t xml:space="preserve">λιτική. </w:t>
      </w:r>
    </w:p>
    <w:p w:rsidR="00AB1CFE" w:rsidRDefault="00AB1CFE" w:rsidP="00780119">
      <w:pPr>
        <w:jc w:val="both"/>
        <w:rPr>
          <w:sz w:val="22"/>
          <w:szCs w:val="22"/>
        </w:rPr>
      </w:pPr>
    </w:p>
    <w:p w:rsidR="00AB1CFE" w:rsidRDefault="00777F38" w:rsidP="00780119">
      <w:pPr>
        <w:jc w:val="both"/>
        <w:rPr>
          <w:sz w:val="22"/>
          <w:szCs w:val="22"/>
        </w:rPr>
      </w:pPr>
      <w:r>
        <w:rPr>
          <w:sz w:val="22"/>
          <w:szCs w:val="22"/>
        </w:rPr>
        <w:t xml:space="preserve">Στις αναπτυγμένες χώρες ο ρυθμός οικονομικής μεγέθυνσης διατηρείται αμετάβλητος για το 2018 και διαμορφώνεται σε 2,4% σε ετήσια βάση, ενώ εκτιμάται σε 2,1% για το 2019, μειωμένος κατά 0,1% σε σχέση με τα στοιχεία της προηγούμενης έκθεσης του ιδίου έτους. </w:t>
      </w:r>
      <w:r w:rsidR="00AA01E7" w:rsidRPr="00857BE0">
        <w:rPr>
          <w:sz w:val="22"/>
          <w:szCs w:val="22"/>
        </w:rPr>
        <w:t>Για τις ΗΠΑ</w:t>
      </w:r>
      <w:r w:rsidR="00794063">
        <w:rPr>
          <w:sz w:val="22"/>
          <w:szCs w:val="22"/>
        </w:rPr>
        <w:t>,</w:t>
      </w:r>
      <w:r w:rsidR="00AA01E7" w:rsidRPr="00857BE0">
        <w:rPr>
          <w:sz w:val="22"/>
          <w:szCs w:val="22"/>
        </w:rPr>
        <w:t xml:space="preserve"> το ΔΝΤ προβλέπει ανάπτυξη 2,9% και 2,5% για το 2018 και 2019 αντίστοιχα, αμετάβλητη για το 2018 και χαμηλότερη κατά 0,2% για το 2019 συγκριτικά με την έκθεση του Ιουλίου. </w:t>
      </w:r>
    </w:p>
    <w:p w:rsidR="00777F38" w:rsidRDefault="00777F38" w:rsidP="00780119">
      <w:pPr>
        <w:jc w:val="both"/>
        <w:rPr>
          <w:sz w:val="22"/>
          <w:szCs w:val="22"/>
        </w:rPr>
      </w:pPr>
    </w:p>
    <w:p w:rsidR="00AB1CFE" w:rsidRDefault="00AA01E7" w:rsidP="00780119">
      <w:pPr>
        <w:jc w:val="both"/>
        <w:rPr>
          <w:sz w:val="22"/>
          <w:szCs w:val="22"/>
        </w:rPr>
      </w:pPr>
      <w:r w:rsidRPr="00857BE0">
        <w:rPr>
          <w:sz w:val="22"/>
          <w:szCs w:val="22"/>
        </w:rPr>
        <w:t>Για την Ευρωζώνη, το ΔΝΤ προβλέπει ρυθμούς οικονομικής μεγέθυνσης 2,0%</w:t>
      </w:r>
      <w:r w:rsidRPr="00857BE0">
        <w:rPr>
          <w:sz w:val="22"/>
          <w:szCs w:val="22"/>
          <w:vertAlign w:val="superscript"/>
        </w:rPr>
        <w:footnoteReference w:id="2"/>
      </w:r>
      <w:r w:rsidRPr="00857BE0">
        <w:rPr>
          <w:sz w:val="22"/>
          <w:szCs w:val="22"/>
        </w:rPr>
        <w:t xml:space="preserve"> για το 2018</w:t>
      </w:r>
      <w:r w:rsidR="00777F38">
        <w:rPr>
          <w:sz w:val="22"/>
          <w:szCs w:val="22"/>
        </w:rPr>
        <w:t xml:space="preserve"> </w:t>
      </w:r>
      <w:r w:rsidRPr="00857BE0">
        <w:rPr>
          <w:sz w:val="22"/>
          <w:szCs w:val="22"/>
        </w:rPr>
        <w:t xml:space="preserve">και 1,9% </w:t>
      </w:r>
      <w:r w:rsidR="00777F38">
        <w:rPr>
          <w:sz w:val="22"/>
          <w:szCs w:val="22"/>
        </w:rPr>
        <w:t xml:space="preserve">για </w:t>
      </w:r>
      <w:r w:rsidRPr="00857BE0">
        <w:rPr>
          <w:sz w:val="22"/>
          <w:szCs w:val="22"/>
        </w:rPr>
        <w:t xml:space="preserve">το 2019, </w:t>
      </w:r>
      <w:r w:rsidR="00777F38">
        <w:rPr>
          <w:sz w:val="22"/>
          <w:szCs w:val="22"/>
        </w:rPr>
        <w:t xml:space="preserve">από 2,2% και 1,9% αντίστοιχα σύμφωνα με </w:t>
      </w:r>
      <w:r w:rsidRPr="00857BE0">
        <w:rPr>
          <w:sz w:val="22"/>
          <w:szCs w:val="22"/>
        </w:rPr>
        <w:t xml:space="preserve">την προηγούμενη έκθεση. </w:t>
      </w:r>
      <w:r w:rsidR="00777F38">
        <w:rPr>
          <w:sz w:val="22"/>
          <w:szCs w:val="22"/>
        </w:rPr>
        <w:t>Η</w:t>
      </w:r>
      <w:r w:rsidRPr="00857BE0">
        <w:rPr>
          <w:sz w:val="22"/>
          <w:szCs w:val="22"/>
        </w:rPr>
        <w:t xml:space="preserve"> Ευρωπαϊκή Κεντρική Τράπεζα</w:t>
      </w:r>
      <w:r w:rsidRPr="00857BE0">
        <w:rPr>
          <w:sz w:val="22"/>
          <w:szCs w:val="22"/>
          <w:vertAlign w:val="superscript"/>
        </w:rPr>
        <w:footnoteReference w:id="3"/>
      </w:r>
      <w:r w:rsidRPr="00857BE0">
        <w:rPr>
          <w:sz w:val="22"/>
          <w:szCs w:val="22"/>
        </w:rPr>
        <w:t xml:space="preserve"> (ΕΚΤ) εκτιμά τον ίδιο ρυθμό ανάπτυξης με το ΔΝΤ</w:t>
      </w:r>
      <w:r w:rsidR="00777F38">
        <w:rPr>
          <w:sz w:val="22"/>
          <w:szCs w:val="22"/>
        </w:rPr>
        <w:t xml:space="preserve"> </w:t>
      </w:r>
      <w:r w:rsidRPr="00857BE0">
        <w:rPr>
          <w:sz w:val="22"/>
          <w:szCs w:val="22"/>
        </w:rPr>
        <w:t>για το 2018, ενώ προβλέπει 1,8% για το 2019, σύμφωνα με τα στοιχεία της έκθεσης του Σεπτεμβρίου, έναντι πρ</w:t>
      </w:r>
      <w:r w:rsidR="00777F38">
        <w:rPr>
          <w:sz w:val="22"/>
          <w:szCs w:val="22"/>
        </w:rPr>
        <w:t>οηγούμενης</w:t>
      </w:r>
      <w:r w:rsidRPr="00857BE0">
        <w:rPr>
          <w:sz w:val="22"/>
          <w:szCs w:val="22"/>
        </w:rPr>
        <w:t xml:space="preserve"> εκτ</w:t>
      </w:r>
      <w:r w:rsidRPr="00857BE0">
        <w:rPr>
          <w:sz w:val="22"/>
          <w:szCs w:val="22"/>
        </w:rPr>
        <w:t>ί</w:t>
      </w:r>
      <w:r w:rsidRPr="00857BE0">
        <w:rPr>
          <w:sz w:val="22"/>
          <w:szCs w:val="22"/>
        </w:rPr>
        <w:t>μησης 2,1% και 1,9% αντίστοιχα, τον Ιούνιο του ιδίου έτους. Η επιβράδυνση της οικονομικής ανά</w:t>
      </w:r>
      <w:r w:rsidRPr="00857BE0">
        <w:rPr>
          <w:sz w:val="22"/>
          <w:szCs w:val="22"/>
        </w:rPr>
        <w:t>π</w:t>
      </w:r>
      <w:r w:rsidRPr="00857BE0">
        <w:rPr>
          <w:sz w:val="22"/>
          <w:szCs w:val="22"/>
        </w:rPr>
        <w:t xml:space="preserve">τυξης στη ζώνη του ευρώ αποδίδεται, κυρίως, στην εξασθένηση του παγκόσμιου εμπορίου και στις αυξανόμενες ελλείψεις </w:t>
      </w:r>
      <w:r w:rsidR="00777F38">
        <w:rPr>
          <w:sz w:val="22"/>
          <w:szCs w:val="22"/>
        </w:rPr>
        <w:t>που παρατηρούνται στην αγορά</w:t>
      </w:r>
      <w:r w:rsidRPr="00857BE0">
        <w:rPr>
          <w:sz w:val="22"/>
          <w:szCs w:val="22"/>
        </w:rPr>
        <w:t xml:space="preserve"> εργασίας.</w:t>
      </w:r>
    </w:p>
    <w:p w:rsidR="00AB1CFE" w:rsidRDefault="00AB1CFE" w:rsidP="00780119">
      <w:pPr>
        <w:jc w:val="both"/>
        <w:rPr>
          <w:sz w:val="22"/>
          <w:szCs w:val="22"/>
        </w:rPr>
      </w:pPr>
    </w:p>
    <w:p w:rsidR="00AB1CFE" w:rsidRDefault="00AA01E7" w:rsidP="00780119">
      <w:pPr>
        <w:jc w:val="both"/>
        <w:rPr>
          <w:sz w:val="22"/>
          <w:szCs w:val="22"/>
        </w:rPr>
      </w:pPr>
      <w:r w:rsidRPr="00857BE0">
        <w:rPr>
          <w:sz w:val="22"/>
          <w:szCs w:val="22"/>
        </w:rPr>
        <w:t>Στις αναδυόμενες και αναπτυσσόμενες οικονομίες, σύμφωνα με τα στοιχεία της έκθεσης του ΔΝΤ, η ανάπτ</w:t>
      </w:r>
      <w:r w:rsidR="00777F38">
        <w:rPr>
          <w:sz w:val="22"/>
          <w:szCs w:val="22"/>
        </w:rPr>
        <w:t>υξη αναμένεται να διατηρηθεί στο</w:t>
      </w:r>
      <w:r w:rsidRPr="00857BE0">
        <w:rPr>
          <w:sz w:val="22"/>
          <w:szCs w:val="22"/>
        </w:rPr>
        <w:t xml:space="preserve"> </w:t>
      </w:r>
      <w:r w:rsidR="00777F38">
        <w:rPr>
          <w:sz w:val="22"/>
          <w:szCs w:val="22"/>
        </w:rPr>
        <w:t>επίπεδο</w:t>
      </w:r>
      <w:r w:rsidRPr="00857BE0">
        <w:rPr>
          <w:sz w:val="22"/>
          <w:szCs w:val="22"/>
        </w:rPr>
        <w:t xml:space="preserve"> του 2017 και να διαμορφωθεί στο 4,7%</w:t>
      </w:r>
      <w:r w:rsidR="0098529A">
        <w:rPr>
          <w:sz w:val="22"/>
          <w:szCs w:val="22"/>
        </w:rPr>
        <w:t xml:space="preserve"> </w:t>
      </w:r>
      <w:r w:rsidRPr="00857BE0">
        <w:rPr>
          <w:sz w:val="22"/>
          <w:szCs w:val="22"/>
        </w:rPr>
        <w:t>τόσο για το 2018, όσο και για</w:t>
      </w:r>
      <w:r w:rsidR="0098529A">
        <w:rPr>
          <w:sz w:val="22"/>
          <w:szCs w:val="22"/>
        </w:rPr>
        <w:t xml:space="preserve"> </w:t>
      </w:r>
      <w:r w:rsidRPr="00857BE0">
        <w:rPr>
          <w:sz w:val="22"/>
          <w:szCs w:val="22"/>
        </w:rPr>
        <w:t xml:space="preserve">το 2019, χαμηλότερη κατά 0,2% και 0,4% αντίστοιχα, συγκριτικά με τα στοιχεία της έκθεσης του Ιουλίου. </w:t>
      </w:r>
    </w:p>
    <w:p w:rsidR="00777F38" w:rsidRDefault="00777F38" w:rsidP="00780119">
      <w:pPr>
        <w:jc w:val="both"/>
        <w:rPr>
          <w:sz w:val="22"/>
          <w:szCs w:val="22"/>
        </w:rPr>
      </w:pPr>
    </w:p>
    <w:p w:rsidR="00AB1CFE" w:rsidRDefault="00AA01E7" w:rsidP="00780119">
      <w:pPr>
        <w:jc w:val="both"/>
        <w:rPr>
          <w:sz w:val="22"/>
          <w:szCs w:val="22"/>
        </w:rPr>
      </w:pPr>
      <w:r w:rsidRPr="00857BE0">
        <w:rPr>
          <w:sz w:val="22"/>
          <w:szCs w:val="22"/>
        </w:rPr>
        <w:t>Η ανάπτυξη της Κίνας αναμένεται να διαμορφωθεί σε 6,6% το 2018 και 6,2% τo 2019, έναντι 6,9% το 2017, χαμηλότερη κατά 0,2% μόνο ως προς το 2019, συγκριτικά με τα στοιχεία της προηγούμενης έ</w:t>
      </w:r>
      <w:r w:rsidRPr="00857BE0">
        <w:rPr>
          <w:sz w:val="22"/>
          <w:szCs w:val="22"/>
        </w:rPr>
        <w:t>κ</w:t>
      </w:r>
      <w:r w:rsidRPr="00857BE0">
        <w:rPr>
          <w:sz w:val="22"/>
          <w:szCs w:val="22"/>
        </w:rPr>
        <w:t xml:space="preserve">θεσης του ΔΝΤ. </w:t>
      </w:r>
    </w:p>
    <w:p w:rsidR="00AB1CFE" w:rsidRDefault="00AB1CFE" w:rsidP="00780119">
      <w:pPr>
        <w:jc w:val="both"/>
        <w:rPr>
          <w:sz w:val="22"/>
          <w:szCs w:val="22"/>
        </w:rPr>
      </w:pPr>
    </w:p>
    <w:p w:rsidR="00AB1CFE" w:rsidRDefault="00AA01E7" w:rsidP="00780119">
      <w:pPr>
        <w:jc w:val="both"/>
        <w:rPr>
          <w:sz w:val="22"/>
          <w:szCs w:val="22"/>
        </w:rPr>
      </w:pPr>
      <w:r w:rsidRPr="00857BE0">
        <w:rPr>
          <w:sz w:val="22"/>
          <w:szCs w:val="22"/>
        </w:rPr>
        <w:lastRenderedPageBreak/>
        <w:t xml:space="preserve">Ο πληθωρισμός </w:t>
      </w:r>
      <w:r w:rsidR="00511238">
        <w:rPr>
          <w:sz w:val="22"/>
          <w:szCs w:val="22"/>
        </w:rPr>
        <w:t>σ</w:t>
      </w:r>
      <w:r w:rsidRPr="00857BE0">
        <w:rPr>
          <w:sz w:val="22"/>
          <w:szCs w:val="22"/>
        </w:rPr>
        <w:t>τις αναπτυγμένες οικονομίες αναμένεται να αυξηθεί και να διαμορφωθεί σε 2,0% και 1,9% για το 2018 και 2019 αντίστοιχα, έναντι 1,7%</w:t>
      </w:r>
      <w:r w:rsidR="0098529A">
        <w:rPr>
          <w:sz w:val="22"/>
          <w:szCs w:val="22"/>
        </w:rPr>
        <w:t xml:space="preserve"> </w:t>
      </w:r>
      <w:r w:rsidRPr="00857BE0">
        <w:rPr>
          <w:sz w:val="22"/>
          <w:szCs w:val="22"/>
        </w:rPr>
        <w:t xml:space="preserve">το 2017. Για τις αναδυόμενες αγορές και τις αναπτυσσόμενες οικονομίες εκτιμάται </w:t>
      </w:r>
      <w:r w:rsidR="00511238">
        <w:rPr>
          <w:sz w:val="22"/>
          <w:szCs w:val="22"/>
        </w:rPr>
        <w:t>σε 5,0% και 5,2% για τα</w:t>
      </w:r>
      <w:r w:rsidRPr="00857BE0">
        <w:rPr>
          <w:sz w:val="22"/>
          <w:szCs w:val="22"/>
        </w:rPr>
        <w:t xml:space="preserve"> έτ</w:t>
      </w:r>
      <w:r w:rsidR="00511238">
        <w:rPr>
          <w:sz w:val="22"/>
          <w:szCs w:val="22"/>
        </w:rPr>
        <w:t>η</w:t>
      </w:r>
      <w:r w:rsidRPr="00857BE0">
        <w:rPr>
          <w:sz w:val="22"/>
          <w:szCs w:val="22"/>
        </w:rPr>
        <w:t xml:space="preserve"> 2018 και 2019 αντίστοιχα, έναντι 4,3% το 2017, λόγω της ανάκαμψης των διεθνών τιμών των εμπορευμάτων και ειδικότερα των τιμών στον κλάδο </w:t>
      </w:r>
      <w:r w:rsidR="00511238">
        <w:rPr>
          <w:sz w:val="22"/>
          <w:szCs w:val="22"/>
        </w:rPr>
        <w:t xml:space="preserve">της </w:t>
      </w:r>
      <w:r w:rsidRPr="00857BE0">
        <w:rPr>
          <w:sz w:val="22"/>
          <w:szCs w:val="22"/>
        </w:rPr>
        <w:t xml:space="preserve">ενέργειας. Η υψηλή εξάρτηση από </w:t>
      </w:r>
      <w:r w:rsidR="00511238">
        <w:rPr>
          <w:sz w:val="22"/>
          <w:szCs w:val="22"/>
        </w:rPr>
        <w:t xml:space="preserve">συγκεκριμένα εμπορεύματα </w:t>
      </w:r>
      <w:r w:rsidRPr="00857BE0">
        <w:rPr>
          <w:sz w:val="22"/>
          <w:szCs w:val="22"/>
        </w:rPr>
        <w:t>(και ιδιαίτερα το πε</w:t>
      </w:r>
      <w:r w:rsidRPr="00857BE0">
        <w:rPr>
          <w:sz w:val="22"/>
          <w:szCs w:val="22"/>
        </w:rPr>
        <w:t>τ</w:t>
      </w:r>
      <w:r w:rsidRPr="00857BE0">
        <w:rPr>
          <w:sz w:val="22"/>
          <w:szCs w:val="22"/>
        </w:rPr>
        <w:t>ρ</w:t>
      </w:r>
      <w:r w:rsidR="00511238">
        <w:rPr>
          <w:sz w:val="22"/>
          <w:szCs w:val="22"/>
        </w:rPr>
        <w:t>έλαιο</w:t>
      </w:r>
      <w:r w:rsidRPr="00857BE0">
        <w:rPr>
          <w:sz w:val="22"/>
          <w:szCs w:val="22"/>
        </w:rPr>
        <w:t>)</w:t>
      </w:r>
      <w:r w:rsidR="00511238">
        <w:rPr>
          <w:sz w:val="22"/>
          <w:szCs w:val="22"/>
        </w:rPr>
        <w:t xml:space="preserve"> </w:t>
      </w:r>
      <w:r w:rsidRPr="00857BE0">
        <w:rPr>
          <w:sz w:val="22"/>
          <w:szCs w:val="22"/>
        </w:rPr>
        <w:t>εμποδίζει τις μακροπρόθεσμες προοπτικές ανάπτυξης πολλών αναπτυσσόμενων χωρών. Σύ</w:t>
      </w:r>
      <w:r w:rsidRPr="00857BE0">
        <w:rPr>
          <w:sz w:val="22"/>
          <w:szCs w:val="22"/>
        </w:rPr>
        <w:t>μ</w:t>
      </w:r>
      <w:r w:rsidRPr="00857BE0">
        <w:rPr>
          <w:sz w:val="22"/>
          <w:szCs w:val="22"/>
        </w:rPr>
        <w:t xml:space="preserve">φωνα με το ΔΝΤ, η μέση τιμή του αργού πετρελαίου (UK Brent, Dubai Fateh και West Texas Intermediate, που αποτελεί βάση αναφοράς για τη διαμόρφωση των τιμών) ανήλθε στα 52,81 δολάρια το βαρέλι το 2017. Για το έτος 2018 προβλέπεται μέση τιμή του αργού πετρελαίου στα 69,38 δολάρια το βαρέλι και </w:t>
      </w:r>
      <w:r w:rsidR="00511238">
        <w:rPr>
          <w:sz w:val="22"/>
          <w:szCs w:val="22"/>
        </w:rPr>
        <w:t xml:space="preserve">για το 2019 στα </w:t>
      </w:r>
      <w:r w:rsidRPr="00857BE0">
        <w:rPr>
          <w:sz w:val="22"/>
          <w:szCs w:val="22"/>
        </w:rPr>
        <w:t>68,76 δολάρια το βαρέλι.</w:t>
      </w:r>
    </w:p>
    <w:p w:rsidR="00AB1CFE" w:rsidRDefault="00AB1CFE" w:rsidP="00780119">
      <w:pPr>
        <w:jc w:val="both"/>
        <w:rPr>
          <w:sz w:val="22"/>
          <w:szCs w:val="22"/>
        </w:rPr>
      </w:pPr>
    </w:p>
    <w:p w:rsidR="00AB1CFE" w:rsidRDefault="00511238" w:rsidP="00780119">
      <w:pPr>
        <w:jc w:val="both"/>
        <w:rPr>
          <w:sz w:val="22"/>
          <w:szCs w:val="22"/>
        </w:rPr>
      </w:pPr>
      <w:r>
        <w:rPr>
          <w:sz w:val="22"/>
          <w:szCs w:val="22"/>
        </w:rPr>
        <w:t xml:space="preserve">Η ανάπτυξη του </w:t>
      </w:r>
      <w:r w:rsidR="00AA01E7" w:rsidRPr="00857BE0">
        <w:rPr>
          <w:sz w:val="22"/>
          <w:szCs w:val="22"/>
        </w:rPr>
        <w:t>παγκόσμιο</w:t>
      </w:r>
      <w:r>
        <w:rPr>
          <w:sz w:val="22"/>
          <w:szCs w:val="22"/>
        </w:rPr>
        <w:t>υ</w:t>
      </w:r>
      <w:r w:rsidR="00AA01E7" w:rsidRPr="00857BE0">
        <w:rPr>
          <w:sz w:val="22"/>
          <w:szCs w:val="22"/>
        </w:rPr>
        <w:t xml:space="preserve"> εμπ</w:t>
      </w:r>
      <w:r>
        <w:rPr>
          <w:sz w:val="22"/>
          <w:szCs w:val="22"/>
        </w:rPr>
        <w:t>ορίου</w:t>
      </w:r>
      <w:r w:rsidR="00AA01E7" w:rsidRPr="00857BE0">
        <w:rPr>
          <w:sz w:val="22"/>
          <w:szCs w:val="22"/>
        </w:rPr>
        <w:t xml:space="preserve"> εκτιμάται σε 4,2% και 4,0% για το 2018 και 2019 αντίστοιχα, έναντι 5,2% το 2017, σύμφωνα με τα στοιχεία της έκθεσης </w:t>
      </w:r>
      <w:r>
        <w:rPr>
          <w:sz w:val="22"/>
          <w:szCs w:val="22"/>
        </w:rPr>
        <w:t>Οκτωβρίου 2018</w:t>
      </w:r>
      <w:r w:rsidR="00C410A5">
        <w:rPr>
          <w:sz w:val="22"/>
          <w:szCs w:val="22"/>
        </w:rPr>
        <w:t xml:space="preserve"> </w:t>
      </w:r>
      <w:r w:rsidR="00AA01E7" w:rsidRPr="00857BE0">
        <w:rPr>
          <w:sz w:val="22"/>
          <w:szCs w:val="22"/>
        </w:rPr>
        <w:t xml:space="preserve">του ΔΝΤ. Ειδικότερα, για τις προηγμένες οικονομίες προβλέπεται ότι οι εισαγωγές θα </w:t>
      </w:r>
      <w:r w:rsidR="00640116">
        <w:rPr>
          <w:sz w:val="22"/>
          <w:szCs w:val="22"/>
        </w:rPr>
        <w:t xml:space="preserve">αυξηθούν κατά </w:t>
      </w:r>
      <w:r w:rsidR="00AA01E7" w:rsidRPr="00857BE0">
        <w:rPr>
          <w:sz w:val="22"/>
          <w:szCs w:val="22"/>
        </w:rPr>
        <w:t xml:space="preserve">3,7% και 4,0%, έναντι 4,2% το 2017, ενώ για τις αναδυόμενες </w:t>
      </w:r>
      <w:r w:rsidR="00AB1CFE">
        <w:rPr>
          <w:sz w:val="22"/>
          <w:szCs w:val="22"/>
        </w:rPr>
        <w:t xml:space="preserve">αγορές </w:t>
      </w:r>
      <w:r w:rsidR="00AA01E7" w:rsidRPr="00857BE0">
        <w:rPr>
          <w:sz w:val="22"/>
          <w:szCs w:val="22"/>
        </w:rPr>
        <w:t xml:space="preserve">και αναπτυσσόμενες οικονομίες </w:t>
      </w:r>
      <w:r>
        <w:rPr>
          <w:sz w:val="22"/>
          <w:szCs w:val="22"/>
        </w:rPr>
        <w:t xml:space="preserve">κατά </w:t>
      </w:r>
      <w:r w:rsidR="00AA01E7" w:rsidRPr="00857BE0">
        <w:rPr>
          <w:sz w:val="22"/>
          <w:szCs w:val="22"/>
        </w:rPr>
        <w:t>6,0% και 4,8%, έναντι 7,0%</w:t>
      </w:r>
      <w:r>
        <w:rPr>
          <w:sz w:val="22"/>
          <w:szCs w:val="22"/>
        </w:rPr>
        <w:t xml:space="preserve"> το 2017</w:t>
      </w:r>
      <w:r w:rsidR="00AA01E7" w:rsidRPr="00857BE0">
        <w:rPr>
          <w:sz w:val="22"/>
          <w:szCs w:val="22"/>
        </w:rPr>
        <w:t xml:space="preserve">. Οι εξαγωγές στις αναπτυγμένες οικονομίες αναμένεται </w:t>
      </w:r>
      <w:r w:rsidR="00640116">
        <w:rPr>
          <w:sz w:val="22"/>
          <w:szCs w:val="22"/>
        </w:rPr>
        <w:t>ν</w:t>
      </w:r>
      <w:r w:rsidR="00640116" w:rsidRPr="00857BE0">
        <w:rPr>
          <w:sz w:val="22"/>
          <w:szCs w:val="22"/>
        </w:rPr>
        <w:t xml:space="preserve">α </w:t>
      </w:r>
      <w:r w:rsidR="00640116">
        <w:rPr>
          <w:sz w:val="22"/>
          <w:szCs w:val="22"/>
        </w:rPr>
        <w:t xml:space="preserve">αυξηθούν κατά </w:t>
      </w:r>
      <w:r w:rsidR="00AA01E7" w:rsidRPr="00857BE0">
        <w:rPr>
          <w:sz w:val="22"/>
          <w:szCs w:val="22"/>
        </w:rPr>
        <w:t xml:space="preserve">3,4% και 3,1% το 2018 και 2019, αντίστοιχα, έναντι 4,4% το 2017. Οι εξαγωγές στις αναδυόμενες </w:t>
      </w:r>
      <w:r w:rsidR="00AB1CFE">
        <w:rPr>
          <w:sz w:val="22"/>
          <w:szCs w:val="22"/>
        </w:rPr>
        <w:t>αγορές</w:t>
      </w:r>
      <w:r w:rsidR="00AB1CFE" w:rsidRPr="00857BE0">
        <w:rPr>
          <w:sz w:val="22"/>
          <w:szCs w:val="22"/>
        </w:rPr>
        <w:t xml:space="preserve"> </w:t>
      </w:r>
      <w:r w:rsidR="00AA01E7" w:rsidRPr="00857BE0">
        <w:rPr>
          <w:sz w:val="22"/>
          <w:szCs w:val="22"/>
        </w:rPr>
        <w:t>και αναπτυσσόμενες οικονομίες προβλέπ</w:t>
      </w:r>
      <w:r w:rsidR="00AB1CFE">
        <w:rPr>
          <w:sz w:val="22"/>
          <w:szCs w:val="22"/>
        </w:rPr>
        <w:t>ε</w:t>
      </w:r>
      <w:r w:rsidR="00AA01E7" w:rsidRPr="00857BE0">
        <w:rPr>
          <w:sz w:val="22"/>
          <w:szCs w:val="22"/>
        </w:rPr>
        <w:t xml:space="preserve">ται </w:t>
      </w:r>
      <w:r w:rsidR="00321FEB">
        <w:rPr>
          <w:sz w:val="22"/>
          <w:szCs w:val="22"/>
        </w:rPr>
        <w:t xml:space="preserve">να </w:t>
      </w:r>
      <w:r w:rsidR="00640116">
        <w:rPr>
          <w:sz w:val="22"/>
          <w:szCs w:val="22"/>
        </w:rPr>
        <w:t xml:space="preserve">αυξηθούν κατά </w:t>
      </w:r>
      <w:r w:rsidR="00AA01E7" w:rsidRPr="00857BE0">
        <w:rPr>
          <w:sz w:val="22"/>
          <w:szCs w:val="22"/>
        </w:rPr>
        <w:t>4,7% και 4,8% το 2018 και 2019 α</w:t>
      </w:r>
      <w:r w:rsidR="00AA01E7" w:rsidRPr="00857BE0">
        <w:rPr>
          <w:sz w:val="22"/>
          <w:szCs w:val="22"/>
        </w:rPr>
        <w:t>ν</w:t>
      </w:r>
      <w:r w:rsidR="00AA01E7" w:rsidRPr="00857BE0">
        <w:rPr>
          <w:sz w:val="22"/>
          <w:szCs w:val="22"/>
        </w:rPr>
        <w:t>τίστοιχα</w:t>
      </w:r>
      <w:r w:rsidR="00794063">
        <w:rPr>
          <w:sz w:val="22"/>
          <w:szCs w:val="22"/>
        </w:rPr>
        <w:t xml:space="preserve">, από 6,9% το 2017. </w:t>
      </w:r>
      <w:r w:rsidR="00C410A5">
        <w:rPr>
          <w:sz w:val="22"/>
          <w:szCs w:val="22"/>
        </w:rPr>
        <w:t>Τ</w:t>
      </w:r>
      <w:r w:rsidR="00AA01E7" w:rsidRPr="00857BE0">
        <w:rPr>
          <w:sz w:val="22"/>
          <w:szCs w:val="22"/>
        </w:rPr>
        <w:t xml:space="preserve">ο παγκόσμιο εμπόριο (εκτός ζώνης ευρώ) σύμφωνα με τα στοιχεία της ΕΚΤ αναμένεται </w:t>
      </w:r>
      <w:r>
        <w:rPr>
          <w:sz w:val="22"/>
          <w:szCs w:val="22"/>
        </w:rPr>
        <w:t xml:space="preserve">να αναπτυχθεί κατά </w:t>
      </w:r>
      <w:r w:rsidR="00AA01E7" w:rsidRPr="00857BE0">
        <w:rPr>
          <w:sz w:val="22"/>
          <w:szCs w:val="22"/>
        </w:rPr>
        <w:t xml:space="preserve">4,6% το 2018 και </w:t>
      </w:r>
      <w:r>
        <w:rPr>
          <w:sz w:val="22"/>
          <w:szCs w:val="22"/>
        </w:rPr>
        <w:t xml:space="preserve">κατά </w:t>
      </w:r>
      <w:r w:rsidR="00AA01E7" w:rsidRPr="00857BE0">
        <w:rPr>
          <w:sz w:val="22"/>
          <w:szCs w:val="22"/>
        </w:rPr>
        <w:t>3,9% το 2019, έναντι 5,1% και 4,6% α</w:t>
      </w:r>
      <w:r w:rsidR="00AA01E7" w:rsidRPr="00857BE0">
        <w:rPr>
          <w:sz w:val="22"/>
          <w:szCs w:val="22"/>
        </w:rPr>
        <w:t>ν</w:t>
      </w:r>
      <w:r w:rsidR="00AA01E7" w:rsidRPr="00857BE0">
        <w:rPr>
          <w:sz w:val="22"/>
          <w:szCs w:val="22"/>
        </w:rPr>
        <w:t>τίστοιχα, σύμφωνα με τα στοιχεία της προηγούμενης έκθεσης. Μεσοπρόθεσμα, καθώς εξασθενούν οι κυκλικές δυνάμεις και αυξάνονται οι ανησυχίες σχετικά με τις εμπορικές πολιτικές και την πορεία της παγκόσμιας οικονομίας,</w:t>
      </w:r>
      <w:r w:rsidR="00357716">
        <w:rPr>
          <w:sz w:val="22"/>
          <w:szCs w:val="22"/>
        </w:rPr>
        <w:t xml:space="preserve"> </w:t>
      </w:r>
      <w:r w:rsidR="00AA01E7" w:rsidRPr="00857BE0">
        <w:rPr>
          <w:sz w:val="22"/>
          <w:szCs w:val="22"/>
        </w:rPr>
        <w:t xml:space="preserve">το παγκόσμιο εμπόριο αναμένεται να επηρεαστεί αρνητικά. </w:t>
      </w:r>
    </w:p>
    <w:p w:rsidR="00AB1CFE" w:rsidRDefault="00AB1CFE" w:rsidP="00780119">
      <w:pPr>
        <w:pStyle w:val="10"/>
        <w:rPr>
          <w:b/>
          <w:sz w:val="22"/>
        </w:rPr>
      </w:pPr>
    </w:p>
    <w:tbl>
      <w:tblPr>
        <w:tblStyle w:val="ae"/>
        <w:tblW w:w="5000" w:type="pct"/>
        <w:tblLook w:val="04A0"/>
      </w:tblPr>
      <w:tblGrid>
        <w:gridCol w:w="5127"/>
        <w:gridCol w:w="1417"/>
        <w:gridCol w:w="1417"/>
        <w:gridCol w:w="1326"/>
      </w:tblGrid>
      <w:tr w:rsidR="0098529A" w:rsidRPr="00BB6683" w:rsidTr="0007493A">
        <w:tc>
          <w:tcPr>
            <w:tcW w:w="5000" w:type="pct"/>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rsidR="0098529A" w:rsidRDefault="0098529A" w:rsidP="00780119">
            <w:pPr>
              <w:pStyle w:val="10"/>
              <w:spacing w:before="120"/>
              <w:jc w:val="center"/>
            </w:pPr>
            <w:r w:rsidRPr="0006551E">
              <w:rPr>
                <w:rFonts w:ascii="Arial Narrow" w:eastAsia="Arial Narrow" w:hAnsi="Arial Narrow" w:cs="Arial Narrow"/>
                <w:b/>
                <w:color w:val="FFFFFF"/>
              </w:rPr>
              <w:t>Πίνακας 1.1 Βασικά μεγέθη της παγκόσμιας οικονομίας</w:t>
            </w:r>
          </w:p>
          <w:p w:rsidR="0098529A" w:rsidRPr="001D72FB" w:rsidRDefault="0098529A" w:rsidP="00780119">
            <w:pPr>
              <w:spacing w:after="120"/>
              <w:jc w:val="center"/>
              <w:rPr>
                <w:b/>
                <w:lang w:val="en-US"/>
              </w:rPr>
            </w:pPr>
            <w:r w:rsidRPr="0006551E">
              <w:rPr>
                <w:rFonts w:ascii="Arial Narrow" w:eastAsia="Arial Narrow" w:hAnsi="Arial Narrow" w:cs="Arial Narrow"/>
                <w:b/>
                <w:color w:val="FFFFFF"/>
              </w:rPr>
              <w:t>(% ετήσιες μεταβολές, σταθερές τιμές)</w:t>
            </w:r>
          </w:p>
        </w:tc>
      </w:tr>
      <w:tr w:rsidR="0098529A" w:rsidRPr="00BB6683" w:rsidTr="0098529A">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B1CFE" w:rsidRDefault="00AB1CFE" w:rsidP="00780119">
            <w:pPr>
              <w:pStyle w:val="10"/>
              <w:jc w:val="center"/>
              <w:rPr>
                <w:rFonts w:ascii="Arial Narrow" w:eastAsia="Arial Narrow" w:hAnsi="Arial Narrow" w:cs="Arial Narrow"/>
                <w:b/>
                <w:color w:val="FFFFFF"/>
              </w:rPr>
            </w:pPr>
          </w:p>
        </w:tc>
      </w:tr>
      <w:tr w:rsidR="0098529A" w:rsidRPr="00BB6683" w:rsidTr="0007493A">
        <w:tc>
          <w:tcPr>
            <w:tcW w:w="2760" w:type="pct"/>
            <w:tcBorders>
              <w:top w:val="single" w:sz="4" w:space="0" w:color="auto"/>
              <w:left w:val="single" w:sz="4" w:space="0" w:color="auto"/>
              <w:bottom w:val="single" w:sz="4" w:space="0" w:color="auto"/>
              <w:right w:val="single" w:sz="4" w:space="0" w:color="auto"/>
            </w:tcBorders>
            <w:shd w:val="clear" w:color="auto" w:fill="auto"/>
          </w:tcPr>
          <w:p w:rsidR="0098529A" w:rsidRPr="009D74E9" w:rsidRDefault="0098529A" w:rsidP="00780119">
            <w:pPr>
              <w:spacing w:before="80" w:after="80"/>
              <w:jc w:val="center"/>
              <w:rPr>
                <w:rFonts w:ascii="Arial Narrow" w:hAnsi="Arial Narrow"/>
                <w:b/>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98529A" w:rsidRPr="009D74E9" w:rsidRDefault="0098529A" w:rsidP="00780119">
            <w:pPr>
              <w:spacing w:before="80" w:after="80"/>
              <w:jc w:val="center"/>
              <w:rPr>
                <w:rFonts w:ascii="Arial Narrow" w:hAnsi="Arial Narrow"/>
                <w:b/>
                <w:sz w:val="16"/>
                <w:szCs w:val="16"/>
              </w:rPr>
            </w:pPr>
            <w:r w:rsidRPr="009D74E9">
              <w:rPr>
                <w:rFonts w:ascii="Arial Narrow" w:hAnsi="Arial Narrow"/>
                <w:b/>
                <w:sz w:val="16"/>
                <w:szCs w:val="16"/>
              </w:rPr>
              <w:t>2017</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98529A" w:rsidRPr="009D74E9" w:rsidRDefault="0098529A" w:rsidP="00780119">
            <w:pPr>
              <w:spacing w:before="80" w:after="80"/>
              <w:jc w:val="center"/>
              <w:rPr>
                <w:rFonts w:ascii="Arial Narrow" w:hAnsi="Arial Narrow"/>
                <w:b/>
                <w:sz w:val="16"/>
                <w:szCs w:val="16"/>
              </w:rPr>
            </w:pPr>
            <w:r w:rsidRPr="009D74E9">
              <w:rPr>
                <w:rFonts w:ascii="Arial Narrow" w:hAnsi="Arial Narrow"/>
                <w:b/>
                <w:sz w:val="16"/>
                <w:szCs w:val="16"/>
              </w:rPr>
              <w:t>2018*</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8529A" w:rsidRPr="009D74E9" w:rsidRDefault="0098529A" w:rsidP="00780119">
            <w:pPr>
              <w:spacing w:before="80" w:after="80"/>
              <w:jc w:val="center"/>
              <w:rPr>
                <w:rFonts w:ascii="Arial Narrow" w:hAnsi="Arial Narrow"/>
                <w:b/>
                <w:sz w:val="16"/>
                <w:szCs w:val="16"/>
              </w:rPr>
            </w:pPr>
            <w:r w:rsidRPr="009D74E9">
              <w:rPr>
                <w:rFonts w:ascii="Arial Narrow" w:hAnsi="Arial Narrow"/>
                <w:b/>
                <w:sz w:val="16"/>
                <w:szCs w:val="16"/>
              </w:rPr>
              <w:t>2019*</w:t>
            </w:r>
          </w:p>
        </w:tc>
      </w:tr>
      <w:tr w:rsidR="0098529A" w:rsidRPr="00BB6683" w:rsidTr="002B64CC">
        <w:tc>
          <w:tcPr>
            <w:tcW w:w="2760" w:type="pct"/>
            <w:tcBorders>
              <w:top w:val="single" w:sz="4" w:space="0" w:color="auto"/>
              <w:left w:val="single" w:sz="4" w:space="0" w:color="auto"/>
              <w:bottom w:val="nil"/>
              <w:right w:val="nil"/>
            </w:tcBorders>
            <w:shd w:val="clear" w:color="auto" w:fill="D9D9D9" w:themeFill="background1" w:themeFillShade="D9"/>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Παγκόσμιο</w:t>
            </w:r>
            <w:r>
              <w:rPr>
                <w:rFonts w:ascii="Arial Narrow" w:hAnsi="Arial Narrow"/>
                <w:sz w:val="16"/>
                <w:szCs w:val="16"/>
              </w:rPr>
              <w:t xml:space="preserve"> </w:t>
            </w:r>
            <w:r w:rsidRPr="009D74E9">
              <w:rPr>
                <w:rFonts w:ascii="Arial Narrow" w:hAnsi="Arial Narrow"/>
                <w:sz w:val="16"/>
                <w:szCs w:val="16"/>
              </w:rPr>
              <w:t>ΑΕΠ</w:t>
            </w:r>
          </w:p>
        </w:tc>
        <w:tc>
          <w:tcPr>
            <w:tcW w:w="763" w:type="pct"/>
            <w:tcBorders>
              <w:top w:val="single" w:sz="4" w:space="0" w:color="auto"/>
              <w:left w:val="nil"/>
              <w:bottom w:val="nil"/>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3,7</w:t>
            </w:r>
          </w:p>
        </w:tc>
        <w:tc>
          <w:tcPr>
            <w:tcW w:w="763" w:type="pct"/>
            <w:tcBorders>
              <w:top w:val="single" w:sz="4" w:space="0" w:color="auto"/>
              <w:left w:val="nil"/>
              <w:bottom w:val="nil"/>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3,7</w:t>
            </w:r>
          </w:p>
        </w:tc>
        <w:tc>
          <w:tcPr>
            <w:tcW w:w="714" w:type="pct"/>
            <w:tcBorders>
              <w:top w:val="single" w:sz="4" w:space="0" w:color="auto"/>
              <w:left w:val="nil"/>
              <w:bottom w:val="nil"/>
              <w:right w:val="single" w:sz="4" w:space="0" w:color="auto"/>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3,7</w:t>
            </w:r>
          </w:p>
        </w:tc>
      </w:tr>
      <w:tr w:rsidR="0098529A" w:rsidRPr="00BB6683" w:rsidTr="0007493A">
        <w:tc>
          <w:tcPr>
            <w:tcW w:w="2760" w:type="pct"/>
            <w:tcBorders>
              <w:top w:val="nil"/>
              <w:left w:val="single" w:sz="4" w:space="0" w:color="auto"/>
              <w:bottom w:val="nil"/>
              <w:right w:val="nil"/>
            </w:tcBorders>
            <w:shd w:val="clear" w:color="auto" w:fill="auto"/>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ΑΕΠ Ε.Ε.**</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2,4</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2,1</w:t>
            </w:r>
          </w:p>
        </w:tc>
        <w:tc>
          <w:tcPr>
            <w:tcW w:w="714" w:type="pct"/>
            <w:tcBorders>
              <w:top w:val="nil"/>
              <w:left w:val="nil"/>
              <w:bottom w:val="nil"/>
              <w:right w:val="single" w:sz="4" w:space="0" w:color="auto"/>
            </w:tcBorders>
            <w:shd w:val="clear" w:color="auto" w:fill="auto"/>
          </w:tcPr>
          <w:p w:rsidR="0098529A" w:rsidRPr="00B60D0B" w:rsidRDefault="00B60D0B" w:rsidP="00780119">
            <w:pPr>
              <w:jc w:val="center"/>
              <w:rPr>
                <w:rFonts w:ascii="Arial Narrow" w:hAnsi="Arial Narrow"/>
                <w:sz w:val="16"/>
                <w:szCs w:val="16"/>
                <w:lang w:val="en-US"/>
              </w:rPr>
            </w:pPr>
            <w:r>
              <w:rPr>
                <w:rFonts w:ascii="Arial Narrow" w:hAnsi="Arial Narrow"/>
                <w:sz w:val="16"/>
                <w:szCs w:val="16"/>
                <w:lang w:val="en-US"/>
              </w:rPr>
              <w:t>1</w:t>
            </w:r>
            <w:r w:rsidR="0098529A" w:rsidRPr="009D74E9">
              <w:rPr>
                <w:rFonts w:ascii="Arial Narrow" w:hAnsi="Arial Narrow"/>
                <w:sz w:val="16"/>
                <w:szCs w:val="16"/>
              </w:rPr>
              <w:t>,</w:t>
            </w:r>
            <w:r>
              <w:rPr>
                <w:rFonts w:ascii="Arial Narrow" w:hAnsi="Arial Narrow"/>
                <w:sz w:val="16"/>
                <w:szCs w:val="16"/>
                <w:lang w:val="en-US"/>
              </w:rPr>
              <w:t>9</w:t>
            </w:r>
          </w:p>
        </w:tc>
      </w:tr>
      <w:tr w:rsidR="0098529A" w:rsidRPr="00BB6683" w:rsidTr="002B64CC">
        <w:tc>
          <w:tcPr>
            <w:tcW w:w="2760" w:type="pct"/>
            <w:tcBorders>
              <w:top w:val="nil"/>
              <w:left w:val="single" w:sz="4" w:space="0" w:color="auto"/>
              <w:bottom w:val="nil"/>
              <w:right w:val="nil"/>
            </w:tcBorders>
            <w:shd w:val="clear" w:color="auto" w:fill="D9D9D9" w:themeFill="background1" w:themeFillShade="D9"/>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ΑΕΠ Ευρωζώνης</w:t>
            </w:r>
          </w:p>
        </w:tc>
        <w:tc>
          <w:tcPr>
            <w:tcW w:w="763" w:type="pct"/>
            <w:tcBorders>
              <w:top w:val="nil"/>
              <w:left w:val="nil"/>
              <w:bottom w:val="nil"/>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2,4</w:t>
            </w:r>
          </w:p>
        </w:tc>
        <w:tc>
          <w:tcPr>
            <w:tcW w:w="763" w:type="pct"/>
            <w:tcBorders>
              <w:top w:val="nil"/>
              <w:left w:val="nil"/>
              <w:bottom w:val="nil"/>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2,0</w:t>
            </w:r>
          </w:p>
        </w:tc>
        <w:tc>
          <w:tcPr>
            <w:tcW w:w="714" w:type="pct"/>
            <w:tcBorders>
              <w:top w:val="nil"/>
              <w:left w:val="nil"/>
              <w:bottom w:val="nil"/>
              <w:right w:val="single" w:sz="4" w:space="0" w:color="auto"/>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1,9</w:t>
            </w:r>
          </w:p>
        </w:tc>
      </w:tr>
      <w:tr w:rsidR="0098529A" w:rsidRPr="00BB6683" w:rsidTr="0007493A">
        <w:tc>
          <w:tcPr>
            <w:tcW w:w="2760" w:type="pct"/>
            <w:tcBorders>
              <w:top w:val="nil"/>
              <w:left w:val="single" w:sz="4" w:space="0" w:color="auto"/>
              <w:bottom w:val="nil"/>
              <w:right w:val="nil"/>
            </w:tcBorders>
            <w:shd w:val="clear" w:color="auto" w:fill="auto"/>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ΑΕΠ ΗΠΑ</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2,2</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2,9</w:t>
            </w:r>
          </w:p>
        </w:tc>
        <w:tc>
          <w:tcPr>
            <w:tcW w:w="714" w:type="pct"/>
            <w:tcBorders>
              <w:top w:val="nil"/>
              <w:left w:val="nil"/>
              <w:bottom w:val="nil"/>
              <w:right w:val="single" w:sz="4" w:space="0" w:color="auto"/>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2,5</w:t>
            </w:r>
          </w:p>
        </w:tc>
      </w:tr>
      <w:tr w:rsidR="0098529A" w:rsidRPr="00BB6683" w:rsidTr="002B64CC">
        <w:tc>
          <w:tcPr>
            <w:tcW w:w="2760" w:type="pct"/>
            <w:tcBorders>
              <w:top w:val="nil"/>
              <w:left w:val="single" w:sz="4" w:space="0" w:color="auto"/>
              <w:bottom w:val="nil"/>
              <w:right w:val="nil"/>
            </w:tcBorders>
            <w:shd w:val="clear" w:color="auto" w:fill="D9D9D9" w:themeFill="background1" w:themeFillShade="D9"/>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Παγκόσμιο Εμπόριο (αγαθά και υπηρεσίες)</w:t>
            </w:r>
          </w:p>
        </w:tc>
        <w:tc>
          <w:tcPr>
            <w:tcW w:w="763" w:type="pct"/>
            <w:tcBorders>
              <w:top w:val="nil"/>
              <w:left w:val="nil"/>
              <w:bottom w:val="nil"/>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5,2</w:t>
            </w:r>
          </w:p>
        </w:tc>
        <w:tc>
          <w:tcPr>
            <w:tcW w:w="763" w:type="pct"/>
            <w:tcBorders>
              <w:top w:val="nil"/>
              <w:left w:val="nil"/>
              <w:bottom w:val="nil"/>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4,2</w:t>
            </w:r>
          </w:p>
        </w:tc>
        <w:tc>
          <w:tcPr>
            <w:tcW w:w="714" w:type="pct"/>
            <w:tcBorders>
              <w:top w:val="nil"/>
              <w:left w:val="nil"/>
              <w:bottom w:val="nil"/>
              <w:right w:val="single" w:sz="4" w:space="0" w:color="auto"/>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4,0</w:t>
            </w:r>
          </w:p>
        </w:tc>
      </w:tr>
      <w:tr w:rsidR="0098529A" w:rsidRPr="00BB6683" w:rsidTr="0007493A">
        <w:tc>
          <w:tcPr>
            <w:tcW w:w="2760" w:type="pct"/>
            <w:tcBorders>
              <w:top w:val="nil"/>
              <w:left w:val="single" w:sz="4" w:space="0" w:color="auto"/>
              <w:bottom w:val="nil"/>
              <w:right w:val="nil"/>
            </w:tcBorders>
            <w:shd w:val="clear" w:color="auto" w:fill="auto"/>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Πληθωρισμός</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p>
        </w:tc>
        <w:tc>
          <w:tcPr>
            <w:tcW w:w="714" w:type="pct"/>
            <w:tcBorders>
              <w:top w:val="nil"/>
              <w:left w:val="nil"/>
              <w:bottom w:val="nil"/>
              <w:right w:val="single" w:sz="4" w:space="0" w:color="auto"/>
            </w:tcBorders>
            <w:shd w:val="clear" w:color="auto" w:fill="auto"/>
          </w:tcPr>
          <w:p w:rsidR="0098529A" w:rsidRPr="009D74E9" w:rsidRDefault="0098529A" w:rsidP="00780119">
            <w:pPr>
              <w:jc w:val="center"/>
              <w:rPr>
                <w:rFonts w:ascii="Arial Narrow" w:hAnsi="Arial Narrow"/>
                <w:sz w:val="16"/>
                <w:szCs w:val="16"/>
              </w:rPr>
            </w:pPr>
          </w:p>
        </w:tc>
      </w:tr>
      <w:tr w:rsidR="0098529A" w:rsidRPr="00BB6683" w:rsidTr="0007493A">
        <w:tc>
          <w:tcPr>
            <w:tcW w:w="2760" w:type="pct"/>
            <w:tcBorders>
              <w:top w:val="nil"/>
              <w:left w:val="single" w:sz="4" w:space="0" w:color="auto"/>
              <w:bottom w:val="nil"/>
              <w:right w:val="nil"/>
            </w:tcBorders>
            <w:shd w:val="clear" w:color="auto" w:fill="auto"/>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α. Προηγμένες οικονομίες</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1,7</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2,0</w:t>
            </w:r>
          </w:p>
        </w:tc>
        <w:tc>
          <w:tcPr>
            <w:tcW w:w="714" w:type="pct"/>
            <w:tcBorders>
              <w:top w:val="nil"/>
              <w:left w:val="nil"/>
              <w:bottom w:val="nil"/>
              <w:right w:val="single" w:sz="4" w:space="0" w:color="auto"/>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1,9</w:t>
            </w:r>
          </w:p>
        </w:tc>
      </w:tr>
      <w:tr w:rsidR="0098529A" w:rsidRPr="00BB6683" w:rsidTr="0007493A">
        <w:tc>
          <w:tcPr>
            <w:tcW w:w="2760" w:type="pct"/>
            <w:tcBorders>
              <w:top w:val="nil"/>
              <w:left w:val="single" w:sz="4" w:space="0" w:color="auto"/>
              <w:bottom w:val="nil"/>
              <w:right w:val="nil"/>
            </w:tcBorders>
            <w:shd w:val="clear" w:color="auto" w:fill="auto"/>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β. Αναδυόμενες αγορές και αναπτυσσόμενες οικονομίες</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4,3</w:t>
            </w:r>
          </w:p>
        </w:tc>
        <w:tc>
          <w:tcPr>
            <w:tcW w:w="763" w:type="pct"/>
            <w:tcBorders>
              <w:top w:val="nil"/>
              <w:left w:val="nil"/>
              <w:bottom w:val="nil"/>
              <w:right w:val="nil"/>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5,0</w:t>
            </w:r>
          </w:p>
        </w:tc>
        <w:tc>
          <w:tcPr>
            <w:tcW w:w="714" w:type="pct"/>
            <w:tcBorders>
              <w:top w:val="nil"/>
              <w:left w:val="nil"/>
              <w:bottom w:val="nil"/>
              <w:right w:val="single" w:sz="4" w:space="0" w:color="auto"/>
            </w:tcBorders>
            <w:shd w:val="clear" w:color="auto" w:fill="auto"/>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5,2</w:t>
            </w:r>
          </w:p>
        </w:tc>
      </w:tr>
      <w:tr w:rsidR="0098529A" w:rsidRPr="006D524B" w:rsidTr="002B64CC">
        <w:tc>
          <w:tcPr>
            <w:tcW w:w="2760" w:type="pct"/>
            <w:tcBorders>
              <w:top w:val="nil"/>
              <w:left w:val="single" w:sz="4" w:space="0" w:color="auto"/>
              <w:bottom w:val="single" w:sz="4" w:space="0" w:color="auto"/>
              <w:right w:val="nil"/>
            </w:tcBorders>
            <w:shd w:val="clear" w:color="auto" w:fill="D9D9D9" w:themeFill="background1" w:themeFillShade="D9"/>
          </w:tcPr>
          <w:p w:rsidR="0098529A" w:rsidRPr="009D74E9" w:rsidRDefault="0098529A" w:rsidP="00780119">
            <w:pPr>
              <w:jc w:val="both"/>
              <w:rPr>
                <w:rFonts w:ascii="Arial Narrow" w:hAnsi="Arial Narrow"/>
                <w:sz w:val="16"/>
                <w:szCs w:val="16"/>
              </w:rPr>
            </w:pPr>
            <w:r w:rsidRPr="009D74E9">
              <w:rPr>
                <w:rFonts w:ascii="Arial Narrow" w:hAnsi="Arial Narrow"/>
                <w:sz w:val="16"/>
                <w:szCs w:val="16"/>
              </w:rPr>
              <w:t>Τιμή πετρελαίου (Brent, USD/barrel)</w:t>
            </w:r>
          </w:p>
        </w:tc>
        <w:tc>
          <w:tcPr>
            <w:tcW w:w="763" w:type="pct"/>
            <w:tcBorders>
              <w:top w:val="nil"/>
              <w:left w:val="nil"/>
              <w:bottom w:val="single" w:sz="4" w:space="0" w:color="auto"/>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52,81</w:t>
            </w:r>
          </w:p>
        </w:tc>
        <w:tc>
          <w:tcPr>
            <w:tcW w:w="763" w:type="pct"/>
            <w:tcBorders>
              <w:top w:val="nil"/>
              <w:left w:val="nil"/>
              <w:bottom w:val="single" w:sz="4" w:space="0" w:color="auto"/>
              <w:right w:val="nil"/>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69,38</w:t>
            </w:r>
          </w:p>
        </w:tc>
        <w:tc>
          <w:tcPr>
            <w:tcW w:w="714" w:type="pct"/>
            <w:tcBorders>
              <w:top w:val="nil"/>
              <w:left w:val="nil"/>
              <w:bottom w:val="single" w:sz="4" w:space="0" w:color="auto"/>
              <w:right w:val="single" w:sz="4" w:space="0" w:color="auto"/>
            </w:tcBorders>
            <w:shd w:val="clear" w:color="auto" w:fill="D9D9D9" w:themeFill="background1" w:themeFillShade="D9"/>
          </w:tcPr>
          <w:p w:rsidR="0098529A" w:rsidRPr="009D74E9" w:rsidRDefault="0098529A" w:rsidP="00780119">
            <w:pPr>
              <w:jc w:val="center"/>
              <w:rPr>
                <w:rFonts w:ascii="Arial Narrow" w:hAnsi="Arial Narrow"/>
                <w:sz w:val="16"/>
                <w:szCs w:val="16"/>
              </w:rPr>
            </w:pPr>
            <w:r w:rsidRPr="009D74E9">
              <w:rPr>
                <w:rFonts w:ascii="Arial Narrow" w:hAnsi="Arial Narrow"/>
                <w:sz w:val="16"/>
                <w:szCs w:val="16"/>
              </w:rPr>
              <w:t>68,76</w:t>
            </w:r>
          </w:p>
        </w:tc>
      </w:tr>
    </w:tbl>
    <w:p w:rsidR="0098529A" w:rsidRPr="00AC65D1" w:rsidRDefault="0098529A" w:rsidP="00780119">
      <w:pPr>
        <w:ind w:right="-286"/>
        <w:jc w:val="both"/>
        <w:rPr>
          <w:rFonts w:ascii="Arial Narrow" w:hAnsi="Arial Narrow"/>
          <w:sz w:val="16"/>
          <w:szCs w:val="16"/>
          <w:lang w:val="en-US"/>
        </w:rPr>
      </w:pPr>
      <w:r w:rsidRPr="00AC65D1">
        <w:rPr>
          <w:rFonts w:ascii="Arial Narrow" w:hAnsi="Arial Narrow"/>
          <w:sz w:val="16"/>
          <w:szCs w:val="16"/>
        </w:rPr>
        <w:t>Πηγή</w:t>
      </w:r>
      <w:r w:rsidRPr="00AC65D1">
        <w:rPr>
          <w:rFonts w:ascii="Arial Narrow" w:hAnsi="Arial Narrow"/>
          <w:sz w:val="16"/>
          <w:szCs w:val="16"/>
          <w:lang w:val="en-US"/>
        </w:rPr>
        <w:t xml:space="preserve">: IMF World </w:t>
      </w:r>
      <w:r w:rsidRPr="00AC65D1">
        <w:rPr>
          <w:rFonts w:ascii="Arial Narrow" w:hAnsi="Arial Narrow"/>
          <w:sz w:val="16"/>
          <w:szCs w:val="16"/>
        </w:rPr>
        <w:t>Ε</w:t>
      </w:r>
      <w:r w:rsidRPr="00AC65D1">
        <w:rPr>
          <w:rFonts w:ascii="Arial Narrow" w:hAnsi="Arial Narrow"/>
          <w:sz w:val="16"/>
          <w:szCs w:val="16"/>
          <w:lang w:val="en-US"/>
        </w:rPr>
        <w:t xml:space="preserve">conomic </w:t>
      </w:r>
      <w:r w:rsidRPr="00AC65D1">
        <w:rPr>
          <w:rFonts w:ascii="Arial Narrow" w:hAnsi="Arial Narrow"/>
          <w:sz w:val="16"/>
          <w:szCs w:val="16"/>
        </w:rPr>
        <w:t>Ο</w:t>
      </w:r>
      <w:r w:rsidRPr="00AC65D1">
        <w:rPr>
          <w:rFonts w:ascii="Arial Narrow" w:hAnsi="Arial Narrow"/>
          <w:sz w:val="16"/>
          <w:szCs w:val="16"/>
          <w:lang w:val="en-US"/>
        </w:rPr>
        <w:t xml:space="preserve">utlook, </w:t>
      </w:r>
      <w:r w:rsidRPr="00AC65D1">
        <w:rPr>
          <w:rFonts w:ascii="Arial Narrow" w:hAnsi="Arial Narrow"/>
          <w:sz w:val="16"/>
          <w:szCs w:val="16"/>
        </w:rPr>
        <w:t>Οκτώβριος</w:t>
      </w:r>
      <w:r w:rsidRPr="00AC65D1">
        <w:rPr>
          <w:rFonts w:ascii="Arial Narrow" w:hAnsi="Arial Narrow"/>
          <w:sz w:val="16"/>
          <w:szCs w:val="16"/>
          <w:lang w:val="en-US"/>
        </w:rPr>
        <w:t xml:space="preserve"> 2018</w:t>
      </w:r>
      <w:r w:rsidR="00794063">
        <w:rPr>
          <w:rFonts w:ascii="Arial Narrow" w:hAnsi="Arial Narrow"/>
          <w:sz w:val="16"/>
          <w:szCs w:val="16"/>
          <w:lang w:val="en-US"/>
        </w:rPr>
        <w:t xml:space="preserve">, **European Commission, </w:t>
      </w:r>
      <w:r w:rsidR="00A308DC">
        <w:rPr>
          <w:rFonts w:ascii="Arial Narrow" w:hAnsi="Arial Narrow"/>
          <w:sz w:val="16"/>
          <w:szCs w:val="16"/>
          <w:lang w:val="en-US"/>
        </w:rPr>
        <w:t>Autumn</w:t>
      </w:r>
      <w:r w:rsidRPr="00AC65D1">
        <w:rPr>
          <w:rFonts w:ascii="Arial Narrow" w:hAnsi="Arial Narrow"/>
          <w:sz w:val="16"/>
          <w:szCs w:val="16"/>
          <w:lang w:val="en-US"/>
        </w:rPr>
        <w:t xml:space="preserve"> forecast,</w:t>
      </w:r>
      <w:r>
        <w:rPr>
          <w:rFonts w:ascii="Arial Narrow" w:hAnsi="Arial Narrow"/>
          <w:sz w:val="16"/>
          <w:szCs w:val="16"/>
          <w:lang w:val="en-US"/>
        </w:rPr>
        <w:t xml:space="preserve"> </w:t>
      </w:r>
      <w:r w:rsidR="00A308DC">
        <w:rPr>
          <w:rFonts w:ascii="Arial Narrow" w:hAnsi="Arial Narrow"/>
          <w:sz w:val="16"/>
          <w:szCs w:val="16"/>
        </w:rPr>
        <w:t>Νοέμβριος</w:t>
      </w:r>
      <w:r w:rsidRPr="00AC65D1">
        <w:rPr>
          <w:rFonts w:ascii="Arial Narrow" w:hAnsi="Arial Narrow"/>
          <w:sz w:val="16"/>
          <w:szCs w:val="16"/>
          <w:lang w:val="en-US"/>
        </w:rPr>
        <w:t xml:space="preserve"> 2018.</w:t>
      </w:r>
    </w:p>
    <w:p w:rsidR="0098529A" w:rsidRPr="00AC65D1" w:rsidRDefault="0098529A" w:rsidP="00780119">
      <w:pPr>
        <w:ind w:right="-144"/>
        <w:jc w:val="both"/>
        <w:rPr>
          <w:rFonts w:ascii="Arial Narrow" w:hAnsi="Arial Narrow"/>
          <w:sz w:val="16"/>
          <w:szCs w:val="16"/>
        </w:rPr>
      </w:pPr>
      <w:r w:rsidRPr="00AC65D1">
        <w:rPr>
          <w:rFonts w:ascii="Arial Narrow" w:hAnsi="Arial Narrow"/>
          <w:sz w:val="16"/>
          <w:szCs w:val="16"/>
        </w:rPr>
        <w:t>*Εκτιμήσεις/Προβλέψεις</w:t>
      </w:r>
    </w:p>
    <w:p w:rsidR="00AB1CFE" w:rsidRDefault="00AB1CFE" w:rsidP="00780119">
      <w:pPr>
        <w:pStyle w:val="10"/>
        <w:rPr>
          <w:b/>
          <w:sz w:val="22"/>
        </w:rPr>
      </w:pPr>
    </w:p>
    <w:p w:rsidR="00AB1CFE" w:rsidRDefault="00AE6FFC" w:rsidP="00780119">
      <w:pPr>
        <w:jc w:val="both"/>
        <w:rPr>
          <w:sz w:val="22"/>
          <w:szCs w:val="22"/>
        </w:rPr>
      </w:pPr>
      <w:r w:rsidRPr="00956477">
        <w:rPr>
          <w:sz w:val="22"/>
          <w:szCs w:val="22"/>
        </w:rPr>
        <w:t>Σύμφωνα με τις εκτιμήσεις της Ευρωπαϊκής Κεντρικής Τράπεζας</w:t>
      </w:r>
      <w:r w:rsidRPr="00956477">
        <w:rPr>
          <w:sz w:val="22"/>
          <w:szCs w:val="22"/>
          <w:vertAlign w:val="superscript"/>
        </w:rPr>
        <w:footnoteReference w:id="4"/>
      </w:r>
      <w:r w:rsidRPr="00956477">
        <w:rPr>
          <w:sz w:val="22"/>
          <w:szCs w:val="22"/>
        </w:rPr>
        <w:t xml:space="preserve">, η εξωτερική ζήτηση προϊόντων και υπηρεσιών της ζώνης του ευρώ αναμένεται να επιβραδυνθεί και να </w:t>
      </w:r>
      <w:r w:rsidR="004609D8">
        <w:rPr>
          <w:sz w:val="22"/>
          <w:szCs w:val="22"/>
        </w:rPr>
        <w:t xml:space="preserve">μεταβληθεί κατά </w:t>
      </w:r>
      <w:r w:rsidRPr="00956477">
        <w:rPr>
          <w:sz w:val="22"/>
          <w:szCs w:val="22"/>
        </w:rPr>
        <w:t xml:space="preserve">4,1% το 2018 και 3,6% το 2019 έναντι 5,3% το 2017. Συγκριτικά με τα στοιχεία της προηγούμενης έκθεσης (Ιούνιος 2018), </w:t>
      </w:r>
      <w:r w:rsidR="004609D8">
        <w:rPr>
          <w:sz w:val="22"/>
          <w:szCs w:val="22"/>
        </w:rPr>
        <w:t xml:space="preserve">ο ρυθμός μεταβολής της εξωτερικής ζήτησης </w:t>
      </w:r>
      <w:r w:rsidRPr="00956477">
        <w:rPr>
          <w:sz w:val="22"/>
          <w:szCs w:val="22"/>
        </w:rPr>
        <w:t>αναθεωρήθηκε προς τα κάτω κατά 1,1% και 0,7% για το 2018 και 2019 αντίστοιχα, λόγω της υποχώρησης της δυναμικής που παρατηρείται στα δεδομένα βραχυπρόθεσμα. Η επιβράδυνση της εξωτερικής ζήτησης αγαθών και υπηρεσιών της ζώνης του ευρώ αναμένεται να περιορίσει την άνοδο των εξαγωγών κατά τα έτη 2018 και 2019.</w:t>
      </w:r>
    </w:p>
    <w:p w:rsidR="00AB1CFE" w:rsidRDefault="00AB1CFE" w:rsidP="00780119">
      <w:pPr>
        <w:jc w:val="both"/>
        <w:rPr>
          <w:sz w:val="22"/>
          <w:szCs w:val="22"/>
        </w:rPr>
      </w:pPr>
    </w:p>
    <w:p w:rsidR="00AB1CFE" w:rsidRDefault="00AE6FFC" w:rsidP="00780119">
      <w:pPr>
        <w:jc w:val="both"/>
        <w:rPr>
          <w:sz w:val="22"/>
          <w:szCs w:val="22"/>
        </w:rPr>
      </w:pPr>
      <w:r w:rsidRPr="00956477">
        <w:rPr>
          <w:sz w:val="22"/>
          <w:szCs w:val="22"/>
        </w:rPr>
        <w:t>Η βελτίωση των συνθηκών στις αγορές εργασίας της ζώνης του ευρώ αναμένεται να συνεχιστεί</w:t>
      </w:r>
      <w:r w:rsidR="004609D8">
        <w:rPr>
          <w:sz w:val="22"/>
          <w:szCs w:val="22"/>
        </w:rPr>
        <w:t>.</w:t>
      </w:r>
      <w:r w:rsidRPr="00956477">
        <w:rPr>
          <w:sz w:val="22"/>
          <w:szCs w:val="22"/>
        </w:rPr>
        <w:t xml:space="preserve"> Ειδ</w:t>
      </w:r>
      <w:r w:rsidRPr="00956477">
        <w:rPr>
          <w:sz w:val="22"/>
          <w:szCs w:val="22"/>
        </w:rPr>
        <w:t>ι</w:t>
      </w:r>
      <w:r w:rsidRPr="00956477">
        <w:rPr>
          <w:sz w:val="22"/>
          <w:szCs w:val="22"/>
        </w:rPr>
        <w:t xml:space="preserve">κότερα, σύμφωνα με τα στοιχεία της έκθεσης της ΕΚΤ, ο ρυθμός αύξησης των μισθών αναμένεται να βελτιωθεί σημαντικά </w:t>
      </w:r>
      <w:r w:rsidR="004609D8">
        <w:rPr>
          <w:sz w:val="22"/>
          <w:szCs w:val="22"/>
        </w:rPr>
        <w:t xml:space="preserve">λόγω της εμφάνισης συνθηκών </w:t>
      </w:r>
      <w:r w:rsidRPr="00956477">
        <w:rPr>
          <w:sz w:val="22"/>
          <w:szCs w:val="22"/>
        </w:rPr>
        <w:t xml:space="preserve">στενότητας στις αγορές εργασίας και </w:t>
      </w:r>
      <w:r w:rsidR="004609D8">
        <w:rPr>
          <w:sz w:val="22"/>
          <w:szCs w:val="22"/>
        </w:rPr>
        <w:t xml:space="preserve">της λήξης της ισχύος </w:t>
      </w:r>
      <w:r w:rsidRPr="00956477">
        <w:rPr>
          <w:sz w:val="22"/>
          <w:szCs w:val="22"/>
        </w:rPr>
        <w:t>των μέτρων που συγκράτησαν τις μισθολογικές αυξήσεις σε ορισμένες χώρες τα τελευταία έτη. Ωστόσο, ο ρυθμός αύξησης της απασχόλησης αναμένεται να επιβραδυνθεί</w:t>
      </w:r>
      <w:r w:rsidR="00176C4D">
        <w:rPr>
          <w:sz w:val="22"/>
          <w:szCs w:val="22"/>
        </w:rPr>
        <w:t xml:space="preserve"> </w:t>
      </w:r>
      <w:r w:rsidRPr="00956477">
        <w:rPr>
          <w:sz w:val="22"/>
          <w:szCs w:val="22"/>
        </w:rPr>
        <w:t xml:space="preserve">και να διαμορφωθεί σε 1,4% και 0,9% το 2018 και 2019 αντίστοιχα, έναντι 1,6% το 2017, εξέλιξη που συνδέεται κυρίως </w:t>
      </w:r>
      <w:r w:rsidRPr="00956477">
        <w:rPr>
          <w:sz w:val="22"/>
          <w:szCs w:val="22"/>
        </w:rPr>
        <w:lastRenderedPageBreak/>
        <w:t xml:space="preserve">με </w:t>
      </w:r>
      <w:r w:rsidR="004609D8">
        <w:rPr>
          <w:sz w:val="22"/>
          <w:szCs w:val="22"/>
        </w:rPr>
        <w:t xml:space="preserve">τις ελλείψεις της </w:t>
      </w:r>
      <w:r w:rsidRPr="00956477">
        <w:rPr>
          <w:sz w:val="22"/>
          <w:szCs w:val="22"/>
        </w:rPr>
        <w:t>προσφορά</w:t>
      </w:r>
      <w:r w:rsidR="004609D8">
        <w:rPr>
          <w:sz w:val="22"/>
          <w:szCs w:val="22"/>
        </w:rPr>
        <w:t>ς</w:t>
      </w:r>
      <w:r w:rsidRPr="00956477">
        <w:rPr>
          <w:sz w:val="22"/>
          <w:szCs w:val="22"/>
        </w:rPr>
        <w:t xml:space="preserve"> εργασίας σε ορισμένες χώρες. Το ποσοστό ανεργίας εκτιμάται ότι θα διαμορφωθεί σε 8,3% και 7,8% το 2018 και 2019 αντίστοιχα, έναντι 9,1% το 2017. </w:t>
      </w:r>
    </w:p>
    <w:p w:rsidR="00AB1CFE" w:rsidRDefault="00AB1CFE" w:rsidP="00780119">
      <w:pPr>
        <w:jc w:val="both"/>
        <w:rPr>
          <w:sz w:val="22"/>
          <w:szCs w:val="22"/>
        </w:rPr>
      </w:pPr>
    </w:p>
    <w:p w:rsidR="00AB1CFE" w:rsidRDefault="00AE6FFC" w:rsidP="00780119">
      <w:pPr>
        <w:jc w:val="both"/>
        <w:rPr>
          <w:sz w:val="22"/>
          <w:szCs w:val="22"/>
        </w:rPr>
      </w:pPr>
      <w:r w:rsidRPr="00956477">
        <w:rPr>
          <w:sz w:val="22"/>
          <w:szCs w:val="22"/>
        </w:rPr>
        <w:t xml:space="preserve">Η </w:t>
      </w:r>
      <w:r w:rsidR="004609D8">
        <w:rPr>
          <w:sz w:val="22"/>
          <w:szCs w:val="22"/>
        </w:rPr>
        <w:t>προοπτική</w:t>
      </w:r>
      <w:r w:rsidRPr="00956477">
        <w:rPr>
          <w:sz w:val="22"/>
          <w:szCs w:val="22"/>
        </w:rPr>
        <w:t xml:space="preserve"> του διεθνούς περιβάλλοντος σκιαγραφείται ασαφής, τόσο μεσοπρόθεσμα όσο και μα</w:t>
      </w:r>
      <w:r w:rsidRPr="00956477">
        <w:rPr>
          <w:sz w:val="22"/>
          <w:szCs w:val="22"/>
        </w:rPr>
        <w:t>κ</w:t>
      </w:r>
      <w:r w:rsidRPr="00956477">
        <w:rPr>
          <w:sz w:val="22"/>
          <w:szCs w:val="22"/>
        </w:rPr>
        <w:t>ροπρόθεσμα, καθώς οι αβεβαιότητες και οι</w:t>
      </w:r>
      <w:r w:rsidR="00176C4D">
        <w:rPr>
          <w:sz w:val="22"/>
          <w:szCs w:val="22"/>
        </w:rPr>
        <w:t xml:space="preserve"> </w:t>
      </w:r>
      <w:r w:rsidRPr="00956477">
        <w:rPr>
          <w:sz w:val="22"/>
          <w:szCs w:val="22"/>
        </w:rPr>
        <w:t>κίνδυνοι (downside risks), αυξάνο</w:t>
      </w:r>
      <w:r w:rsidR="004609D8">
        <w:rPr>
          <w:sz w:val="22"/>
          <w:szCs w:val="22"/>
        </w:rPr>
        <w:t>νται</w:t>
      </w:r>
      <w:r w:rsidRPr="00956477">
        <w:rPr>
          <w:sz w:val="22"/>
          <w:szCs w:val="22"/>
        </w:rPr>
        <w:t xml:space="preserve"> όλο και περισσότ</w:t>
      </w:r>
      <w:r w:rsidRPr="00956477">
        <w:rPr>
          <w:sz w:val="22"/>
          <w:szCs w:val="22"/>
        </w:rPr>
        <w:t>ε</w:t>
      </w:r>
      <w:r w:rsidRPr="00956477">
        <w:rPr>
          <w:sz w:val="22"/>
          <w:szCs w:val="22"/>
        </w:rPr>
        <w:t>ρο. Οι κίνδυνοι αυτοί αφορούν, κυρίως, στην κλιμάκωση των εμπορικών εντάσεων μεταξύ των μεγ</w:t>
      </w:r>
      <w:r w:rsidRPr="00956477">
        <w:rPr>
          <w:sz w:val="22"/>
          <w:szCs w:val="22"/>
        </w:rPr>
        <w:t>ά</w:t>
      </w:r>
      <w:r w:rsidRPr="00956477">
        <w:rPr>
          <w:sz w:val="22"/>
          <w:szCs w:val="22"/>
        </w:rPr>
        <w:t>λων οικονομιών και εν γένει στην άνοδο του εμπορικού προστατευτισμού, η οποία αυξάνει την αβ</w:t>
      </w:r>
      <w:r w:rsidRPr="00956477">
        <w:rPr>
          <w:sz w:val="22"/>
          <w:szCs w:val="22"/>
        </w:rPr>
        <w:t>ε</w:t>
      </w:r>
      <w:r w:rsidRPr="00956477">
        <w:rPr>
          <w:sz w:val="22"/>
          <w:szCs w:val="22"/>
        </w:rPr>
        <w:t>βαιότητα για τις μελλοντικές εμπορικές σχέσεις. Επιπλέον, στους κινδύνους</w:t>
      </w:r>
      <w:r w:rsidR="00176C4D">
        <w:rPr>
          <w:sz w:val="22"/>
          <w:szCs w:val="22"/>
        </w:rPr>
        <w:t xml:space="preserve"> </w:t>
      </w:r>
      <w:r w:rsidR="004609D8">
        <w:rPr>
          <w:sz w:val="22"/>
          <w:szCs w:val="22"/>
        </w:rPr>
        <w:t xml:space="preserve">συμπεριλαμβάνονται ο σταδιακός περιορισμός της νομισματικής πολιτικής στις αναπτυγμένες οικονομίες, </w:t>
      </w:r>
      <w:r w:rsidRPr="00956477">
        <w:rPr>
          <w:sz w:val="22"/>
          <w:szCs w:val="22"/>
        </w:rPr>
        <w:t>το υψηλό δημόσιο και ιδιωτικό χρέος, ως ποσοστό του παγκόσμιου ΑΕΠ, τόσο στις αναπτυγμένες όσο και στις αναδυ</w:t>
      </w:r>
      <w:r w:rsidRPr="00956477">
        <w:rPr>
          <w:sz w:val="22"/>
          <w:szCs w:val="22"/>
        </w:rPr>
        <w:t>ό</w:t>
      </w:r>
      <w:r w:rsidRPr="00956477">
        <w:rPr>
          <w:sz w:val="22"/>
          <w:szCs w:val="22"/>
        </w:rPr>
        <w:t>μενες οικονομίες, η άνοδος των διεθνών τιμών</w:t>
      </w:r>
      <w:r w:rsidR="00176C4D">
        <w:rPr>
          <w:sz w:val="22"/>
          <w:szCs w:val="22"/>
        </w:rPr>
        <w:t xml:space="preserve"> </w:t>
      </w:r>
      <w:r w:rsidRPr="00956477">
        <w:rPr>
          <w:sz w:val="22"/>
          <w:szCs w:val="22"/>
        </w:rPr>
        <w:t xml:space="preserve">πετρελαίου, η οποία εμποδίζει τις μακροπρόθεσμες προοπτικές ανάπτυξης πολλών αναπτυσσόμενων χωρών, </w:t>
      </w:r>
      <w:r w:rsidR="004609D8">
        <w:rPr>
          <w:sz w:val="22"/>
          <w:szCs w:val="22"/>
        </w:rPr>
        <w:t xml:space="preserve">οι δυσμενείς </w:t>
      </w:r>
      <w:r w:rsidRPr="00956477">
        <w:rPr>
          <w:sz w:val="22"/>
          <w:szCs w:val="22"/>
        </w:rPr>
        <w:t>χρηματοπιστωτικ</w:t>
      </w:r>
      <w:r w:rsidR="004609D8">
        <w:rPr>
          <w:sz w:val="22"/>
          <w:szCs w:val="22"/>
        </w:rPr>
        <w:t>ές συνθήκες</w:t>
      </w:r>
      <w:r w:rsidRPr="00956477">
        <w:rPr>
          <w:sz w:val="22"/>
          <w:szCs w:val="22"/>
        </w:rPr>
        <w:t xml:space="preserve"> που βιώνουν οι αναδυόμενες οικονομίες και η πολιτική αστάθεια κρατών-μελών της Ευρωζώνης. Τ</w:t>
      </w:r>
      <w:r w:rsidRPr="00956477">
        <w:rPr>
          <w:sz w:val="22"/>
          <w:szCs w:val="22"/>
        </w:rPr>
        <w:t>έ</w:t>
      </w:r>
      <w:r w:rsidRPr="00956477">
        <w:rPr>
          <w:sz w:val="22"/>
          <w:szCs w:val="22"/>
        </w:rPr>
        <w:t>λος, η ενδεχόμενη επιδείνωση της προσφυγικής κρίσης, καθώς και οι γεωπολιτικές εντάσεις δημιου</w:t>
      </w:r>
      <w:r w:rsidRPr="00956477">
        <w:rPr>
          <w:sz w:val="22"/>
          <w:szCs w:val="22"/>
        </w:rPr>
        <w:t>ρ</w:t>
      </w:r>
      <w:r w:rsidRPr="00956477">
        <w:rPr>
          <w:sz w:val="22"/>
          <w:szCs w:val="22"/>
        </w:rPr>
        <w:t>γούν πρόσθετους κινδύνους για την παγκόσμια οικονομία.</w:t>
      </w:r>
    </w:p>
    <w:p w:rsidR="00AB1CFE" w:rsidRDefault="00AB1CFE" w:rsidP="00780119">
      <w:pPr>
        <w:pStyle w:val="10"/>
        <w:jc w:val="both"/>
        <w:rPr>
          <w:b/>
          <w:sz w:val="22"/>
        </w:rPr>
      </w:pPr>
    </w:p>
    <w:p w:rsidR="00AB1CFE" w:rsidRDefault="007A4F45" w:rsidP="00780119">
      <w:pPr>
        <w:jc w:val="both"/>
        <w:rPr>
          <w:rFonts w:ascii="Arial Narrow" w:hAnsi="Arial Narrow"/>
          <w:b/>
          <w:color w:val="000080"/>
        </w:rPr>
      </w:pPr>
      <w:r w:rsidRPr="007E3CB7">
        <w:rPr>
          <w:rFonts w:ascii="Arial Narrow" w:hAnsi="Arial Narrow"/>
          <w:b/>
          <w:color w:val="000080"/>
        </w:rPr>
        <w:t xml:space="preserve">Η ενιαία νομισματική πολιτική </w:t>
      </w:r>
      <w:r>
        <w:rPr>
          <w:rFonts w:ascii="Arial Narrow" w:hAnsi="Arial Narrow"/>
          <w:b/>
          <w:color w:val="000080"/>
        </w:rPr>
        <w:t>στη ζώνη του ευρώ</w:t>
      </w:r>
    </w:p>
    <w:p w:rsidR="00AB1CFE" w:rsidRDefault="00AB1CFE" w:rsidP="00780119">
      <w:pPr>
        <w:pStyle w:val="10"/>
        <w:jc w:val="both"/>
        <w:rPr>
          <w:b/>
          <w:sz w:val="22"/>
          <w:szCs w:val="22"/>
        </w:rPr>
      </w:pPr>
    </w:p>
    <w:p w:rsidR="00AB1CFE" w:rsidRDefault="00DA1881" w:rsidP="00780119">
      <w:pPr>
        <w:pStyle w:val="10"/>
        <w:jc w:val="both"/>
        <w:rPr>
          <w:sz w:val="22"/>
          <w:szCs w:val="22"/>
        </w:rPr>
      </w:pPr>
      <w:r w:rsidRPr="00DA1881">
        <w:rPr>
          <w:sz w:val="22"/>
          <w:szCs w:val="22"/>
        </w:rPr>
        <w:t>Μετά τον ισχυρό ρυθμό ανάπτυξης που καταγράφηκε το 2017</w:t>
      </w:r>
      <w:r w:rsidR="004609D8">
        <w:rPr>
          <w:sz w:val="22"/>
          <w:szCs w:val="22"/>
        </w:rPr>
        <w:t xml:space="preserve">, ο οποίος </w:t>
      </w:r>
      <w:r w:rsidRPr="00DA1881">
        <w:rPr>
          <w:sz w:val="22"/>
          <w:szCs w:val="22"/>
        </w:rPr>
        <w:t>ήταν ο υψηλότερος των τελ</w:t>
      </w:r>
      <w:r w:rsidRPr="00DA1881">
        <w:rPr>
          <w:sz w:val="22"/>
          <w:szCs w:val="22"/>
        </w:rPr>
        <w:t>ε</w:t>
      </w:r>
      <w:r w:rsidRPr="00DA1881">
        <w:rPr>
          <w:sz w:val="22"/>
          <w:szCs w:val="22"/>
        </w:rPr>
        <w:t xml:space="preserve">υταίων δέκα ετών (2,7%), η οικονομική δραστηριότητα στη ζώνη του ευρώ συνέχισε να ενισχύεται το 2018 με </w:t>
      </w:r>
      <w:r w:rsidR="009C0969">
        <w:rPr>
          <w:sz w:val="22"/>
          <w:szCs w:val="22"/>
        </w:rPr>
        <w:t xml:space="preserve">επιβραδυνόμενο όμως </w:t>
      </w:r>
      <w:r w:rsidRPr="00DA1881">
        <w:rPr>
          <w:sz w:val="22"/>
          <w:szCs w:val="22"/>
        </w:rPr>
        <w:t>ρυθμό</w:t>
      </w:r>
      <w:r w:rsidR="009C0969">
        <w:rPr>
          <w:sz w:val="22"/>
          <w:szCs w:val="22"/>
        </w:rPr>
        <w:t>,</w:t>
      </w:r>
      <w:r w:rsidRPr="00DA1881">
        <w:rPr>
          <w:sz w:val="22"/>
          <w:szCs w:val="22"/>
        </w:rPr>
        <w:t xml:space="preserve"> ο οποίος </w:t>
      </w:r>
      <w:r w:rsidR="009C0969">
        <w:rPr>
          <w:sz w:val="22"/>
          <w:szCs w:val="22"/>
        </w:rPr>
        <w:t xml:space="preserve">διαμορφώθηκε </w:t>
      </w:r>
      <w:r w:rsidRPr="00DA1881">
        <w:rPr>
          <w:sz w:val="22"/>
          <w:szCs w:val="22"/>
        </w:rPr>
        <w:t>σε 2,4% το α΄ τρίμηνο</w:t>
      </w:r>
      <w:r w:rsidR="004609D8">
        <w:rPr>
          <w:sz w:val="22"/>
          <w:szCs w:val="22"/>
        </w:rPr>
        <w:t xml:space="preserve"> και σε </w:t>
      </w:r>
      <w:r w:rsidRPr="00DA1881">
        <w:rPr>
          <w:sz w:val="22"/>
          <w:szCs w:val="22"/>
        </w:rPr>
        <w:t>2,2% το β’ τρίμηνο</w:t>
      </w:r>
      <w:r w:rsidR="004609D8">
        <w:rPr>
          <w:sz w:val="22"/>
          <w:szCs w:val="22"/>
        </w:rPr>
        <w:t xml:space="preserve">, ενώ εκτιμάται σε </w:t>
      </w:r>
      <w:r w:rsidR="009C0969">
        <w:rPr>
          <w:sz w:val="22"/>
          <w:szCs w:val="22"/>
        </w:rPr>
        <w:t xml:space="preserve">1,7% </w:t>
      </w:r>
      <w:r w:rsidR="004609D8">
        <w:rPr>
          <w:sz w:val="22"/>
          <w:szCs w:val="22"/>
        </w:rPr>
        <w:t xml:space="preserve">για </w:t>
      </w:r>
      <w:r w:rsidR="009C0969">
        <w:rPr>
          <w:sz w:val="22"/>
          <w:szCs w:val="22"/>
        </w:rPr>
        <w:t xml:space="preserve">το γ’ τρίμηνο </w:t>
      </w:r>
      <w:r w:rsidRPr="00DA1881">
        <w:rPr>
          <w:sz w:val="22"/>
          <w:szCs w:val="22"/>
        </w:rPr>
        <w:t xml:space="preserve">του έτους. </w:t>
      </w:r>
      <w:r w:rsidR="004609D8">
        <w:rPr>
          <w:sz w:val="22"/>
          <w:szCs w:val="22"/>
        </w:rPr>
        <w:t xml:space="preserve">Παρά την επιβράδυνση αυτή, </w:t>
      </w:r>
      <w:r w:rsidR="009C0969">
        <w:rPr>
          <w:sz w:val="22"/>
          <w:szCs w:val="22"/>
        </w:rPr>
        <w:t>η</w:t>
      </w:r>
      <w:r w:rsidRPr="00DA1881">
        <w:rPr>
          <w:sz w:val="22"/>
          <w:szCs w:val="22"/>
        </w:rPr>
        <w:t xml:space="preserve"> οικ</w:t>
      </w:r>
      <w:r w:rsidRPr="00DA1881">
        <w:rPr>
          <w:sz w:val="22"/>
          <w:szCs w:val="22"/>
        </w:rPr>
        <w:t>ο</w:t>
      </w:r>
      <w:r w:rsidRPr="00DA1881">
        <w:rPr>
          <w:sz w:val="22"/>
          <w:szCs w:val="22"/>
        </w:rPr>
        <w:t>νομική ανάκαμψη στη ζώνη του ευρώ εκτιμάται ότι θα συνεχιστεί τα αμέσως επόμενα έτη</w:t>
      </w:r>
      <w:r w:rsidR="009C0969">
        <w:rPr>
          <w:sz w:val="22"/>
          <w:szCs w:val="22"/>
        </w:rPr>
        <w:t xml:space="preserve"> υποβοηθ</w:t>
      </w:r>
      <w:r w:rsidR="009C0969">
        <w:rPr>
          <w:sz w:val="22"/>
          <w:szCs w:val="22"/>
        </w:rPr>
        <w:t>ο</w:t>
      </w:r>
      <w:r w:rsidR="009C0969">
        <w:rPr>
          <w:sz w:val="22"/>
          <w:szCs w:val="22"/>
        </w:rPr>
        <w:t>ύμενη από την εσωτερική ζήτηση και τη βελτίωση στην αγορά εργασίας</w:t>
      </w:r>
      <w:r w:rsidRPr="00DA1881">
        <w:rPr>
          <w:sz w:val="22"/>
          <w:szCs w:val="22"/>
        </w:rPr>
        <w:t>. Η εξωτερική ζήτηση αναμ</w:t>
      </w:r>
      <w:r w:rsidRPr="00DA1881">
        <w:rPr>
          <w:sz w:val="22"/>
          <w:szCs w:val="22"/>
        </w:rPr>
        <w:t>έ</w:t>
      </w:r>
      <w:r w:rsidRPr="00DA1881">
        <w:rPr>
          <w:sz w:val="22"/>
          <w:szCs w:val="22"/>
        </w:rPr>
        <w:t xml:space="preserve">νεται </w:t>
      </w:r>
      <w:r w:rsidR="00C410A5">
        <w:rPr>
          <w:sz w:val="22"/>
          <w:szCs w:val="22"/>
        </w:rPr>
        <w:t>ότι θ</w:t>
      </w:r>
      <w:r w:rsidRPr="00DA1881">
        <w:rPr>
          <w:sz w:val="22"/>
          <w:szCs w:val="22"/>
        </w:rPr>
        <w:t xml:space="preserve">α εξακολουθήσει να επηρεάζει θετικά τις εξαγωγές, </w:t>
      </w:r>
      <w:r w:rsidR="009C0969">
        <w:rPr>
          <w:sz w:val="22"/>
          <w:szCs w:val="22"/>
        </w:rPr>
        <w:t xml:space="preserve">αν και με χαμηλότερο ρυθμό, </w:t>
      </w:r>
      <w:r w:rsidRPr="00DA1881">
        <w:rPr>
          <w:sz w:val="22"/>
          <w:szCs w:val="22"/>
        </w:rPr>
        <w:t>ενώ η δ</w:t>
      </w:r>
      <w:r w:rsidRPr="00DA1881">
        <w:rPr>
          <w:sz w:val="22"/>
          <w:szCs w:val="22"/>
        </w:rPr>
        <w:t>ι</w:t>
      </w:r>
      <w:r w:rsidRPr="00DA1881">
        <w:rPr>
          <w:sz w:val="22"/>
          <w:szCs w:val="22"/>
        </w:rPr>
        <w:t xml:space="preserve">ατήρηση της </w:t>
      </w:r>
      <w:r w:rsidR="004609D8">
        <w:rPr>
          <w:sz w:val="22"/>
          <w:szCs w:val="22"/>
        </w:rPr>
        <w:t xml:space="preserve">υφιστάμενης </w:t>
      </w:r>
      <w:r w:rsidRPr="00DA1881">
        <w:rPr>
          <w:sz w:val="22"/>
          <w:szCs w:val="22"/>
        </w:rPr>
        <w:t>κατεύθυνσης της νομισματικής πολιτικής στη ζώνη του ευρώ, η βελτίωση στην αγορά εργασίας, η ανάκαμψη στον τομέα των επιχειρηματικών επενδύσεων και της αγοράς ακ</w:t>
      </w:r>
      <w:r w:rsidRPr="00DA1881">
        <w:rPr>
          <w:sz w:val="22"/>
          <w:szCs w:val="22"/>
        </w:rPr>
        <w:t>ι</w:t>
      </w:r>
      <w:r w:rsidRPr="00DA1881">
        <w:rPr>
          <w:sz w:val="22"/>
          <w:szCs w:val="22"/>
        </w:rPr>
        <w:t>νήτων προβλέπεται να εξακολουθήσουν να στηρίζουν την εσωτερική ζήτηση. Οι κίνδυνοι για τις πρ</w:t>
      </w:r>
      <w:r w:rsidRPr="00DA1881">
        <w:rPr>
          <w:sz w:val="22"/>
          <w:szCs w:val="22"/>
        </w:rPr>
        <w:t>ο</w:t>
      </w:r>
      <w:r w:rsidRPr="00DA1881">
        <w:rPr>
          <w:sz w:val="22"/>
          <w:szCs w:val="22"/>
        </w:rPr>
        <w:t xml:space="preserve">οπτικές της οικονομικής δραστηριότητας στη ζώνη του ευρώ θεωρούνται </w:t>
      </w:r>
      <w:r w:rsidR="009C0969">
        <w:rPr>
          <w:sz w:val="22"/>
          <w:szCs w:val="22"/>
        </w:rPr>
        <w:t xml:space="preserve">ακόμα </w:t>
      </w:r>
      <w:r w:rsidRPr="00DA1881">
        <w:rPr>
          <w:sz w:val="22"/>
          <w:szCs w:val="22"/>
        </w:rPr>
        <w:t xml:space="preserve">εξισορροπημένοι, αν και </w:t>
      </w:r>
      <w:r w:rsidR="004609D8">
        <w:rPr>
          <w:sz w:val="22"/>
          <w:szCs w:val="22"/>
        </w:rPr>
        <w:t xml:space="preserve">εξακολουθούν να υφίστανται </w:t>
      </w:r>
      <w:r w:rsidRPr="00DA1881">
        <w:rPr>
          <w:sz w:val="22"/>
          <w:szCs w:val="22"/>
        </w:rPr>
        <w:t xml:space="preserve">αβεβαιότητες που σχετίζονται κυρίως με τάσεις ενίσχυσης του προστατευτισμού στο διεθνές εμπόριο </w:t>
      </w:r>
      <w:r w:rsidR="009C0969">
        <w:rPr>
          <w:sz w:val="22"/>
          <w:szCs w:val="22"/>
        </w:rPr>
        <w:t xml:space="preserve">με τις αναδυόμενες αγορές και με τις </w:t>
      </w:r>
      <w:r w:rsidRPr="00DA1881">
        <w:rPr>
          <w:sz w:val="22"/>
          <w:szCs w:val="22"/>
        </w:rPr>
        <w:t>συνθήκες αυξημένης μ</w:t>
      </w:r>
      <w:r w:rsidRPr="00DA1881">
        <w:rPr>
          <w:sz w:val="22"/>
          <w:szCs w:val="22"/>
        </w:rPr>
        <w:t>ε</w:t>
      </w:r>
      <w:r w:rsidRPr="00DA1881">
        <w:rPr>
          <w:sz w:val="22"/>
          <w:szCs w:val="22"/>
        </w:rPr>
        <w:t>ταβλητότητας στις χρηματοπιστωτικές αγορές.</w:t>
      </w:r>
      <w:r w:rsidR="00357716">
        <w:rPr>
          <w:sz w:val="22"/>
          <w:szCs w:val="22"/>
        </w:rPr>
        <w:t xml:space="preserve"> </w:t>
      </w:r>
      <w:r w:rsidRPr="00DA1881">
        <w:rPr>
          <w:sz w:val="22"/>
          <w:szCs w:val="22"/>
        </w:rPr>
        <w:t xml:space="preserve"> </w:t>
      </w:r>
    </w:p>
    <w:p w:rsidR="00AB1CFE" w:rsidRDefault="00AB1CFE" w:rsidP="00780119">
      <w:pPr>
        <w:pStyle w:val="10"/>
        <w:jc w:val="both"/>
        <w:rPr>
          <w:sz w:val="22"/>
          <w:szCs w:val="22"/>
        </w:rPr>
      </w:pPr>
    </w:p>
    <w:p w:rsidR="00AB1CFE" w:rsidRDefault="00DA1881" w:rsidP="00780119">
      <w:pPr>
        <w:pStyle w:val="10"/>
        <w:jc w:val="both"/>
        <w:rPr>
          <w:sz w:val="22"/>
          <w:szCs w:val="22"/>
        </w:rPr>
      </w:pPr>
      <w:r w:rsidRPr="00DA1881">
        <w:rPr>
          <w:sz w:val="22"/>
          <w:szCs w:val="22"/>
        </w:rPr>
        <w:t xml:space="preserve">Ο </w:t>
      </w:r>
      <w:r w:rsidR="004609D8">
        <w:rPr>
          <w:sz w:val="22"/>
          <w:szCs w:val="22"/>
        </w:rPr>
        <w:t>πληθωρισμός</w:t>
      </w:r>
      <w:r w:rsidRPr="00DA1881">
        <w:rPr>
          <w:sz w:val="22"/>
          <w:szCs w:val="22"/>
        </w:rPr>
        <w:t xml:space="preserve"> στη ζώνη του ευρώ παρουσίασε από το</w:t>
      </w:r>
      <w:r w:rsidR="008700DF">
        <w:rPr>
          <w:sz w:val="22"/>
          <w:szCs w:val="22"/>
        </w:rPr>
        <w:t>ν</w:t>
      </w:r>
      <w:r w:rsidRPr="00DA1881">
        <w:rPr>
          <w:sz w:val="22"/>
          <w:szCs w:val="22"/>
        </w:rPr>
        <w:t xml:space="preserve"> Μάιο του 2018 και μετά σημαντική επιτ</w:t>
      </w:r>
      <w:r w:rsidRPr="00DA1881">
        <w:rPr>
          <w:sz w:val="22"/>
          <w:szCs w:val="22"/>
        </w:rPr>
        <w:t>ά</w:t>
      </w:r>
      <w:r w:rsidRPr="00DA1881">
        <w:rPr>
          <w:sz w:val="22"/>
          <w:szCs w:val="22"/>
        </w:rPr>
        <w:t>χυνση κυρίως λόγω ενίσχυσης των τιμών της ενέργειας και των τροφίμων (</w:t>
      </w:r>
      <w:r w:rsidR="009C0969">
        <w:rPr>
          <w:sz w:val="22"/>
          <w:szCs w:val="22"/>
        </w:rPr>
        <w:t xml:space="preserve">Οκτώβριος </w:t>
      </w:r>
      <w:r w:rsidRPr="00DA1881">
        <w:rPr>
          <w:sz w:val="22"/>
          <w:szCs w:val="22"/>
        </w:rPr>
        <w:t>2018: 2,</w:t>
      </w:r>
      <w:r w:rsidR="009C0969">
        <w:rPr>
          <w:sz w:val="22"/>
          <w:szCs w:val="22"/>
        </w:rPr>
        <w:t>2</w:t>
      </w:r>
      <w:r w:rsidRPr="00DA1881">
        <w:rPr>
          <w:sz w:val="22"/>
          <w:szCs w:val="22"/>
        </w:rPr>
        <w:t>%, Δεκ</w:t>
      </w:r>
      <w:r w:rsidR="00C410A5">
        <w:rPr>
          <w:sz w:val="22"/>
          <w:szCs w:val="22"/>
        </w:rPr>
        <w:t>έμβριος</w:t>
      </w:r>
      <w:r w:rsidRPr="00DA1881">
        <w:rPr>
          <w:sz w:val="22"/>
          <w:szCs w:val="22"/>
        </w:rPr>
        <w:t xml:space="preserve"> 2017: 1,4%). Ο πυρήνας του πληθωρισμού (δηλ. ο ρυθμός μεταβολής των τιμών εκτός ενέργειας και ειδών διατροφής) παρέμεινε γενικά υποτονικός (</w:t>
      </w:r>
      <w:r w:rsidR="009C0969">
        <w:rPr>
          <w:sz w:val="22"/>
          <w:szCs w:val="22"/>
        </w:rPr>
        <w:t xml:space="preserve">Οκτώβριος </w:t>
      </w:r>
      <w:r w:rsidRPr="00DA1881">
        <w:rPr>
          <w:sz w:val="22"/>
          <w:szCs w:val="22"/>
        </w:rPr>
        <w:t xml:space="preserve">2018: </w:t>
      </w:r>
      <w:r w:rsidR="009C0969">
        <w:rPr>
          <w:sz w:val="22"/>
          <w:szCs w:val="22"/>
        </w:rPr>
        <w:t>1,1</w:t>
      </w:r>
      <w:r w:rsidRPr="00DA1881">
        <w:rPr>
          <w:sz w:val="22"/>
          <w:szCs w:val="22"/>
        </w:rPr>
        <w:t xml:space="preserve">%, </w:t>
      </w:r>
      <w:r w:rsidR="00C410A5" w:rsidRPr="00DA1881">
        <w:rPr>
          <w:sz w:val="22"/>
          <w:szCs w:val="22"/>
        </w:rPr>
        <w:t>Δεκ</w:t>
      </w:r>
      <w:r w:rsidR="00C410A5">
        <w:rPr>
          <w:sz w:val="22"/>
          <w:szCs w:val="22"/>
        </w:rPr>
        <w:t>έμβριος</w:t>
      </w:r>
      <w:r w:rsidR="00C410A5" w:rsidRPr="00DA1881">
        <w:rPr>
          <w:sz w:val="22"/>
          <w:szCs w:val="22"/>
        </w:rPr>
        <w:t xml:space="preserve"> </w:t>
      </w:r>
      <w:r w:rsidRPr="00DA1881">
        <w:rPr>
          <w:sz w:val="22"/>
          <w:szCs w:val="22"/>
        </w:rPr>
        <w:t>2017: 0,9%), αλλά έχει ενισχυθεί ελαφρά σε σχέση με τα χαμηλά επίπεδα που καταγράφηκαν στις α</w:t>
      </w:r>
      <w:r w:rsidRPr="00DA1881">
        <w:rPr>
          <w:sz w:val="22"/>
          <w:szCs w:val="22"/>
        </w:rPr>
        <w:t>ρ</w:t>
      </w:r>
      <w:r w:rsidRPr="00DA1881">
        <w:rPr>
          <w:sz w:val="22"/>
          <w:szCs w:val="22"/>
        </w:rPr>
        <w:t xml:space="preserve">χές του 2017, καθώς ο βαθμός απασχόλησης του παραγωγικού δυναμικού είναι υψηλός, </w:t>
      </w:r>
      <w:r w:rsidR="004609D8">
        <w:rPr>
          <w:sz w:val="22"/>
          <w:szCs w:val="22"/>
        </w:rPr>
        <w:t xml:space="preserve">ενώ </w:t>
      </w:r>
      <w:r w:rsidRPr="00DA1881">
        <w:rPr>
          <w:sz w:val="22"/>
          <w:szCs w:val="22"/>
        </w:rPr>
        <w:t>οι συ</w:t>
      </w:r>
      <w:r w:rsidRPr="00DA1881">
        <w:rPr>
          <w:sz w:val="22"/>
          <w:szCs w:val="22"/>
        </w:rPr>
        <w:t>ν</w:t>
      </w:r>
      <w:r w:rsidRPr="00DA1881">
        <w:rPr>
          <w:sz w:val="22"/>
          <w:szCs w:val="22"/>
        </w:rPr>
        <w:t xml:space="preserve">θήκες στην αγορά εργασίας </w:t>
      </w:r>
      <w:r w:rsidR="004609D8">
        <w:rPr>
          <w:sz w:val="22"/>
          <w:szCs w:val="22"/>
        </w:rPr>
        <w:t>έχουν αρχίσει να οδηγούν σε άνοδο</w:t>
      </w:r>
      <w:r w:rsidRPr="00DA1881">
        <w:rPr>
          <w:sz w:val="22"/>
          <w:szCs w:val="22"/>
        </w:rPr>
        <w:t xml:space="preserve"> των ονομαστικών μισθών. </w:t>
      </w:r>
    </w:p>
    <w:p w:rsidR="00AB1CFE" w:rsidRDefault="00AB1CFE" w:rsidP="00780119">
      <w:pPr>
        <w:pStyle w:val="10"/>
        <w:jc w:val="both"/>
        <w:rPr>
          <w:sz w:val="22"/>
          <w:szCs w:val="22"/>
        </w:rPr>
      </w:pPr>
    </w:p>
    <w:p w:rsidR="00AB1CFE" w:rsidRDefault="00DA1881" w:rsidP="00780119">
      <w:pPr>
        <w:pStyle w:val="10"/>
        <w:jc w:val="both"/>
        <w:rPr>
          <w:sz w:val="22"/>
          <w:szCs w:val="22"/>
        </w:rPr>
      </w:pPr>
      <w:r w:rsidRPr="00DA1881">
        <w:rPr>
          <w:sz w:val="22"/>
          <w:szCs w:val="22"/>
        </w:rPr>
        <w:t>Σύμφωνα με τις πλέον πρόσφατες μακροοικονομικές προβολές της ΕΚΤ (Σεπτέμβριος 2018), ο ετήσ</w:t>
      </w:r>
      <w:r w:rsidRPr="00DA1881">
        <w:rPr>
          <w:sz w:val="22"/>
          <w:szCs w:val="22"/>
        </w:rPr>
        <w:t>ι</w:t>
      </w:r>
      <w:r w:rsidRPr="00DA1881">
        <w:rPr>
          <w:sz w:val="22"/>
          <w:szCs w:val="22"/>
        </w:rPr>
        <w:t>ος ρυθμός πληθωρισμού αναμένεται να διαμορφωθεί κατά μέσο όρο στα κράτη-μέλη της ζώνης του ευρώ σε 1,7% για το 2018, το 2019 και το 2020. Ο πυρήνας του πληθωρισμού αναμένεται να ενισχ</w:t>
      </w:r>
      <w:r w:rsidRPr="00DA1881">
        <w:rPr>
          <w:sz w:val="22"/>
          <w:szCs w:val="22"/>
        </w:rPr>
        <w:t>υ</w:t>
      </w:r>
      <w:r w:rsidRPr="00DA1881">
        <w:rPr>
          <w:sz w:val="22"/>
          <w:szCs w:val="22"/>
        </w:rPr>
        <w:t>θεί σταδιακά από τα τέλη του 2018 και μετά, ως αποτέλεσμα της αύξησης του κόστους εργασίας και της συνέχισης της οικονομικής ανάκαμψης στη ζώνη του ευρώ.</w:t>
      </w:r>
    </w:p>
    <w:p w:rsidR="00AB1CFE" w:rsidRDefault="00AB1CFE" w:rsidP="00780119">
      <w:pPr>
        <w:pStyle w:val="10"/>
        <w:jc w:val="both"/>
        <w:rPr>
          <w:sz w:val="22"/>
          <w:szCs w:val="22"/>
        </w:rPr>
      </w:pPr>
    </w:p>
    <w:p w:rsidR="00AB1CFE" w:rsidRDefault="00DA1881" w:rsidP="00780119">
      <w:pPr>
        <w:pStyle w:val="10"/>
        <w:jc w:val="both"/>
        <w:rPr>
          <w:sz w:val="22"/>
          <w:szCs w:val="22"/>
        </w:rPr>
      </w:pPr>
      <w:r w:rsidRPr="00DA1881">
        <w:rPr>
          <w:sz w:val="22"/>
          <w:szCs w:val="22"/>
        </w:rPr>
        <w:t xml:space="preserve">Το 2018 η </w:t>
      </w:r>
      <w:r w:rsidR="004609D8">
        <w:rPr>
          <w:sz w:val="22"/>
          <w:szCs w:val="22"/>
        </w:rPr>
        <w:t>ενιαία νομισματική πολιτική</w:t>
      </w:r>
      <w:r w:rsidRPr="00DA1881">
        <w:rPr>
          <w:sz w:val="22"/>
          <w:szCs w:val="22"/>
        </w:rPr>
        <w:t xml:space="preserve"> του Ευρωσυστήματος </w:t>
      </w:r>
      <w:r w:rsidR="004609D8">
        <w:rPr>
          <w:sz w:val="22"/>
          <w:szCs w:val="22"/>
        </w:rPr>
        <w:t>παρέμεινε χαλαρή</w:t>
      </w:r>
      <w:r w:rsidRPr="00DA1881">
        <w:rPr>
          <w:sz w:val="22"/>
          <w:szCs w:val="22"/>
        </w:rPr>
        <w:t>, προκειμένου να δ</w:t>
      </w:r>
      <w:r w:rsidRPr="00DA1881">
        <w:rPr>
          <w:sz w:val="22"/>
          <w:szCs w:val="22"/>
        </w:rPr>
        <w:t>ι</w:t>
      </w:r>
      <w:r w:rsidRPr="00DA1881">
        <w:rPr>
          <w:sz w:val="22"/>
          <w:szCs w:val="22"/>
        </w:rPr>
        <w:t>ασφαλισθεί ότι ο ετήσιος ρυθμός πληθωρισμού στη ζώνη του ευρώ θα επανέλθει μεσοπρόθεσμα σε επίπεδα λίγο χαμηλότερα του 2%</w:t>
      </w:r>
      <w:r w:rsidR="00AB1CFE">
        <w:rPr>
          <w:sz w:val="22"/>
          <w:szCs w:val="22"/>
        </w:rPr>
        <w:t>,</w:t>
      </w:r>
      <w:r w:rsidRPr="00DA1881">
        <w:rPr>
          <w:sz w:val="22"/>
          <w:szCs w:val="22"/>
        </w:rPr>
        <w:t xml:space="preserve"> ώστε να αποκατασταθεί η σταθερότητα των τιμών η οποία αποτελεί τον πρωταρχικό στόχο του Ευρωσυστήματος. Έτσι, τα βασικά επιτόκια διατηρήθηκαν στα εξαιρετικά </w:t>
      </w:r>
      <w:r w:rsidRPr="00DA1881">
        <w:rPr>
          <w:sz w:val="22"/>
          <w:szCs w:val="22"/>
        </w:rPr>
        <w:lastRenderedPageBreak/>
        <w:t>χαμηλά επίπεδα που είχαν διαμορφωθεί από το</w:t>
      </w:r>
      <w:r w:rsidR="008700DF">
        <w:rPr>
          <w:sz w:val="22"/>
          <w:szCs w:val="22"/>
        </w:rPr>
        <w:t>ν</w:t>
      </w:r>
      <w:r w:rsidRPr="00DA1881">
        <w:rPr>
          <w:sz w:val="22"/>
          <w:szCs w:val="22"/>
        </w:rPr>
        <w:t xml:space="preserve"> Μάρτιο του 2016</w:t>
      </w:r>
      <w:r w:rsidRPr="00DA1881">
        <w:rPr>
          <w:sz w:val="22"/>
          <w:szCs w:val="22"/>
          <w:vertAlign w:val="superscript"/>
        </w:rPr>
        <w:footnoteReference w:id="5"/>
      </w:r>
      <w:r w:rsidR="00AB1CFE">
        <w:rPr>
          <w:sz w:val="22"/>
          <w:szCs w:val="22"/>
        </w:rPr>
        <w:t>,</w:t>
      </w:r>
      <w:r w:rsidRPr="00DA1881">
        <w:rPr>
          <w:sz w:val="22"/>
          <w:szCs w:val="22"/>
        </w:rPr>
        <w:t xml:space="preserve"> ενώ συνεχίστηκε η διεξαγωγή του διευρυμένου προγράμματος αγοράς τίτλων</w:t>
      </w:r>
      <w:r w:rsidRPr="00DA1881">
        <w:rPr>
          <w:sz w:val="22"/>
          <w:szCs w:val="22"/>
          <w:vertAlign w:val="superscript"/>
        </w:rPr>
        <w:footnoteReference w:id="6"/>
      </w:r>
      <w:r w:rsidRPr="00DA1881">
        <w:rPr>
          <w:sz w:val="22"/>
          <w:szCs w:val="22"/>
        </w:rPr>
        <w:t>. Τον Ιούνιο του 2018 το ΔΣ της ΕΚΤ ανακοίνωσε ότι τα βασικά επιτόκια δεν πρόκειται να αυξηθούν πριν τελειώσει το καλοκαίρι του 2019, ενώ δεν αποκλεί</w:t>
      </w:r>
      <w:r w:rsidRPr="00DA1881">
        <w:rPr>
          <w:sz w:val="22"/>
          <w:szCs w:val="22"/>
        </w:rPr>
        <w:t>ε</w:t>
      </w:r>
      <w:r w:rsidRPr="00DA1881">
        <w:rPr>
          <w:sz w:val="22"/>
          <w:szCs w:val="22"/>
        </w:rPr>
        <w:t>ται να παραμείνουν στα παρόντα επίπεδα επί μακρότερο.</w:t>
      </w:r>
    </w:p>
    <w:p w:rsidR="00AB1CFE" w:rsidRDefault="00AB1CFE" w:rsidP="00780119">
      <w:pPr>
        <w:pStyle w:val="10"/>
        <w:jc w:val="both"/>
        <w:rPr>
          <w:sz w:val="22"/>
          <w:szCs w:val="22"/>
        </w:rPr>
      </w:pPr>
    </w:p>
    <w:p w:rsidR="00AB1CFE" w:rsidRDefault="00DA1881" w:rsidP="00780119">
      <w:pPr>
        <w:pStyle w:val="10"/>
        <w:jc w:val="both"/>
        <w:rPr>
          <w:sz w:val="22"/>
          <w:szCs w:val="22"/>
        </w:rPr>
      </w:pPr>
      <w:r w:rsidRPr="00DA1881">
        <w:rPr>
          <w:sz w:val="22"/>
          <w:szCs w:val="22"/>
        </w:rPr>
        <w:t>Αναλυτικότερα, στη διάρκεια του 2018 το ΔΣ της ΕΚΤ εκτίμησε ότι τα συμβατικά και μη συμβατικά μέτρα νομισματικής πολιτικής συνέχισαν να διασφαλίζουν πολύ ευνοϊκές συνθήκες χρηματοδότησης των επιχειρήσεων και των νοικοκυριών στη ζώνη του ευρώ</w:t>
      </w:r>
      <w:r w:rsidR="00794063">
        <w:rPr>
          <w:sz w:val="22"/>
          <w:szCs w:val="22"/>
        </w:rPr>
        <w:t>,</w:t>
      </w:r>
      <w:r w:rsidRPr="00DA1881">
        <w:rPr>
          <w:sz w:val="22"/>
          <w:szCs w:val="22"/>
        </w:rPr>
        <w:t xml:space="preserve"> οι οποίες ήταν αναγκαίες για τη στήριξη της οικονομικής δραστηριότητας. Στα μέσα του έτους, το </w:t>
      </w:r>
      <w:r w:rsidR="00C410A5" w:rsidRPr="00DA1881">
        <w:rPr>
          <w:sz w:val="22"/>
          <w:szCs w:val="22"/>
        </w:rPr>
        <w:t xml:space="preserve">ΔΣ </w:t>
      </w:r>
      <w:r w:rsidRPr="00DA1881">
        <w:rPr>
          <w:sz w:val="22"/>
          <w:szCs w:val="22"/>
        </w:rPr>
        <w:t>της ΕΚΤ έκρινε ότι οι εγχώριες πληθ</w:t>
      </w:r>
      <w:r w:rsidRPr="00DA1881">
        <w:rPr>
          <w:sz w:val="22"/>
          <w:szCs w:val="22"/>
        </w:rPr>
        <w:t>ω</w:t>
      </w:r>
      <w:r w:rsidRPr="00DA1881">
        <w:rPr>
          <w:sz w:val="22"/>
          <w:szCs w:val="22"/>
        </w:rPr>
        <w:t>ριστικές πιέσεις ενδυναμώνονταν σταδιακά και ότι η αβεβαιότητα σχετικά με την προοπτική επαρκ</w:t>
      </w:r>
      <w:r w:rsidRPr="00DA1881">
        <w:rPr>
          <w:sz w:val="22"/>
          <w:szCs w:val="22"/>
        </w:rPr>
        <w:t>ο</w:t>
      </w:r>
      <w:r w:rsidRPr="00DA1881">
        <w:rPr>
          <w:sz w:val="22"/>
          <w:szCs w:val="22"/>
        </w:rPr>
        <w:t>ύς αναθέρμανσης του πληθωρισμού είχε υποχωρήσει. Παρ</w:t>
      </w:r>
      <w:r w:rsidR="00AD0BC7">
        <w:rPr>
          <w:sz w:val="22"/>
          <w:szCs w:val="22"/>
        </w:rPr>
        <w:t>ό</w:t>
      </w:r>
      <w:r w:rsidRPr="00DA1881">
        <w:rPr>
          <w:sz w:val="22"/>
          <w:szCs w:val="22"/>
        </w:rPr>
        <w:t>λ</w:t>
      </w:r>
      <w:r w:rsidR="00AD0BC7">
        <w:rPr>
          <w:sz w:val="22"/>
          <w:szCs w:val="22"/>
        </w:rPr>
        <w:t xml:space="preserve">α </w:t>
      </w:r>
      <w:r w:rsidRPr="00DA1881">
        <w:rPr>
          <w:sz w:val="22"/>
          <w:szCs w:val="22"/>
        </w:rPr>
        <w:t>αυτά, εκτίμησε ότι ήταν απαραίτητο να διατηρηθεί ακόμα ένας σημαντικός βαθμός νομισματικής χαλάρωσης προκειμένου να ενισχυθούν π</w:t>
      </w:r>
      <w:r w:rsidRPr="00DA1881">
        <w:rPr>
          <w:sz w:val="22"/>
          <w:szCs w:val="22"/>
        </w:rPr>
        <w:t>ε</w:t>
      </w:r>
      <w:r w:rsidRPr="00DA1881">
        <w:rPr>
          <w:sz w:val="22"/>
          <w:szCs w:val="22"/>
        </w:rPr>
        <w:t xml:space="preserve">ραιτέρω οι πληθωριστικές πιέσεις και συνεπώς ο καταγραφόμενος πληθωρισμός μεσοπρόθεσμα. Η περαιτέρω αυτή στήριξη θα διασφαλιστεί </w:t>
      </w:r>
      <w:r w:rsidR="00C410A5" w:rsidRPr="00DA1881">
        <w:rPr>
          <w:sz w:val="22"/>
          <w:szCs w:val="22"/>
        </w:rPr>
        <w:t xml:space="preserve">μέσω </w:t>
      </w:r>
      <w:r w:rsidRPr="00DA1881">
        <w:rPr>
          <w:sz w:val="22"/>
          <w:szCs w:val="22"/>
        </w:rPr>
        <w:t>(</w:t>
      </w:r>
      <w:r w:rsidRPr="00DA1881">
        <w:rPr>
          <w:sz w:val="22"/>
          <w:szCs w:val="22"/>
          <w:lang w:val="en-GB"/>
        </w:rPr>
        <w:t>i</w:t>
      </w:r>
      <w:r w:rsidRPr="00DA1881">
        <w:rPr>
          <w:sz w:val="22"/>
          <w:szCs w:val="22"/>
        </w:rPr>
        <w:t>) των καθαρών αγορών τίτλων μέχρι το τέλος του 2018, (</w:t>
      </w:r>
      <w:r w:rsidRPr="00DA1881">
        <w:rPr>
          <w:sz w:val="22"/>
          <w:szCs w:val="22"/>
          <w:lang w:val="en-GB"/>
        </w:rPr>
        <w:t>ii</w:t>
      </w:r>
      <w:r w:rsidRPr="00DA1881">
        <w:rPr>
          <w:sz w:val="22"/>
          <w:szCs w:val="22"/>
        </w:rPr>
        <w:t>) της πολιτικής των επανεπενδύσεων σε τίτλους λόγω του σημαντικού μεγέθους που έχει πλ</w:t>
      </w:r>
      <w:r w:rsidRPr="00DA1881">
        <w:rPr>
          <w:sz w:val="22"/>
          <w:szCs w:val="22"/>
        </w:rPr>
        <w:t>έ</w:t>
      </w:r>
      <w:r w:rsidRPr="00DA1881">
        <w:rPr>
          <w:sz w:val="22"/>
          <w:szCs w:val="22"/>
        </w:rPr>
        <w:t>ον λάβει το χαρτοφυλάκιο τίτλων του Ευρωσυστήματος</w:t>
      </w:r>
      <w:r w:rsidR="00AB1CFE">
        <w:rPr>
          <w:sz w:val="22"/>
          <w:szCs w:val="22"/>
        </w:rPr>
        <w:t>,</w:t>
      </w:r>
      <w:r w:rsidRPr="00DA1881">
        <w:rPr>
          <w:sz w:val="22"/>
          <w:szCs w:val="22"/>
        </w:rPr>
        <w:t xml:space="preserve"> καθώς και (</w:t>
      </w:r>
      <w:r w:rsidRPr="00DA1881">
        <w:rPr>
          <w:sz w:val="22"/>
          <w:szCs w:val="22"/>
          <w:lang w:val="en-GB"/>
        </w:rPr>
        <w:t>iii</w:t>
      </w:r>
      <w:r w:rsidRPr="00DA1881">
        <w:rPr>
          <w:sz w:val="22"/>
          <w:szCs w:val="22"/>
        </w:rPr>
        <w:t>) των καθοδηγητικών ενδείξ</w:t>
      </w:r>
      <w:r w:rsidRPr="00DA1881">
        <w:rPr>
          <w:sz w:val="22"/>
          <w:szCs w:val="22"/>
        </w:rPr>
        <w:t>ε</w:t>
      </w:r>
      <w:r w:rsidRPr="00DA1881">
        <w:rPr>
          <w:sz w:val="22"/>
          <w:szCs w:val="22"/>
        </w:rPr>
        <w:t>ων (</w:t>
      </w:r>
      <w:r w:rsidRPr="00DA1881">
        <w:rPr>
          <w:sz w:val="22"/>
          <w:szCs w:val="22"/>
          <w:lang w:val="en-GB"/>
        </w:rPr>
        <w:t>forward</w:t>
      </w:r>
      <w:r w:rsidRPr="00DA1881">
        <w:rPr>
          <w:sz w:val="22"/>
          <w:szCs w:val="22"/>
        </w:rPr>
        <w:t xml:space="preserve"> </w:t>
      </w:r>
      <w:r w:rsidRPr="00DA1881">
        <w:rPr>
          <w:sz w:val="22"/>
          <w:szCs w:val="22"/>
          <w:lang w:val="en-GB"/>
        </w:rPr>
        <w:t>guidance</w:t>
      </w:r>
      <w:r w:rsidRPr="00DA1881">
        <w:rPr>
          <w:sz w:val="22"/>
          <w:szCs w:val="22"/>
        </w:rPr>
        <w:t>) που παρέχει το Ευρωσύστημα για τη μελλοντική εξέλιξη των βασικών επιτ</w:t>
      </w:r>
      <w:r w:rsidRPr="00DA1881">
        <w:rPr>
          <w:sz w:val="22"/>
          <w:szCs w:val="22"/>
        </w:rPr>
        <w:t>ο</w:t>
      </w:r>
      <w:r w:rsidRPr="00DA1881">
        <w:rPr>
          <w:sz w:val="22"/>
          <w:szCs w:val="22"/>
        </w:rPr>
        <w:t>κίων, ενώ παράλληλα το ΔΣ δεσμεύτηκε να προσαρμόσει</w:t>
      </w:r>
      <w:r w:rsidR="00C410A5">
        <w:rPr>
          <w:sz w:val="22"/>
          <w:szCs w:val="22"/>
        </w:rPr>
        <w:t>,</w:t>
      </w:r>
      <w:r w:rsidRPr="00DA1881">
        <w:rPr>
          <w:sz w:val="22"/>
          <w:szCs w:val="22"/>
        </w:rPr>
        <w:t xml:space="preserve"> εφόσον χρειαστεί</w:t>
      </w:r>
      <w:r w:rsidR="00C410A5">
        <w:rPr>
          <w:sz w:val="22"/>
          <w:szCs w:val="22"/>
        </w:rPr>
        <w:t>,</w:t>
      </w:r>
      <w:r w:rsidRPr="00DA1881">
        <w:rPr>
          <w:sz w:val="22"/>
          <w:szCs w:val="22"/>
        </w:rPr>
        <w:t xml:space="preserve"> όλα τα διαθέσιμα μέσα νομισματικής πολιτικής για την επίτευξη του σκοπού της σταθερότητας των τιμών. Τέλος, το 2018 συνεχίστηκε η διεξαγωγή των πράξεων κύριας αναχρηματοδότησης και πιο μακροπρόθεσμης ανα</w:t>
      </w:r>
      <w:r w:rsidRPr="00DA1881">
        <w:rPr>
          <w:sz w:val="22"/>
          <w:szCs w:val="22"/>
        </w:rPr>
        <w:t>χ</w:t>
      </w:r>
      <w:r w:rsidRPr="00DA1881">
        <w:rPr>
          <w:sz w:val="22"/>
          <w:szCs w:val="22"/>
        </w:rPr>
        <w:t>ρηματοδότησης, οι οποίες αναμένεται να διεξάγονται ως δημοπρασίες σταθερού επιτοκίου χωρίς π</w:t>
      </w:r>
      <w:r w:rsidRPr="00DA1881">
        <w:rPr>
          <w:sz w:val="22"/>
          <w:szCs w:val="22"/>
        </w:rPr>
        <w:t>ο</w:t>
      </w:r>
      <w:r w:rsidRPr="00DA1881">
        <w:rPr>
          <w:sz w:val="22"/>
          <w:szCs w:val="22"/>
        </w:rPr>
        <w:t>σοτικό περιορισμό της χορηγούμενης ρευστότητας τουλάχιστον μέχρι τις αρχές του 2020.</w:t>
      </w:r>
    </w:p>
    <w:p w:rsidR="004F442B" w:rsidRDefault="004F442B" w:rsidP="00780119">
      <w:pPr>
        <w:pStyle w:val="10"/>
        <w:jc w:val="both"/>
        <w:rPr>
          <w:sz w:val="22"/>
          <w:szCs w:val="22"/>
        </w:rPr>
      </w:pPr>
    </w:p>
    <w:p w:rsidR="00AB1CFE" w:rsidRDefault="00AB1CFE" w:rsidP="00780119">
      <w:pPr>
        <w:pStyle w:val="10"/>
        <w:jc w:val="both"/>
        <w:rPr>
          <w:sz w:val="22"/>
          <w:szCs w:val="22"/>
        </w:rPr>
      </w:pPr>
    </w:p>
    <w:p w:rsidR="006D618D" w:rsidRPr="00944AEC" w:rsidRDefault="006D618D" w:rsidP="00780119">
      <w:pPr>
        <w:shd w:val="clear" w:color="auto" w:fill="595959"/>
        <w:jc w:val="both"/>
        <w:rPr>
          <w:rFonts w:ascii="Arial Narrow" w:hAnsi="Arial Narrow"/>
          <w:b/>
          <w:color w:val="FFFFFF"/>
          <w:sz w:val="26"/>
          <w:szCs w:val="26"/>
        </w:rPr>
      </w:pPr>
      <w:r w:rsidRPr="00944AEC">
        <w:rPr>
          <w:rFonts w:ascii="Arial Narrow" w:hAnsi="Arial Narrow"/>
          <w:b/>
          <w:color w:val="FFFFFF"/>
        </w:rPr>
        <w:t>2.</w:t>
      </w:r>
      <w:r w:rsidRPr="00944AEC">
        <w:rPr>
          <w:rFonts w:ascii="Arial Narrow" w:hAnsi="Arial Narrow"/>
          <w:b/>
          <w:color w:val="FFFFFF"/>
          <w:sz w:val="26"/>
          <w:szCs w:val="26"/>
        </w:rPr>
        <w:tab/>
        <w:t>Οι οικονομικές εξελίξεις στην Ελλάδα</w:t>
      </w:r>
    </w:p>
    <w:p w:rsidR="006D618D" w:rsidRDefault="006D618D" w:rsidP="00780119">
      <w:pPr>
        <w:pStyle w:val="10"/>
        <w:jc w:val="both"/>
      </w:pPr>
    </w:p>
    <w:p w:rsidR="006D618D" w:rsidRPr="006E219D" w:rsidRDefault="006D618D" w:rsidP="00780119">
      <w:pPr>
        <w:ind w:left="567" w:hanging="567"/>
        <w:jc w:val="both"/>
        <w:rPr>
          <w:rFonts w:ascii="Arial Narrow" w:hAnsi="Arial Narrow"/>
          <w:b/>
          <w:color w:val="000080"/>
          <w:szCs w:val="22"/>
        </w:rPr>
      </w:pPr>
      <w:r w:rsidRPr="006E219D">
        <w:rPr>
          <w:rFonts w:ascii="Arial Narrow" w:hAnsi="Arial Narrow"/>
          <w:b/>
          <w:color w:val="000080"/>
          <w:szCs w:val="22"/>
        </w:rPr>
        <w:t>2.1</w:t>
      </w:r>
      <w:r w:rsidRPr="006E219D">
        <w:rPr>
          <w:rFonts w:ascii="Arial Narrow" w:hAnsi="Arial Narrow"/>
          <w:b/>
          <w:color w:val="000080"/>
          <w:szCs w:val="22"/>
        </w:rPr>
        <w:tab/>
        <w:t xml:space="preserve">Γενική </w:t>
      </w:r>
      <w:r>
        <w:rPr>
          <w:rFonts w:ascii="Arial Narrow" w:hAnsi="Arial Narrow"/>
          <w:b/>
          <w:color w:val="000080"/>
          <w:szCs w:val="22"/>
        </w:rPr>
        <w:t>επισκόπηση της ε</w:t>
      </w:r>
      <w:r w:rsidRPr="006E219D">
        <w:rPr>
          <w:rFonts w:ascii="Arial Narrow" w:hAnsi="Arial Narrow"/>
          <w:b/>
          <w:color w:val="000080"/>
          <w:szCs w:val="22"/>
        </w:rPr>
        <w:t>λληνικής οικονομίας</w:t>
      </w:r>
    </w:p>
    <w:p w:rsidR="006D618D" w:rsidRDefault="006D618D" w:rsidP="00780119">
      <w:pPr>
        <w:jc w:val="both"/>
        <w:rPr>
          <w:sz w:val="22"/>
          <w:szCs w:val="22"/>
        </w:rPr>
      </w:pPr>
    </w:p>
    <w:p w:rsidR="006D618D" w:rsidRDefault="006D618D" w:rsidP="00780119">
      <w:pPr>
        <w:jc w:val="both"/>
        <w:rPr>
          <w:sz w:val="22"/>
          <w:szCs w:val="22"/>
        </w:rPr>
      </w:pPr>
      <w:r w:rsidRPr="00AC65D1">
        <w:rPr>
          <w:sz w:val="22"/>
          <w:szCs w:val="22"/>
        </w:rPr>
        <w:t>Στις 20 Αυγούστου 2018, η Ελλάδα ολοκλήρωσε επιτυχώς το τριετές πρόγραμμα οικονομικής πρ</w:t>
      </w:r>
      <w:r w:rsidRPr="00AC65D1">
        <w:rPr>
          <w:sz w:val="22"/>
          <w:szCs w:val="22"/>
        </w:rPr>
        <w:t>ο</w:t>
      </w:r>
      <w:r w:rsidRPr="00AC65D1">
        <w:rPr>
          <w:sz w:val="22"/>
          <w:szCs w:val="22"/>
        </w:rPr>
        <w:t xml:space="preserve">σαρμογής του Ευρωπαϊκού Μηχανισμού Σταθερότητας (ΕΜΣ) και διασφάλισε μία δέσμη μέτρων </w:t>
      </w:r>
      <w:r w:rsidRPr="00AC65D1">
        <w:rPr>
          <w:sz w:val="22"/>
          <w:szCs w:val="22"/>
        </w:rPr>
        <w:t>ε</w:t>
      </w:r>
      <w:r w:rsidRPr="00AC65D1">
        <w:rPr>
          <w:sz w:val="22"/>
          <w:szCs w:val="22"/>
        </w:rPr>
        <w:t>λάφρυνσης του δημ</w:t>
      </w:r>
      <w:r>
        <w:rPr>
          <w:sz w:val="22"/>
          <w:szCs w:val="22"/>
        </w:rPr>
        <w:t>όσιου</w:t>
      </w:r>
      <w:r w:rsidRPr="00AC65D1">
        <w:rPr>
          <w:sz w:val="22"/>
          <w:szCs w:val="22"/>
        </w:rPr>
        <w:t xml:space="preserve"> χρέους που το καθιστά δυναμικά βιώσιμο. </w:t>
      </w:r>
    </w:p>
    <w:p w:rsidR="00AB1CFE" w:rsidRDefault="00AB1CFE" w:rsidP="00780119">
      <w:pPr>
        <w:pStyle w:val="10"/>
        <w:jc w:val="both"/>
        <w:rPr>
          <w:sz w:val="22"/>
          <w:szCs w:val="22"/>
        </w:rPr>
      </w:pPr>
    </w:p>
    <w:p w:rsidR="00AB1CFE" w:rsidRDefault="006D618D" w:rsidP="00780119">
      <w:pPr>
        <w:pStyle w:val="10"/>
        <w:jc w:val="both"/>
        <w:rPr>
          <w:sz w:val="22"/>
          <w:szCs w:val="22"/>
        </w:rPr>
      </w:pPr>
      <w:r w:rsidRPr="006D618D">
        <w:rPr>
          <w:sz w:val="22"/>
          <w:szCs w:val="22"/>
        </w:rPr>
        <w:t>Τα νέα μεσοπρόθεσμα μέτρα για το χρέος</w:t>
      </w:r>
      <w:r w:rsidR="00776451">
        <w:rPr>
          <w:sz w:val="22"/>
          <w:szCs w:val="22"/>
        </w:rPr>
        <w:t>, σε συνέχεια των βραχυπρόθεσμων μέτρων</w:t>
      </w:r>
      <w:r w:rsidRPr="006D618D">
        <w:rPr>
          <w:sz w:val="22"/>
          <w:szCs w:val="22"/>
        </w:rPr>
        <w:t xml:space="preserve"> που εφαρμό</w:t>
      </w:r>
      <w:r w:rsidRPr="006D618D">
        <w:rPr>
          <w:sz w:val="22"/>
          <w:szCs w:val="22"/>
        </w:rPr>
        <w:t>σ</w:t>
      </w:r>
      <w:r w:rsidRPr="006D618D">
        <w:rPr>
          <w:sz w:val="22"/>
          <w:szCs w:val="22"/>
        </w:rPr>
        <w:t>τηκαν τον Ιανουάριο του 2017 αποτελούν προϊόν της συμφωνίας της Ευρωομάδας στις 22 Ιουνίου 2018 αναφορικά με την έξοδο της Ελλάδας από το Πρόγραμμα. Ως μέρος της ίδιας συμφωνίας, τέθ</w:t>
      </w:r>
      <w:r w:rsidRPr="006D618D">
        <w:rPr>
          <w:sz w:val="22"/>
          <w:szCs w:val="22"/>
        </w:rPr>
        <w:t>η</w:t>
      </w:r>
      <w:r w:rsidRPr="006D618D">
        <w:rPr>
          <w:sz w:val="22"/>
          <w:szCs w:val="22"/>
        </w:rPr>
        <w:t>καν οι μεσομακροπρόθεσμοι δημοσιονομικοί στόχοι, σκιαγραφήθηκαν οι διαρκείς δεσμεύσεις πολιτ</w:t>
      </w:r>
      <w:r w:rsidRPr="006D618D">
        <w:rPr>
          <w:sz w:val="22"/>
          <w:szCs w:val="22"/>
        </w:rPr>
        <w:t>ι</w:t>
      </w:r>
      <w:r w:rsidRPr="006D618D">
        <w:rPr>
          <w:sz w:val="22"/>
          <w:szCs w:val="22"/>
        </w:rPr>
        <w:t>κής σε συμ</w:t>
      </w:r>
      <w:r w:rsidR="00794063">
        <w:rPr>
          <w:sz w:val="22"/>
          <w:szCs w:val="22"/>
        </w:rPr>
        <w:t>φωνία</w:t>
      </w:r>
      <w:r w:rsidRPr="006D618D">
        <w:rPr>
          <w:sz w:val="22"/>
          <w:szCs w:val="22"/>
        </w:rPr>
        <w:t xml:space="preserve"> με</w:t>
      </w:r>
      <w:r w:rsidR="00C410A5">
        <w:rPr>
          <w:sz w:val="22"/>
          <w:szCs w:val="22"/>
        </w:rPr>
        <w:t xml:space="preserve"> τους στόχους του Προγράμματος </w:t>
      </w:r>
      <w:r w:rsidRPr="006D618D">
        <w:rPr>
          <w:sz w:val="22"/>
          <w:szCs w:val="22"/>
        </w:rPr>
        <w:t>και δόθηκε το πράσινο φως για την εκταμίευση της τελευταίας δόσης των 15 δισ. ευρώ, στη βάση της εκπλήρωσης των προαπαιτούμ</w:t>
      </w:r>
      <w:r w:rsidR="00AD0BC7">
        <w:rPr>
          <w:sz w:val="22"/>
          <w:szCs w:val="22"/>
        </w:rPr>
        <w:t>ενων της τέτα</w:t>
      </w:r>
      <w:r w:rsidR="00AD0BC7">
        <w:rPr>
          <w:sz w:val="22"/>
          <w:szCs w:val="22"/>
        </w:rPr>
        <w:t>ρ</w:t>
      </w:r>
      <w:r w:rsidR="00AD0BC7">
        <w:rPr>
          <w:sz w:val="22"/>
          <w:szCs w:val="22"/>
        </w:rPr>
        <w:t>της αξιολόγησης.</w:t>
      </w:r>
    </w:p>
    <w:p w:rsidR="00AB1CFE" w:rsidRDefault="00AB1CFE" w:rsidP="00780119">
      <w:pPr>
        <w:pStyle w:val="10"/>
        <w:jc w:val="both"/>
        <w:rPr>
          <w:sz w:val="22"/>
          <w:szCs w:val="22"/>
        </w:rPr>
      </w:pPr>
    </w:p>
    <w:p w:rsidR="00AB1CFE" w:rsidRDefault="006D618D" w:rsidP="00780119">
      <w:pPr>
        <w:pStyle w:val="10"/>
        <w:jc w:val="both"/>
        <w:rPr>
          <w:sz w:val="22"/>
          <w:szCs w:val="22"/>
        </w:rPr>
      </w:pPr>
      <w:r w:rsidRPr="006D618D">
        <w:rPr>
          <w:sz w:val="22"/>
          <w:szCs w:val="22"/>
        </w:rPr>
        <w:t>Κατά το τμήμα των 9,5 δισ. ευρώ, η τελευταία δόση κατευθύνθηκε στ</w:t>
      </w:r>
      <w:r w:rsidR="00AB1CFE">
        <w:rPr>
          <w:sz w:val="22"/>
          <w:szCs w:val="22"/>
        </w:rPr>
        <w:t>α</w:t>
      </w:r>
      <w:r w:rsidRPr="006D618D">
        <w:rPr>
          <w:sz w:val="22"/>
          <w:szCs w:val="22"/>
        </w:rPr>
        <w:t xml:space="preserve"> ταμειακ</w:t>
      </w:r>
      <w:r w:rsidR="00AB1CFE">
        <w:rPr>
          <w:sz w:val="22"/>
          <w:szCs w:val="22"/>
        </w:rPr>
        <w:t>ά διαθέσιμα</w:t>
      </w:r>
      <w:r w:rsidRPr="006D618D">
        <w:rPr>
          <w:sz w:val="22"/>
          <w:szCs w:val="22"/>
        </w:rPr>
        <w:t xml:space="preserve"> ασφαλε</w:t>
      </w:r>
      <w:r w:rsidRPr="006D618D">
        <w:rPr>
          <w:sz w:val="22"/>
          <w:szCs w:val="22"/>
        </w:rPr>
        <w:t>ί</w:t>
      </w:r>
      <w:r w:rsidRPr="006D618D">
        <w:rPr>
          <w:sz w:val="22"/>
          <w:szCs w:val="22"/>
        </w:rPr>
        <w:t>ας που δημιουργήθηκ</w:t>
      </w:r>
      <w:r w:rsidR="00AB1CFE">
        <w:rPr>
          <w:sz w:val="22"/>
          <w:szCs w:val="22"/>
        </w:rPr>
        <w:t>αν</w:t>
      </w:r>
      <w:r w:rsidRPr="006D618D">
        <w:rPr>
          <w:sz w:val="22"/>
          <w:szCs w:val="22"/>
        </w:rPr>
        <w:t xml:space="preserve"> στο πλαίσιο των τελευταίων εκταμιεύσεων του Προγράμματος, με σκοπό την εξυπηρέτηση των χρηματοδοτικών αναγκών της</w:t>
      </w:r>
      <w:r w:rsidR="00776451">
        <w:rPr>
          <w:sz w:val="22"/>
          <w:szCs w:val="22"/>
        </w:rPr>
        <w:t xml:space="preserve"> χώρας στη</w:t>
      </w:r>
      <w:r w:rsidRPr="006D618D">
        <w:rPr>
          <w:sz w:val="22"/>
          <w:szCs w:val="22"/>
        </w:rPr>
        <w:t xml:space="preserve"> μετά το Πρόγραμμα εποχή και τη διευκ</w:t>
      </w:r>
      <w:r w:rsidRPr="006D618D">
        <w:rPr>
          <w:sz w:val="22"/>
          <w:szCs w:val="22"/>
        </w:rPr>
        <w:t>ό</w:t>
      </w:r>
      <w:r w:rsidRPr="006D618D">
        <w:rPr>
          <w:sz w:val="22"/>
          <w:szCs w:val="22"/>
        </w:rPr>
        <w:t xml:space="preserve">λυνση της ομαλής επιστροφής στις αγορές. </w:t>
      </w:r>
      <w:r w:rsidR="00776451">
        <w:rPr>
          <w:sz w:val="22"/>
          <w:szCs w:val="22"/>
        </w:rPr>
        <w:t>Ως αποτέλεσμα, τ</w:t>
      </w:r>
      <w:r w:rsidRPr="006D618D">
        <w:rPr>
          <w:sz w:val="22"/>
          <w:szCs w:val="22"/>
        </w:rPr>
        <w:t xml:space="preserve">α συνολικά ταμειακά διαθέσιμα </w:t>
      </w:r>
      <w:r w:rsidR="00776451">
        <w:rPr>
          <w:sz w:val="22"/>
          <w:szCs w:val="22"/>
        </w:rPr>
        <w:t>του Ε</w:t>
      </w:r>
      <w:r w:rsidR="00776451">
        <w:rPr>
          <w:sz w:val="22"/>
          <w:szCs w:val="22"/>
        </w:rPr>
        <w:t>λ</w:t>
      </w:r>
      <w:r w:rsidR="00776451">
        <w:rPr>
          <w:sz w:val="22"/>
          <w:szCs w:val="22"/>
        </w:rPr>
        <w:t xml:space="preserve">ληνικού Δημοσίου επαρκούν για την κάλυψη των </w:t>
      </w:r>
      <w:r w:rsidRPr="006D618D">
        <w:rPr>
          <w:sz w:val="22"/>
          <w:szCs w:val="22"/>
        </w:rPr>
        <w:t>ακαθάρι</w:t>
      </w:r>
      <w:r w:rsidR="00776451">
        <w:rPr>
          <w:sz w:val="22"/>
          <w:szCs w:val="22"/>
        </w:rPr>
        <w:t>στων</w:t>
      </w:r>
      <w:r w:rsidRPr="006D618D">
        <w:rPr>
          <w:sz w:val="22"/>
          <w:szCs w:val="22"/>
        </w:rPr>
        <w:t xml:space="preserve"> χρη</w:t>
      </w:r>
      <w:r w:rsidR="00776451">
        <w:rPr>
          <w:sz w:val="22"/>
          <w:szCs w:val="22"/>
        </w:rPr>
        <w:t xml:space="preserve">ματοδοτικών αναγκών των </w:t>
      </w:r>
      <w:r w:rsidRPr="006D618D">
        <w:rPr>
          <w:sz w:val="22"/>
          <w:szCs w:val="22"/>
        </w:rPr>
        <w:t xml:space="preserve">δύο </w:t>
      </w:r>
      <w:r w:rsidR="007A255F">
        <w:rPr>
          <w:sz w:val="22"/>
          <w:szCs w:val="22"/>
        </w:rPr>
        <w:t xml:space="preserve">τουλάχιστον </w:t>
      </w:r>
      <w:r w:rsidR="00776451">
        <w:rPr>
          <w:sz w:val="22"/>
          <w:szCs w:val="22"/>
        </w:rPr>
        <w:t xml:space="preserve">επόμενων </w:t>
      </w:r>
      <w:r w:rsidRPr="006D618D">
        <w:rPr>
          <w:sz w:val="22"/>
          <w:szCs w:val="22"/>
        </w:rPr>
        <w:t xml:space="preserve">ετών </w:t>
      </w:r>
      <w:r w:rsidR="00776451">
        <w:rPr>
          <w:sz w:val="22"/>
          <w:szCs w:val="22"/>
        </w:rPr>
        <w:t>ακόμα και υπό τις πλέον αντίξοες συνθήκες.</w:t>
      </w:r>
    </w:p>
    <w:p w:rsidR="00AB1CFE" w:rsidRDefault="00AB1CFE" w:rsidP="00780119">
      <w:pPr>
        <w:pStyle w:val="10"/>
        <w:jc w:val="both"/>
        <w:rPr>
          <w:sz w:val="22"/>
          <w:szCs w:val="22"/>
        </w:rPr>
      </w:pPr>
    </w:p>
    <w:p w:rsidR="00AB1CFE" w:rsidRDefault="006D618D" w:rsidP="00780119">
      <w:pPr>
        <w:pStyle w:val="10"/>
        <w:jc w:val="both"/>
        <w:rPr>
          <w:sz w:val="22"/>
          <w:szCs w:val="22"/>
        </w:rPr>
      </w:pPr>
      <w:r w:rsidRPr="006D618D">
        <w:rPr>
          <w:sz w:val="22"/>
          <w:szCs w:val="22"/>
        </w:rPr>
        <w:lastRenderedPageBreak/>
        <w:t>Με την ολοκλήρωση του Προγράμματος</w:t>
      </w:r>
      <w:r w:rsidRPr="006D618D">
        <w:rPr>
          <w:sz w:val="22"/>
          <w:szCs w:val="22"/>
          <w:vertAlign w:val="superscript"/>
        </w:rPr>
        <w:footnoteReference w:id="7"/>
      </w:r>
      <w:r w:rsidRPr="006D618D">
        <w:rPr>
          <w:sz w:val="22"/>
          <w:szCs w:val="22"/>
        </w:rPr>
        <w:t xml:space="preserve">, η Ελλάδα </w:t>
      </w:r>
      <w:r w:rsidR="00776451">
        <w:rPr>
          <w:sz w:val="22"/>
          <w:szCs w:val="22"/>
        </w:rPr>
        <w:t xml:space="preserve">εντάχθηκε </w:t>
      </w:r>
      <w:r w:rsidRPr="006D618D">
        <w:rPr>
          <w:sz w:val="22"/>
          <w:szCs w:val="22"/>
        </w:rPr>
        <w:t>στον κύκλο συντονισμού της οικον</w:t>
      </w:r>
      <w:r w:rsidRPr="006D618D">
        <w:rPr>
          <w:sz w:val="22"/>
          <w:szCs w:val="22"/>
        </w:rPr>
        <w:t>ο</w:t>
      </w:r>
      <w:r w:rsidRPr="006D618D">
        <w:rPr>
          <w:sz w:val="22"/>
          <w:szCs w:val="22"/>
        </w:rPr>
        <w:t>μικής και δημοσιονομικής πολιτικής του Ευρωπαϊκού Εξαμήνου, ενώ υπόκειται πλέον και στην ενι</w:t>
      </w:r>
      <w:r w:rsidRPr="006D618D">
        <w:rPr>
          <w:sz w:val="22"/>
          <w:szCs w:val="22"/>
        </w:rPr>
        <w:t>σ</w:t>
      </w:r>
      <w:r w:rsidRPr="006D618D">
        <w:rPr>
          <w:sz w:val="22"/>
          <w:szCs w:val="22"/>
        </w:rPr>
        <w:t>χυμένη εποπτεία του κανονισμού (ΕΕ) αριθ. 472/2013</w:t>
      </w:r>
      <w:r w:rsidRPr="006D618D">
        <w:rPr>
          <w:sz w:val="22"/>
          <w:szCs w:val="22"/>
          <w:vertAlign w:val="superscript"/>
        </w:rPr>
        <w:footnoteReference w:id="8"/>
      </w:r>
      <w:r w:rsidRPr="006D618D">
        <w:rPr>
          <w:sz w:val="22"/>
          <w:szCs w:val="22"/>
        </w:rPr>
        <w:t>. Η ενισχυμένη εποπτεία δ</w:t>
      </w:r>
      <w:r w:rsidR="00C410A5">
        <w:rPr>
          <w:sz w:val="22"/>
          <w:szCs w:val="22"/>
        </w:rPr>
        <w:t>εν συνδέεται με νέες δεσμεύσεις</w:t>
      </w:r>
      <w:r w:rsidR="00776451">
        <w:rPr>
          <w:sz w:val="22"/>
          <w:szCs w:val="22"/>
        </w:rPr>
        <w:t>, αλλά με την υλοποίηση μεταρρυθμίσεων που έχουν ήδη υιοθετηθεί. Μ</w:t>
      </w:r>
      <w:r w:rsidRPr="006D618D">
        <w:rPr>
          <w:sz w:val="22"/>
          <w:szCs w:val="22"/>
        </w:rPr>
        <w:t>ε αυτή την έννοια σηματοδοτεί την καθαρή έξοδο της Ελλάδας από τα προγράμματα οικονομικής</w:t>
      </w:r>
      <w:r w:rsidR="00C410A5">
        <w:rPr>
          <w:sz w:val="22"/>
          <w:szCs w:val="22"/>
        </w:rPr>
        <w:t xml:space="preserve"> προσαρμογής. </w:t>
      </w:r>
    </w:p>
    <w:p w:rsidR="00776451" w:rsidRDefault="00776451" w:rsidP="00780119">
      <w:pPr>
        <w:pStyle w:val="10"/>
        <w:jc w:val="both"/>
        <w:rPr>
          <w:sz w:val="22"/>
          <w:szCs w:val="22"/>
        </w:rPr>
      </w:pPr>
    </w:p>
    <w:p w:rsidR="00AB1CFE" w:rsidRDefault="006D618D" w:rsidP="00780119">
      <w:pPr>
        <w:pStyle w:val="10"/>
        <w:jc w:val="both"/>
        <w:rPr>
          <w:sz w:val="22"/>
          <w:szCs w:val="22"/>
        </w:rPr>
      </w:pPr>
      <w:r w:rsidRPr="006D618D">
        <w:rPr>
          <w:sz w:val="22"/>
          <w:szCs w:val="22"/>
        </w:rPr>
        <w:t>Σωρευτικά από την έναρξη των Προγραμμάτων το 2010, η χρηματοοικονομική στήριξη προς την Ε</w:t>
      </w:r>
      <w:r w:rsidRPr="006D618D">
        <w:rPr>
          <w:sz w:val="22"/>
          <w:szCs w:val="22"/>
        </w:rPr>
        <w:t>λ</w:t>
      </w:r>
      <w:r w:rsidRPr="006D618D">
        <w:rPr>
          <w:sz w:val="22"/>
          <w:szCs w:val="22"/>
        </w:rPr>
        <w:t>λάδα ανήλθε σε 32,1 δισ. ευρώ από το Διεθνές Νομισματικό Ταμείο και σε 256,6 δισ. ευρώ από τους Ευρωπαϊκούς Θεσμούς</w:t>
      </w:r>
      <w:r w:rsidRPr="006D618D">
        <w:rPr>
          <w:sz w:val="22"/>
          <w:szCs w:val="22"/>
          <w:vertAlign w:val="superscript"/>
        </w:rPr>
        <w:footnoteReference w:id="9"/>
      </w:r>
      <w:r w:rsidRPr="006D618D">
        <w:rPr>
          <w:sz w:val="22"/>
          <w:szCs w:val="22"/>
        </w:rPr>
        <w:t>, εκ των οποίων 61,9 δισ. ευρώ αντιστοιχούν στη χρηματοδότηση της περι</w:t>
      </w:r>
      <w:r w:rsidRPr="006D618D">
        <w:rPr>
          <w:sz w:val="22"/>
          <w:szCs w:val="22"/>
        </w:rPr>
        <w:t>ό</w:t>
      </w:r>
      <w:r w:rsidRPr="006D618D">
        <w:rPr>
          <w:sz w:val="22"/>
          <w:szCs w:val="22"/>
        </w:rPr>
        <w:t>δου 2015-2018 από τον Ευρωπαϊκό Μηχανισμό Σταθερότητας (από το σύνολο των διαθέσιμων 86 δισ. ευρώ του τρίτου Προγράμματος</w:t>
      </w:r>
      <w:r w:rsidRPr="006D618D">
        <w:rPr>
          <w:sz w:val="22"/>
          <w:szCs w:val="22"/>
          <w:vertAlign w:val="superscript"/>
        </w:rPr>
        <w:footnoteReference w:id="10"/>
      </w:r>
      <w:r w:rsidRPr="006D618D">
        <w:rPr>
          <w:sz w:val="22"/>
          <w:szCs w:val="22"/>
        </w:rPr>
        <w:t xml:space="preserve">). </w:t>
      </w:r>
    </w:p>
    <w:p w:rsidR="00AB1CFE" w:rsidRDefault="00AB1CFE" w:rsidP="00780119">
      <w:pPr>
        <w:pStyle w:val="10"/>
        <w:jc w:val="both"/>
        <w:rPr>
          <w:sz w:val="22"/>
          <w:szCs w:val="22"/>
        </w:rPr>
      </w:pPr>
    </w:p>
    <w:p w:rsidR="00AB1CFE" w:rsidRDefault="006D618D" w:rsidP="00780119">
      <w:pPr>
        <w:pStyle w:val="10"/>
        <w:jc w:val="both"/>
        <w:rPr>
          <w:sz w:val="22"/>
          <w:szCs w:val="22"/>
        </w:rPr>
      </w:pPr>
      <w:r w:rsidRPr="006D618D">
        <w:rPr>
          <w:sz w:val="22"/>
          <w:szCs w:val="22"/>
        </w:rPr>
        <w:t>Η ως άνω χρηματοδοτική στήριξη συνοδεύτηκε από πολιτικές αντιμετώπισης των «δίδυμων ελλει</w:t>
      </w:r>
      <w:r w:rsidRPr="006D618D">
        <w:rPr>
          <w:sz w:val="22"/>
          <w:szCs w:val="22"/>
        </w:rPr>
        <w:t>μ</w:t>
      </w:r>
      <w:r w:rsidRPr="006D618D">
        <w:rPr>
          <w:sz w:val="22"/>
          <w:szCs w:val="22"/>
        </w:rPr>
        <w:t>μάτων» της οικονομίας</w:t>
      </w:r>
      <w:r w:rsidR="00776451">
        <w:rPr>
          <w:sz w:val="22"/>
          <w:szCs w:val="22"/>
        </w:rPr>
        <w:t>, οι οποίες</w:t>
      </w:r>
      <w:r w:rsidRPr="006D618D">
        <w:rPr>
          <w:sz w:val="22"/>
          <w:szCs w:val="22"/>
        </w:rPr>
        <w:t xml:space="preserve"> πέρα από τη δημοσιονομική εξυγίανση, στόχευσαν αρχικώς στην εσω</w:t>
      </w:r>
      <w:r w:rsidR="00C410A5">
        <w:rPr>
          <w:sz w:val="22"/>
          <w:szCs w:val="22"/>
        </w:rPr>
        <w:t>τερική υποτίμηση</w:t>
      </w:r>
      <w:r w:rsidRPr="006D618D">
        <w:rPr>
          <w:sz w:val="22"/>
          <w:szCs w:val="22"/>
        </w:rPr>
        <w:t xml:space="preserve"> και σταδιακά μετατοπίστηκαν προς τον δομικό μετασχηματισμό της οικονομίας και την εξάλειψη των διαρθρωτικών παθογενειών της. </w:t>
      </w:r>
    </w:p>
    <w:p w:rsidR="00AB1CFE" w:rsidRDefault="00AB1CFE" w:rsidP="00780119">
      <w:pPr>
        <w:pStyle w:val="10"/>
        <w:jc w:val="both"/>
        <w:rPr>
          <w:sz w:val="22"/>
          <w:szCs w:val="22"/>
        </w:rPr>
      </w:pPr>
    </w:p>
    <w:p w:rsidR="00AB1CFE" w:rsidRDefault="006D618D" w:rsidP="00780119">
      <w:pPr>
        <w:pStyle w:val="10"/>
        <w:jc w:val="both"/>
        <w:rPr>
          <w:sz w:val="22"/>
          <w:szCs w:val="22"/>
        </w:rPr>
      </w:pPr>
      <w:r w:rsidRPr="006D618D">
        <w:rPr>
          <w:sz w:val="22"/>
          <w:szCs w:val="22"/>
        </w:rPr>
        <w:t>Μεταξύ του</w:t>
      </w:r>
      <w:r w:rsidRPr="006D618D">
        <w:rPr>
          <w:iCs/>
          <w:sz w:val="22"/>
          <w:szCs w:val="22"/>
        </w:rPr>
        <w:t xml:space="preserve"> 2012 και του 2017, </w:t>
      </w:r>
      <w:r w:rsidRPr="006D618D">
        <w:rPr>
          <w:sz w:val="22"/>
          <w:szCs w:val="22"/>
        </w:rPr>
        <w:t>η μεταρρυθμιστική προσπάθεια διατήρησε την Ελλάδα στην πρώτη θέση</w:t>
      </w:r>
      <w:r w:rsidRPr="006D618D">
        <w:rPr>
          <w:iCs/>
          <w:sz w:val="22"/>
          <w:szCs w:val="22"/>
          <w:vertAlign w:val="superscript"/>
        </w:rPr>
        <w:footnoteReference w:id="11"/>
      </w:r>
      <w:r w:rsidRPr="006D618D">
        <w:rPr>
          <w:sz w:val="22"/>
          <w:szCs w:val="22"/>
        </w:rPr>
        <w:t xml:space="preserve"> του δείκτη προόδου προσαρμογής του </w:t>
      </w:r>
      <w:r w:rsidRPr="006D618D">
        <w:rPr>
          <w:sz w:val="22"/>
          <w:szCs w:val="22"/>
          <w:lang w:val="en-US"/>
        </w:rPr>
        <w:t>Euro</w:t>
      </w:r>
      <w:r w:rsidRPr="006D618D">
        <w:rPr>
          <w:sz w:val="22"/>
          <w:szCs w:val="22"/>
        </w:rPr>
        <w:t xml:space="preserve"> </w:t>
      </w:r>
      <w:r w:rsidRPr="006D618D">
        <w:rPr>
          <w:sz w:val="22"/>
          <w:szCs w:val="22"/>
          <w:lang w:val="en-US"/>
        </w:rPr>
        <w:t>Plus</w:t>
      </w:r>
      <w:r w:rsidRPr="006D618D">
        <w:rPr>
          <w:sz w:val="22"/>
          <w:szCs w:val="22"/>
        </w:rPr>
        <w:t xml:space="preserve"> </w:t>
      </w:r>
      <w:r w:rsidRPr="006D618D">
        <w:rPr>
          <w:sz w:val="22"/>
          <w:szCs w:val="22"/>
          <w:lang w:val="en-US"/>
        </w:rPr>
        <w:t>Monitor</w:t>
      </w:r>
      <w:r w:rsidRPr="006D618D">
        <w:rPr>
          <w:sz w:val="22"/>
          <w:szCs w:val="22"/>
        </w:rPr>
        <w:t xml:space="preserve"> του</w:t>
      </w:r>
      <w:r w:rsidRPr="006D618D">
        <w:rPr>
          <w:iCs/>
          <w:sz w:val="22"/>
          <w:szCs w:val="22"/>
        </w:rPr>
        <w:t xml:space="preserve"> </w:t>
      </w:r>
      <w:r w:rsidRPr="006D618D">
        <w:rPr>
          <w:iCs/>
          <w:sz w:val="22"/>
          <w:szCs w:val="22"/>
          <w:lang w:val="en-US"/>
        </w:rPr>
        <w:t>Lisbon</w:t>
      </w:r>
      <w:r w:rsidRPr="006D618D">
        <w:rPr>
          <w:iCs/>
          <w:sz w:val="22"/>
          <w:szCs w:val="22"/>
        </w:rPr>
        <w:t xml:space="preserve"> </w:t>
      </w:r>
      <w:r w:rsidRPr="006D618D">
        <w:rPr>
          <w:iCs/>
          <w:sz w:val="22"/>
          <w:szCs w:val="22"/>
          <w:lang w:val="en-US"/>
        </w:rPr>
        <w:t>Council</w:t>
      </w:r>
      <w:r w:rsidRPr="006D618D">
        <w:rPr>
          <w:sz w:val="22"/>
          <w:szCs w:val="22"/>
        </w:rPr>
        <w:t xml:space="preserve"> και της τράπεζας </w:t>
      </w:r>
      <w:r w:rsidRPr="006D618D">
        <w:rPr>
          <w:iCs/>
          <w:sz w:val="22"/>
          <w:szCs w:val="22"/>
          <w:lang w:val="en-US"/>
        </w:rPr>
        <w:t>Berenberg</w:t>
      </w:r>
      <w:r w:rsidRPr="006D618D">
        <w:rPr>
          <w:sz w:val="22"/>
          <w:szCs w:val="22"/>
        </w:rPr>
        <w:t>. Η θέση αυτή αντικατοπτρίζει την ουσιαστική πρόοδο στις εξωτερικές συναλλαγές της χ</w:t>
      </w:r>
      <w:r w:rsidRPr="006D618D">
        <w:rPr>
          <w:sz w:val="22"/>
          <w:szCs w:val="22"/>
        </w:rPr>
        <w:t>ώ</w:t>
      </w:r>
      <w:r w:rsidRPr="006D618D">
        <w:rPr>
          <w:sz w:val="22"/>
          <w:szCs w:val="22"/>
        </w:rPr>
        <w:t>ρας, στη δυναμική του μοναδιαίου κόστους εργασίας, στις μεταρρυθμίσεις από την πλευρά της προ</w:t>
      </w:r>
      <w:r w:rsidRPr="006D618D">
        <w:rPr>
          <w:sz w:val="22"/>
          <w:szCs w:val="22"/>
        </w:rPr>
        <w:t>σ</w:t>
      </w:r>
      <w:r w:rsidRPr="006D618D">
        <w:rPr>
          <w:sz w:val="22"/>
          <w:szCs w:val="22"/>
        </w:rPr>
        <w:t>φοράς και στην πορεία των δημοσιονομικών μεγεθών.</w:t>
      </w:r>
    </w:p>
    <w:p w:rsidR="00AB1CFE" w:rsidRDefault="00AB1CFE" w:rsidP="00780119">
      <w:pPr>
        <w:pStyle w:val="10"/>
        <w:jc w:val="both"/>
        <w:rPr>
          <w:sz w:val="22"/>
          <w:szCs w:val="22"/>
        </w:rPr>
      </w:pPr>
    </w:p>
    <w:p w:rsidR="00AB1CFE" w:rsidRDefault="006D618D" w:rsidP="00780119">
      <w:pPr>
        <w:pStyle w:val="10"/>
        <w:jc w:val="both"/>
        <w:rPr>
          <w:sz w:val="22"/>
          <w:szCs w:val="22"/>
        </w:rPr>
      </w:pPr>
      <w:r w:rsidRPr="006D618D">
        <w:rPr>
          <w:sz w:val="22"/>
          <w:szCs w:val="22"/>
        </w:rPr>
        <w:t>Το ισοζύγιο της Γενικής Κυβέρνησης (ΓΚ) συνέχισε να βελτιώνεται το 2017 (σε +0,8% του ΑΕΠ κ</w:t>
      </w:r>
      <w:r w:rsidRPr="006D618D">
        <w:rPr>
          <w:sz w:val="22"/>
          <w:szCs w:val="22"/>
        </w:rPr>
        <w:t>α</w:t>
      </w:r>
      <w:r w:rsidRPr="006D618D">
        <w:rPr>
          <w:sz w:val="22"/>
          <w:szCs w:val="22"/>
        </w:rPr>
        <w:t xml:space="preserve">τά </w:t>
      </w:r>
      <w:r w:rsidRPr="006D618D">
        <w:rPr>
          <w:sz w:val="22"/>
          <w:szCs w:val="22"/>
          <w:lang w:val="en-US"/>
        </w:rPr>
        <w:t>ESA</w:t>
      </w:r>
      <w:r w:rsidRPr="006D618D">
        <w:rPr>
          <w:sz w:val="22"/>
          <w:szCs w:val="22"/>
        </w:rPr>
        <w:t xml:space="preserve">), μετά τη μεταστροφή του σε πλεονασματικό το 2016 (+0,5% του ΑΕΠ κατά </w:t>
      </w:r>
      <w:r w:rsidRPr="006D618D">
        <w:rPr>
          <w:sz w:val="22"/>
          <w:szCs w:val="22"/>
          <w:lang w:val="en-US"/>
        </w:rPr>
        <w:t>ESA</w:t>
      </w:r>
      <w:r w:rsidR="00DA306A">
        <w:rPr>
          <w:sz w:val="22"/>
          <w:szCs w:val="22"/>
        </w:rPr>
        <w:t>), για πρώτη φορά στη σύγχρονη ελληνική οικονομική ιστορία.</w:t>
      </w:r>
      <w:r w:rsidR="00C410A5">
        <w:rPr>
          <w:sz w:val="22"/>
          <w:szCs w:val="22"/>
        </w:rPr>
        <w:t xml:space="preserve"> </w:t>
      </w:r>
      <w:r w:rsidRPr="006D618D">
        <w:rPr>
          <w:sz w:val="22"/>
          <w:szCs w:val="22"/>
        </w:rPr>
        <w:t xml:space="preserve">Η μεταστροφή αυτή καταδεικνύει την τεράστια δημοσιονομική προσπάθεια που έλαβε χώρα από το 2009 και την τότε </w:t>
      </w:r>
      <w:r w:rsidR="00DA306A">
        <w:rPr>
          <w:sz w:val="22"/>
          <w:szCs w:val="22"/>
        </w:rPr>
        <w:t xml:space="preserve">καταγραφή </w:t>
      </w:r>
      <w:r w:rsidRPr="006D618D">
        <w:rPr>
          <w:sz w:val="22"/>
          <w:szCs w:val="22"/>
        </w:rPr>
        <w:t>ονομαστικού ελλ</w:t>
      </w:r>
      <w:r w:rsidRPr="006D618D">
        <w:rPr>
          <w:sz w:val="22"/>
          <w:szCs w:val="22"/>
        </w:rPr>
        <w:t>ε</w:t>
      </w:r>
      <w:r w:rsidRPr="006D618D">
        <w:rPr>
          <w:sz w:val="22"/>
          <w:szCs w:val="22"/>
        </w:rPr>
        <w:t>ίμματος 15,1% του ΑΕΠ (</w:t>
      </w:r>
      <w:r w:rsidR="00C410A5">
        <w:rPr>
          <w:sz w:val="22"/>
          <w:szCs w:val="22"/>
        </w:rPr>
        <w:t>Δ</w:t>
      </w:r>
      <w:r w:rsidRPr="006D618D">
        <w:rPr>
          <w:sz w:val="22"/>
          <w:szCs w:val="22"/>
        </w:rPr>
        <w:t>ιάγραμμα 1.1). Αντίστοιχα, το πρωτογενές ισοζύγι</w:t>
      </w:r>
      <w:r w:rsidR="00C410A5">
        <w:rPr>
          <w:sz w:val="22"/>
          <w:szCs w:val="22"/>
        </w:rPr>
        <w:t>ο της ΓΚ ανήλθε το 2017 στο 4,1</w:t>
      </w:r>
      <w:r w:rsidRPr="006D618D">
        <w:rPr>
          <w:sz w:val="22"/>
          <w:szCs w:val="22"/>
        </w:rPr>
        <w:t>% του ΑΕΠ βάσει της μεθοδολογίας της Σύμβασης Χρηματοδοτικής Διευκόλυνσης (ΣΧΔ), έναντι στόχου του Προγράμματος 1,75% του ΑΕΠ. Στη βάση αυτών των θετικών δημοσιον</w:t>
      </w:r>
      <w:r w:rsidRPr="006D618D">
        <w:rPr>
          <w:sz w:val="22"/>
          <w:szCs w:val="22"/>
        </w:rPr>
        <w:t>ο</w:t>
      </w:r>
      <w:r w:rsidRPr="006D618D">
        <w:rPr>
          <w:sz w:val="22"/>
          <w:szCs w:val="22"/>
        </w:rPr>
        <w:t>μικών αποτελεσμάτων,</w:t>
      </w:r>
      <w:r w:rsidR="00357716">
        <w:rPr>
          <w:sz w:val="22"/>
          <w:szCs w:val="22"/>
        </w:rPr>
        <w:t xml:space="preserve"> </w:t>
      </w:r>
      <w:r w:rsidRPr="006D618D">
        <w:rPr>
          <w:sz w:val="22"/>
          <w:szCs w:val="22"/>
        </w:rPr>
        <w:t>τον Σεπτέμβριο του 2017 η Ελλάδα εξήλθε της Διαδικασίας Υπερβολικού Ε</w:t>
      </w:r>
      <w:r w:rsidRPr="006D618D">
        <w:rPr>
          <w:sz w:val="22"/>
          <w:szCs w:val="22"/>
        </w:rPr>
        <w:t>λ</w:t>
      </w:r>
      <w:r w:rsidRPr="006D618D">
        <w:rPr>
          <w:sz w:val="22"/>
          <w:szCs w:val="22"/>
        </w:rPr>
        <w:t>λείμματος (</w:t>
      </w:r>
      <w:r w:rsidRPr="006D618D">
        <w:rPr>
          <w:sz w:val="22"/>
          <w:szCs w:val="22"/>
          <w:lang w:val="en-US"/>
        </w:rPr>
        <w:t>EDP</w:t>
      </w:r>
      <w:r w:rsidRPr="006D618D">
        <w:rPr>
          <w:sz w:val="22"/>
          <w:szCs w:val="22"/>
        </w:rPr>
        <w:t>) ένα έτος νωρίτερα από το προβλεπόμενο.</w:t>
      </w:r>
    </w:p>
    <w:p w:rsidR="00AB1CFE" w:rsidRDefault="00AB1CFE" w:rsidP="00780119">
      <w:pPr>
        <w:pStyle w:val="10"/>
        <w:jc w:val="both"/>
        <w:rPr>
          <w:sz w:val="22"/>
          <w:szCs w:val="22"/>
        </w:rPr>
      </w:pPr>
    </w:p>
    <w:p w:rsidR="00AB1CFE" w:rsidRDefault="006D618D" w:rsidP="002B0706">
      <w:pPr>
        <w:pStyle w:val="10"/>
        <w:tabs>
          <w:tab w:val="left" w:pos="6379"/>
        </w:tabs>
        <w:jc w:val="both"/>
        <w:rPr>
          <w:sz w:val="22"/>
          <w:szCs w:val="22"/>
        </w:rPr>
      </w:pPr>
      <w:r w:rsidRPr="006D618D">
        <w:rPr>
          <w:sz w:val="22"/>
          <w:szCs w:val="22"/>
        </w:rPr>
        <w:t>Η δημοσιονομική υπεραπόδοση έναντι των στόχων πρωτογενούς πλεονάσματος του Προ</w:t>
      </w:r>
      <w:r w:rsidR="002051E6">
        <w:rPr>
          <w:sz w:val="22"/>
          <w:szCs w:val="22"/>
        </w:rPr>
        <w:t>γράμματος τόσο το 2016 (κατά 3,3</w:t>
      </w:r>
      <w:r w:rsidRPr="006D618D">
        <w:rPr>
          <w:sz w:val="22"/>
          <w:szCs w:val="22"/>
        </w:rPr>
        <w:t>% του ΑΕΠ) όσο και το 2017 (κατά 2,4% του ΑΕΠ) επέτρεψε τη στοχευμένη διανομή ενός τμήματος του υπερπλεονάσματος ως κοινωνικού μερίσματος. Το 2017, το ύψος των δ</w:t>
      </w:r>
      <w:r w:rsidRPr="006D618D">
        <w:rPr>
          <w:sz w:val="22"/>
          <w:szCs w:val="22"/>
        </w:rPr>
        <w:t>ι</w:t>
      </w:r>
      <w:r w:rsidRPr="006D618D">
        <w:rPr>
          <w:sz w:val="22"/>
          <w:szCs w:val="22"/>
        </w:rPr>
        <w:t>ανεμόμενων ποσών έφτασε το 1,4 δισ. ευρώ</w:t>
      </w:r>
      <w:r w:rsidRPr="006D618D">
        <w:rPr>
          <w:sz w:val="22"/>
          <w:szCs w:val="22"/>
          <w:vertAlign w:val="superscript"/>
        </w:rPr>
        <w:footnoteReference w:id="12"/>
      </w:r>
      <w:r w:rsidRPr="006D618D">
        <w:rPr>
          <w:sz w:val="22"/>
          <w:szCs w:val="22"/>
        </w:rPr>
        <w:t xml:space="preserve">, ποσό υπερδιπλάσιο από το αντίστοιχο μέρισμα του 2016. </w:t>
      </w:r>
    </w:p>
    <w:p w:rsidR="00AB1CFE" w:rsidRDefault="00AB1CFE" w:rsidP="00780119">
      <w:pPr>
        <w:pStyle w:val="10"/>
        <w:jc w:val="both"/>
        <w:rPr>
          <w:sz w:val="22"/>
          <w:szCs w:val="22"/>
        </w:rPr>
      </w:pPr>
    </w:p>
    <w:p w:rsidR="005A55C0" w:rsidRDefault="005A55C0" w:rsidP="00780119">
      <w:pPr>
        <w:rPr>
          <w:color w:val="000000"/>
          <w:sz w:val="22"/>
          <w:szCs w:val="22"/>
        </w:rPr>
      </w:pPr>
      <w:r>
        <w:rPr>
          <w:sz w:val="22"/>
          <w:szCs w:val="22"/>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5A55C0" w:rsidRPr="00F5330F" w:rsidTr="0007493A">
        <w:tc>
          <w:tcPr>
            <w:tcW w:w="9286" w:type="dxa"/>
          </w:tcPr>
          <w:p w:rsidR="005A55C0" w:rsidRDefault="005A55C0" w:rsidP="00780119">
            <w:pPr>
              <w:spacing w:before="240"/>
              <w:jc w:val="center"/>
              <w:rPr>
                <w:rFonts w:ascii="Arial Narrow" w:hAnsi="Arial Narrow"/>
                <w:b/>
              </w:rPr>
            </w:pPr>
            <w:r w:rsidRPr="003B0BD8">
              <w:rPr>
                <w:rFonts w:ascii="Arial Narrow" w:hAnsi="Arial Narrow"/>
                <w:b/>
              </w:rPr>
              <w:lastRenderedPageBreak/>
              <w:t>Διάγραμμα 1.</w:t>
            </w:r>
            <w:r>
              <w:rPr>
                <w:rFonts w:ascii="Arial Narrow" w:hAnsi="Arial Narrow"/>
                <w:b/>
              </w:rPr>
              <w:t>1</w:t>
            </w:r>
            <w:r w:rsidR="00357716">
              <w:rPr>
                <w:rFonts w:ascii="Arial Narrow" w:hAnsi="Arial Narrow"/>
                <w:b/>
              </w:rPr>
              <w:t xml:space="preserve"> </w:t>
            </w:r>
            <w:r w:rsidRPr="003B0BD8">
              <w:rPr>
                <w:rFonts w:ascii="Arial Narrow" w:hAnsi="Arial Narrow"/>
                <w:b/>
              </w:rPr>
              <w:t xml:space="preserve">Εξέλιξη </w:t>
            </w:r>
            <w:r>
              <w:rPr>
                <w:rFonts w:ascii="Arial Narrow" w:hAnsi="Arial Narrow"/>
                <w:b/>
              </w:rPr>
              <w:t>του</w:t>
            </w:r>
            <w:r w:rsidRPr="003B0BD8">
              <w:rPr>
                <w:rFonts w:ascii="Arial Narrow" w:hAnsi="Arial Narrow"/>
                <w:b/>
              </w:rPr>
              <w:t xml:space="preserve"> ελλείμματος της Γενικής Κυβέρνησης</w:t>
            </w:r>
          </w:p>
          <w:p w:rsidR="005A55C0" w:rsidRPr="00D41988" w:rsidRDefault="005A55C0" w:rsidP="00780119">
            <w:pPr>
              <w:jc w:val="center"/>
              <w:rPr>
                <w:rFonts w:ascii="Arial Narrow" w:hAnsi="Arial Narrow"/>
                <w:i/>
                <w:lang w:val="en-US"/>
              </w:rPr>
            </w:pPr>
            <w:r>
              <w:rPr>
                <w:rFonts w:ascii="Arial Narrow" w:hAnsi="Arial Narrow"/>
                <w:i/>
              </w:rPr>
              <w:t>(</w:t>
            </w:r>
            <w:r w:rsidRPr="00CC1F85">
              <w:rPr>
                <w:rFonts w:ascii="Arial Narrow" w:hAnsi="Arial Narrow"/>
                <w:i/>
              </w:rPr>
              <w:t>ως ποσοστό (%) του ΑΕΠ</w:t>
            </w:r>
            <w:r>
              <w:rPr>
                <w:rFonts w:ascii="Arial Narrow" w:hAnsi="Arial Narrow"/>
                <w:i/>
              </w:rPr>
              <w:t>)</w:t>
            </w:r>
          </w:p>
        </w:tc>
      </w:tr>
      <w:tr w:rsidR="005A55C0" w:rsidRPr="00ED2A7B" w:rsidTr="0007493A">
        <w:tc>
          <w:tcPr>
            <w:tcW w:w="9286" w:type="dxa"/>
          </w:tcPr>
          <w:p w:rsidR="005A55C0" w:rsidRPr="00ED2A7B" w:rsidRDefault="006B667E" w:rsidP="006B667E">
            <w:pPr>
              <w:ind w:firstLine="284"/>
              <w:jc w:val="center"/>
              <w:rPr>
                <w:sz w:val="16"/>
                <w:szCs w:val="22"/>
              </w:rPr>
            </w:pPr>
            <w:r>
              <w:rPr>
                <w:noProof/>
                <w:sz w:val="16"/>
                <w:szCs w:val="22"/>
              </w:rPr>
              <w:drawing>
                <wp:inline distT="0" distB="0" distL="0" distR="0">
                  <wp:extent cx="4914457" cy="2726924"/>
                  <wp:effectExtent l="19050" t="0" r="443"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15714" cy="2727621"/>
                          </a:xfrm>
                          <a:prstGeom prst="rect">
                            <a:avLst/>
                          </a:prstGeom>
                          <a:noFill/>
                        </pic:spPr>
                      </pic:pic>
                    </a:graphicData>
                  </a:graphic>
                </wp:inline>
              </w:drawing>
            </w:r>
          </w:p>
          <w:p w:rsidR="005A55C0" w:rsidRPr="00ED2A7B" w:rsidRDefault="005A55C0" w:rsidP="00780119">
            <w:pPr>
              <w:tabs>
                <w:tab w:val="left" w:pos="426"/>
              </w:tabs>
              <w:ind w:firstLine="284"/>
              <w:jc w:val="both"/>
              <w:rPr>
                <w:rFonts w:ascii="Arial Narrow" w:hAnsi="Arial Narrow"/>
                <w:i/>
                <w:sz w:val="16"/>
                <w:szCs w:val="18"/>
              </w:rPr>
            </w:pPr>
          </w:p>
          <w:p w:rsidR="005A55C0" w:rsidRPr="00F77506" w:rsidRDefault="005A55C0" w:rsidP="00780119">
            <w:pPr>
              <w:tabs>
                <w:tab w:val="left" w:pos="426"/>
              </w:tabs>
              <w:ind w:firstLine="284"/>
              <w:jc w:val="both"/>
              <w:rPr>
                <w:rFonts w:ascii="Arial Narrow" w:hAnsi="Arial Narrow"/>
                <w:i/>
                <w:sz w:val="18"/>
                <w:szCs w:val="18"/>
              </w:rPr>
            </w:pPr>
            <w:r w:rsidRPr="00F77506">
              <w:rPr>
                <w:rFonts w:ascii="Arial Narrow" w:hAnsi="Arial Narrow"/>
                <w:i/>
                <w:sz w:val="18"/>
                <w:szCs w:val="18"/>
              </w:rPr>
              <w:t>Πηγή:</w:t>
            </w:r>
            <w:r w:rsidRPr="00F77506">
              <w:rPr>
                <w:rFonts w:ascii="Arial Narrow" w:hAnsi="Arial Narrow"/>
                <w:i/>
                <w:sz w:val="18"/>
                <w:szCs w:val="18"/>
              </w:rPr>
              <w:tab/>
              <w:t>Δημοσιονομικά στοιχεία ΔΥΕ, δεύτερη κοινοποίηση για το 2017</w:t>
            </w:r>
            <w:r w:rsidR="00AB1CFE">
              <w:rPr>
                <w:rFonts w:ascii="Arial Narrow" w:hAnsi="Arial Narrow"/>
                <w:i/>
                <w:sz w:val="18"/>
                <w:szCs w:val="18"/>
              </w:rPr>
              <w:t xml:space="preserve"> </w:t>
            </w:r>
            <w:r>
              <w:rPr>
                <w:rFonts w:ascii="Arial Narrow" w:hAnsi="Arial Narrow"/>
                <w:i/>
                <w:sz w:val="18"/>
                <w:szCs w:val="18"/>
              </w:rPr>
              <w:t>(Οκτώβριος 2018)</w:t>
            </w:r>
          </w:p>
          <w:p w:rsidR="005A55C0" w:rsidRPr="00ED2A7B" w:rsidRDefault="005A55C0" w:rsidP="00780119">
            <w:pPr>
              <w:tabs>
                <w:tab w:val="left" w:pos="426"/>
              </w:tabs>
              <w:spacing w:after="120"/>
              <w:ind w:firstLine="284"/>
              <w:jc w:val="both"/>
              <w:rPr>
                <w:rFonts w:ascii="Arial Narrow" w:hAnsi="Arial Narrow"/>
                <w:sz w:val="16"/>
                <w:szCs w:val="18"/>
              </w:rPr>
            </w:pPr>
            <w:r w:rsidRPr="00F77506">
              <w:rPr>
                <w:rFonts w:ascii="Arial Narrow" w:hAnsi="Arial Narrow"/>
                <w:i/>
                <w:sz w:val="18"/>
                <w:szCs w:val="18"/>
              </w:rPr>
              <w:t>(Ελληνική Στατιστική Αρχή, Eurostat).</w:t>
            </w:r>
          </w:p>
        </w:tc>
      </w:tr>
    </w:tbl>
    <w:p w:rsidR="00AB1CFE" w:rsidRDefault="00AB1CFE" w:rsidP="00780119">
      <w:pPr>
        <w:pStyle w:val="10"/>
        <w:jc w:val="both"/>
        <w:rPr>
          <w:sz w:val="22"/>
          <w:szCs w:val="22"/>
        </w:rPr>
      </w:pPr>
    </w:p>
    <w:p w:rsidR="00AB1CFE" w:rsidRDefault="00AB1CFE" w:rsidP="00780119">
      <w:pPr>
        <w:pStyle w:val="10"/>
        <w:jc w:val="both"/>
        <w:rPr>
          <w:sz w:val="22"/>
          <w:szCs w:val="22"/>
        </w:rPr>
      </w:pPr>
    </w:p>
    <w:p w:rsidR="00AB1CFE" w:rsidRDefault="00AB1CFE" w:rsidP="00780119">
      <w:pPr>
        <w:jc w:val="both"/>
        <w:rPr>
          <w:color w:val="000000"/>
          <w:sz w:val="22"/>
          <w:szCs w:val="22"/>
        </w:rPr>
      </w:pPr>
      <w:r>
        <w:rPr>
          <w:color w:val="000000"/>
          <w:sz w:val="22"/>
          <w:szCs w:val="22"/>
        </w:rPr>
        <w:t>Μετά τ</w:t>
      </w:r>
      <w:r w:rsidR="005A55C0" w:rsidRPr="008E557A">
        <w:rPr>
          <w:color w:val="000000"/>
          <w:sz w:val="22"/>
          <w:szCs w:val="22"/>
        </w:rPr>
        <w:t>ο 2018, η οικονομική ανάπτυξη σε ονομαστικούς όρους αναμένεται να επιταχυνθεί (σε +3,8% κατά μέσο όρο έως το 2022), συν-διαμορφώνοντας έναν αυξανόμενο από έτος σε έτος δημοσιονομικό χώρο με βάση τ</w:t>
      </w:r>
      <w:r w:rsidR="00FD61AA">
        <w:rPr>
          <w:color w:val="000000"/>
          <w:sz w:val="22"/>
          <w:szCs w:val="22"/>
        </w:rPr>
        <w:t>η</w:t>
      </w:r>
      <w:r w:rsidR="005A55C0" w:rsidRPr="008E557A">
        <w:rPr>
          <w:color w:val="000000"/>
          <w:sz w:val="22"/>
          <w:szCs w:val="22"/>
        </w:rPr>
        <w:t xml:space="preserve"> </w:t>
      </w:r>
      <w:r w:rsidR="00FD61AA">
        <w:rPr>
          <w:color w:val="000000"/>
          <w:sz w:val="22"/>
          <w:szCs w:val="22"/>
        </w:rPr>
        <w:t>δέσμη</w:t>
      </w:r>
      <w:r w:rsidR="005A55C0" w:rsidRPr="008E557A">
        <w:rPr>
          <w:color w:val="000000"/>
          <w:sz w:val="22"/>
          <w:szCs w:val="22"/>
        </w:rPr>
        <w:t xml:space="preserve"> πολιτικών του ΜΠΔΣ.</w:t>
      </w:r>
      <w:r w:rsidR="00357716">
        <w:rPr>
          <w:color w:val="000000"/>
          <w:sz w:val="22"/>
          <w:szCs w:val="22"/>
        </w:rPr>
        <w:t xml:space="preserve"> </w:t>
      </w:r>
      <w:r w:rsidR="005A55C0" w:rsidRPr="008E557A">
        <w:rPr>
          <w:color w:val="000000"/>
          <w:sz w:val="22"/>
          <w:szCs w:val="22"/>
        </w:rPr>
        <w:t>Υπό αυτ</w:t>
      </w:r>
      <w:r w:rsidR="00864E6C">
        <w:rPr>
          <w:color w:val="000000"/>
          <w:sz w:val="22"/>
          <w:szCs w:val="22"/>
        </w:rPr>
        <w:t>ή</w:t>
      </w:r>
      <w:r w:rsidR="005A55C0" w:rsidRPr="008E557A">
        <w:rPr>
          <w:color w:val="000000"/>
          <w:sz w:val="22"/>
          <w:szCs w:val="22"/>
        </w:rPr>
        <w:t xml:space="preserve"> τ</w:t>
      </w:r>
      <w:r w:rsidR="00864E6C">
        <w:rPr>
          <w:color w:val="000000"/>
          <w:sz w:val="22"/>
          <w:szCs w:val="22"/>
        </w:rPr>
        <w:t>η</w:t>
      </w:r>
      <w:r w:rsidR="005A55C0" w:rsidRPr="008E557A">
        <w:rPr>
          <w:color w:val="000000"/>
          <w:sz w:val="22"/>
          <w:szCs w:val="22"/>
        </w:rPr>
        <w:t xml:space="preserve"> </w:t>
      </w:r>
      <w:r w:rsidR="00864E6C">
        <w:rPr>
          <w:color w:val="000000"/>
          <w:sz w:val="22"/>
          <w:szCs w:val="22"/>
        </w:rPr>
        <w:t>δέσμη</w:t>
      </w:r>
      <w:r w:rsidR="005A55C0" w:rsidRPr="008E557A">
        <w:rPr>
          <w:color w:val="000000"/>
          <w:sz w:val="22"/>
          <w:szCs w:val="22"/>
        </w:rPr>
        <w:t xml:space="preserve"> πολιτικών, το πρωτογενές πλε</w:t>
      </w:r>
      <w:r w:rsidR="005A55C0" w:rsidRPr="008E557A">
        <w:rPr>
          <w:color w:val="000000"/>
          <w:sz w:val="22"/>
          <w:szCs w:val="22"/>
        </w:rPr>
        <w:t>ό</w:t>
      </w:r>
      <w:r w:rsidR="005A55C0" w:rsidRPr="008E557A">
        <w:rPr>
          <w:color w:val="000000"/>
          <w:sz w:val="22"/>
          <w:szCs w:val="22"/>
        </w:rPr>
        <w:t xml:space="preserve">νασμα του 2019 εκτιμάται ότι θα υπερέβαινε </w:t>
      </w:r>
      <w:r w:rsidR="00881C7E">
        <w:rPr>
          <w:color w:val="000000"/>
          <w:sz w:val="22"/>
          <w:szCs w:val="22"/>
        </w:rPr>
        <w:t>σημαντικ</w:t>
      </w:r>
      <w:r w:rsidR="00640116">
        <w:rPr>
          <w:color w:val="000000"/>
          <w:sz w:val="22"/>
          <w:szCs w:val="22"/>
        </w:rPr>
        <w:t>ά</w:t>
      </w:r>
      <w:r w:rsidR="00881C7E">
        <w:rPr>
          <w:color w:val="000000"/>
          <w:sz w:val="22"/>
          <w:szCs w:val="22"/>
        </w:rPr>
        <w:t xml:space="preserve"> </w:t>
      </w:r>
      <w:r w:rsidR="005A55C0" w:rsidRPr="008E557A">
        <w:rPr>
          <w:color w:val="000000"/>
          <w:sz w:val="22"/>
          <w:szCs w:val="22"/>
        </w:rPr>
        <w:t xml:space="preserve">τον δημοσιονομικό στόχο </w:t>
      </w:r>
      <w:r>
        <w:rPr>
          <w:color w:val="000000"/>
          <w:sz w:val="22"/>
          <w:szCs w:val="22"/>
        </w:rPr>
        <w:t xml:space="preserve">σε όρους </w:t>
      </w:r>
      <w:r w:rsidR="005A55C0" w:rsidRPr="008E557A">
        <w:rPr>
          <w:color w:val="000000"/>
          <w:sz w:val="22"/>
          <w:szCs w:val="22"/>
        </w:rPr>
        <w:t>ενισχ</w:t>
      </w:r>
      <w:r w:rsidR="005A55C0" w:rsidRPr="008E557A">
        <w:rPr>
          <w:color w:val="000000"/>
          <w:sz w:val="22"/>
          <w:szCs w:val="22"/>
        </w:rPr>
        <w:t>υ</w:t>
      </w:r>
      <w:r w:rsidR="005A55C0" w:rsidRPr="008E557A">
        <w:rPr>
          <w:color w:val="000000"/>
          <w:sz w:val="22"/>
          <w:szCs w:val="22"/>
        </w:rPr>
        <w:t>μένης εποπτείας.</w:t>
      </w:r>
      <w:r w:rsidR="00357716">
        <w:rPr>
          <w:color w:val="000000"/>
          <w:sz w:val="22"/>
          <w:szCs w:val="22"/>
        </w:rPr>
        <w:t xml:space="preserve"> </w:t>
      </w:r>
    </w:p>
    <w:p w:rsidR="00AB1CFE" w:rsidRDefault="00AB1CFE" w:rsidP="00780119">
      <w:pPr>
        <w:jc w:val="both"/>
        <w:rPr>
          <w:color w:val="000000"/>
          <w:sz w:val="22"/>
          <w:szCs w:val="22"/>
        </w:rPr>
      </w:pPr>
    </w:p>
    <w:p w:rsidR="00AB1CFE" w:rsidRDefault="005A55C0" w:rsidP="00780119">
      <w:pPr>
        <w:jc w:val="both"/>
        <w:rPr>
          <w:sz w:val="22"/>
          <w:szCs w:val="22"/>
        </w:rPr>
      </w:pPr>
      <w:r w:rsidRPr="008E557A">
        <w:rPr>
          <w:color w:val="000000"/>
          <w:sz w:val="22"/>
          <w:szCs w:val="22"/>
        </w:rPr>
        <w:t xml:space="preserve">Το γεγονός αυτό </w:t>
      </w:r>
      <w:r w:rsidR="00881C7E">
        <w:rPr>
          <w:color w:val="000000"/>
          <w:sz w:val="22"/>
          <w:szCs w:val="22"/>
        </w:rPr>
        <w:t xml:space="preserve">καθιστά εφικτή την αλλαγή του δημοσιονομικού μείγματος μέσω της </w:t>
      </w:r>
      <w:r w:rsidRPr="008E557A">
        <w:rPr>
          <w:color w:val="000000"/>
          <w:sz w:val="22"/>
          <w:szCs w:val="22"/>
        </w:rPr>
        <w:t>εξειδίκευση</w:t>
      </w:r>
      <w:r w:rsidR="00881C7E">
        <w:rPr>
          <w:color w:val="000000"/>
          <w:sz w:val="22"/>
          <w:szCs w:val="22"/>
        </w:rPr>
        <w:t>ς</w:t>
      </w:r>
      <w:r w:rsidRPr="008E557A">
        <w:rPr>
          <w:color w:val="000000"/>
          <w:sz w:val="22"/>
          <w:szCs w:val="22"/>
        </w:rPr>
        <w:t xml:space="preserve"> μιας δέσμης </w:t>
      </w:r>
      <w:r w:rsidR="00881C7E">
        <w:rPr>
          <w:color w:val="000000"/>
          <w:sz w:val="22"/>
          <w:szCs w:val="22"/>
        </w:rPr>
        <w:t xml:space="preserve">νέων </w:t>
      </w:r>
      <w:r w:rsidRPr="008E557A">
        <w:rPr>
          <w:color w:val="000000"/>
          <w:sz w:val="22"/>
          <w:szCs w:val="22"/>
        </w:rPr>
        <w:t>δημοσιονομικών παρεμβάσεων το 2019</w:t>
      </w:r>
      <w:r w:rsidR="00881C7E">
        <w:rPr>
          <w:color w:val="000000"/>
          <w:sz w:val="22"/>
          <w:szCs w:val="22"/>
        </w:rPr>
        <w:t>,</w:t>
      </w:r>
      <w:r w:rsidRPr="008E557A">
        <w:rPr>
          <w:color w:val="000000"/>
          <w:sz w:val="22"/>
          <w:szCs w:val="22"/>
        </w:rPr>
        <w:t xml:space="preserve"> </w:t>
      </w:r>
      <w:r w:rsidRPr="008E557A">
        <w:rPr>
          <w:sz w:val="22"/>
          <w:szCs w:val="22"/>
        </w:rPr>
        <w:t>από την οποία δεν επηρεάζεται η τήρηση των δημοσιονομικών στόχων</w:t>
      </w:r>
      <w:r w:rsidR="00881C7E">
        <w:rPr>
          <w:sz w:val="22"/>
          <w:szCs w:val="22"/>
        </w:rPr>
        <w:t>.</w:t>
      </w:r>
      <w:r w:rsidRPr="008E557A">
        <w:rPr>
          <w:sz w:val="22"/>
          <w:szCs w:val="22"/>
        </w:rPr>
        <w:t xml:space="preserve"> Ειδικότερα, η δέσμη νέων παρεμβάσεων για το 2019 </w:t>
      </w:r>
      <w:r w:rsidRPr="008E557A">
        <w:rPr>
          <w:color w:val="000000"/>
          <w:sz w:val="22"/>
          <w:szCs w:val="22"/>
        </w:rPr>
        <w:t xml:space="preserve">αφορά τη μη </w:t>
      </w:r>
      <w:r w:rsidRPr="008E557A">
        <w:rPr>
          <w:color w:val="000000"/>
          <w:sz w:val="22"/>
          <w:szCs w:val="22"/>
        </w:rPr>
        <w:t>ε</w:t>
      </w:r>
      <w:r w:rsidRPr="008E557A">
        <w:rPr>
          <w:color w:val="000000"/>
          <w:sz w:val="22"/>
          <w:szCs w:val="22"/>
        </w:rPr>
        <w:t>φαρμογή των συνταξιοδοτικών παρεμβάσεων του ν. 4472/2017 και των αντίστοιχων εξισορροπητικών παρεμβάσεων (πλην των οικογενειακών επιδομάτων) και παράλληλα την εφαρμογή μιας σειράς π</w:t>
      </w:r>
      <w:r w:rsidRPr="008E557A">
        <w:rPr>
          <w:color w:val="000000"/>
          <w:sz w:val="22"/>
          <w:szCs w:val="22"/>
        </w:rPr>
        <w:t>α</w:t>
      </w:r>
      <w:r w:rsidRPr="008E557A">
        <w:rPr>
          <w:color w:val="000000"/>
          <w:sz w:val="22"/>
          <w:szCs w:val="22"/>
        </w:rPr>
        <w:t>ρεμβάσεων</w:t>
      </w:r>
      <w:r w:rsidR="00881C7E">
        <w:rPr>
          <w:color w:val="000000"/>
          <w:sz w:val="22"/>
          <w:szCs w:val="22"/>
        </w:rPr>
        <w:t xml:space="preserve">, </w:t>
      </w:r>
      <w:r w:rsidRPr="008E557A">
        <w:rPr>
          <w:color w:val="000000"/>
          <w:sz w:val="22"/>
          <w:szCs w:val="22"/>
        </w:rPr>
        <w:t xml:space="preserve">αναπτυξιακά </w:t>
      </w:r>
      <w:r w:rsidR="00881C7E">
        <w:rPr>
          <w:color w:val="000000"/>
          <w:sz w:val="22"/>
          <w:szCs w:val="22"/>
        </w:rPr>
        <w:t xml:space="preserve">και κοινωνικά </w:t>
      </w:r>
      <w:r w:rsidRPr="008E557A">
        <w:rPr>
          <w:color w:val="000000"/>
          <w:sz w:val="22"/>
          <w:szCs w:val="22"/>
        </w:rPr>
        <w:t xml:space="preserve">ωφέλιμων, μεταξύ των οποίων η </w:t>
      </w:r>
      <w:r w:rsidRPr="008E557A">
        <w:rPr>
          <w:sz w:val="22"/>
          <w:szCs w:val="22"/>
        </w:rPr>
        <w:t xml:space="preserve">μείωση της φορολογικής </w:t>
      </w:r>
      <w:r w:rsidRPr="008E557A">
        <w:rPr>
          <w:sz w:val="22"/>
          <w:szCs w:val="22"/>
        </w:rPr>
        <w:t>ε</w:t>
      </w:r>
      <w:r w:rsidRPr="008E557A">
        <w:rPr>
          <w:sz w:val="22"/>
          <w:szCs w:val="22"/>
        </w:rPr>
        <w:t>πιβάρυνσης (ΕΝΦΙΑ, ΦΕΝΠ, φορολογία διανεμόμενων κερδών), η μείωση των ασφαλιστικών εισφ</w:t>
      </w:r>
      <w:r w:rsidRPr="008E557A">
        <w:rPr>
          <w:sz w:val="22"/>
          <w:szCs w:val="22"/>
        </w:rPr>
        <w:t>ο</w:t>
      </w:r>
      <w:r w:rsidRPr="008E557A">
        <w:rPr>
          <w:sz w:val="22"/>
          <w:szCs w:val="22"/>
        </w:rPr>
        <w:t>ρών σε κατηγορίες επαγγελματιών</w:t>
      </w:r>
      <w:r w:rsidR="00881C7E">
        <w:rPr>
          <w:sz w:val="22"/>
          <w:szCs w:val="22"/>
        </w:rPr>
        <w:t>,</w:t>
      </w:r>
      <w:r w:rsidRPr="008E557A">
        <w:rPr>
          <w:sz w:val="22"/>
          <w:szCs w:val="22"/>
        </w:rPr>
        <w:t xml:space="preserve"> η επιδότηση </w:t>
      </w:r>
      <w:r w:rsidR="00AB1CFE">
        <w:rPr>
          <w:sz w:val="22"/>
          <w:szCs w:val="22"/>
        </w:rPr>
        <w:t>στέγασης</w:t>
      </w:r>
      <w:r w:rsidR="00881C7E">
        <w:rPr>
          <w:sz w:val="22"/>
          <w:szCs w:val="22"/>
        </w:rPr>
        <w:t>, η επιδότηση ασφαλιστικών εισφορών ε</w:t>
      </w:r>
      <w:r w:rsidR="00881C7E">
        <w:rPr>
          <w:sz w:val="22"/>
          <w:szCs w:val="22"/>
        </w:rPr>
        <w:t>ρ</w:t>
      </w:r>
      <w:r w:rsidR="00881C7E">
        <w:rPr>
          <w:sz w:val="22"/>
          <w:szCs w:val="22"/>
        </w:rPr>
        <w:t xml:space="preserve">γαζομένων κάτω των 24 ετών, </w:t>
      </w:r>
      <w:r w:rsidRPr="008E557A">
        <w:rPr>
          <w:sz w:val="22"/>
          <w:szCs w:val="22"/>
        </w:rPr>
        <w:t>η αύξηση των θέσεων εργασίας στον τομέα της ειδικής αγωγής</w:t>
      </w:r>
      <w:r w:rsidR="00881C7E">
        <w:rPr>
          <w:sz w:val="22"/>
          <w:szCs w:val="22"/>
        </w:rPr>
        <w:t xml:space="preserve"> και η ενίσχυση του προγράμματος «Βοήθεια στο Σπίτι»</w:t>
      </w:r>
      <w:r w:rsidR="00AB1CFE">
        <w:rPr>
          <w:sz w:val="22"/>
          <w:szCs w:val="22"/>
        </w:rPr>
        <w:t>.</w:t>
      </w:r>
    </w:p>
    <w:p w:rsidR="00AB1CFE" w:rsidRDefault="00AB1CFE" w:rsidP="00780119">
      <w:pPr>
        <w:pStyle w:val="10"/>
        <w:jc w:val="both"/>
        <w:rPr>
          <w:sz w:val="22"/>
          <w:szCs w:val="22"/>
        </w:rPr>
      </w:pPr>
    </w:p>
    <w:p w:rsidR="00AB1CFE" w:rsidRDefault="00F33546" w:rsidP="00780119">
      <w:pPr>
        <w:pStyle w:val="10"/>
        <w:jc w:val="both"/>
        <w:rPr>
          <w:sz w:val="22"/>
          <w:szCs w:val="22"/>
        </w:rPr>
      </w:pPr>
      <w:r w:rsidRPr="00F33546">
        <w:rPr>
          <w:sz w:val="22"/>
          <w:szCs w:val="22"/>
        </w:rPr>
        <w:t>Όσον αφορά τον εξωτερικό τομέα της οικονομίας, βάσει των στοιχείων Ισοζυγίου Πληρωμών της Τράπεζας τη</w:t>
      </w:r>
      <w:r w:rsidR="00360902">
        <w:rPr>
          <w:sz w:val="22"/>
          <w:szCs w:val="22"/>
        </w:rPr>
        <w:t>ς Ελλάδος για την περίοδο 2009-</w:t>
      </w:r>
      <w:r w:rsidRPr="00F33546">
        <w:rPr>
          <w:sz w:val="22"/>
          <w:szCs w:val="22"/>
        </w:rPr>
        <w:t>2017, το έλλειμμα Ισοζυγίου Τρεχουσών Συναλλαγών συρρικνώθηκε κατά το μεγαλύτερο μέρος του (-93,9%). Σε αυτό συντέλεσε σημαντικά ο περιορισμός του ελλείμματος στο ισοζύγιο αγαθών κατά 44,6%, καθώς η συμμετοχή του στη διόρθωση του συν</w:t>
      </w:r>
      <w:r w:rsidRPr="00F33546">
        <w:rPr>
          <w:sz w:val="22"/>
          <w:szCs w:val="22"/>
        </w:rPr>
        <w:t>ο</w:t>
      </w:r>
      <w:r w:rsidRPr="00F33546">
        <w:rPr>
          <w:sz w:val="22"/>
          <w:szCs w:val="22"/>
        </w:rPr>
        <w:t xml:space="preserve">λικού ελλείμματος ήταν μεγαλύτερη κατά 7,3 ποσοστιαίες μονάδες από τις αντίστοιχες συμμετοχές </w:t>
      </w:r>
      <w:r w:rsidR="00881C7E">
        <w:rPr>
          <w:sz w:val="22"/>
          <w:szCs w:val="22"/>
        </w:rPr>
        <w:t xml:space="preserve">αθροιστικά, </w:t>
      </w:r>
      <w:r w:rsidRPr="00F33546">
        <w:rPr>
          <w:sz w:val="22"/>
          <w:szCs w:val="22"/>
        </w:rPr>
        <w:t>των ισοζυγίων υπηρεσιών, πρωτογενών εισοδημάτων και δευτερογενών εισοδημάτων. Η βελτίωση στο ισοζύγιο αγαθών οφείλεται κατά 69,1% στην άνοδο των εξαγωγών αγαθών, στη βάση της αύξησης της εξωστρέφειας και της ανταγωνιστικότητας</w:t>
      </w:r>
      <w:r w:rsidR="00881C7E">
        <w:rPr>
          <w:sz w:val="22"/>
          <w:szCs w:val="22"/>
        </w:rPr>
        <w:t xml:space="preserve"> της ελληνικής οικονομίας</w:t>
      </w:r>
      <w:r w:rsidRPr="00F33546">
        <w:rPr>
          <w:sz w:val="22"/>
          <w:szCs w:val="22"/>
        </w:rPr>
        <w:t>.</w:t>
      </w:r>
    </w:p>
    <w:p w:rsidR="00AB1CFE" w:rsidRDefault="00AB1CFE" w:rsidP="00780119">
      <w:pPr>
        <w:pStyle w:val="10"/>
        <w:jc w:val="both"/>
        <w:rPr>
          <w:sz w:val="22"/>
          <w:szCs w:val="22"/>
        </w:rPr>
      </w:pPr>
    </w:p>
    <w:p w:rsidR="00AB1CFE" w:rsidRDefault="00F33546" w:rsidP="00780119">
      <w:pPr>
        <w:pStyle w:val="10"/>
        <w:jc w:val="both"/>
        <w:rPr>
          <w:sz w:val="22"/>
          <w:szCs w:val="22"/>
        </w:rPr>
      </w:pPr>
      <w:r w:rsidRPr="00F33546">
        <w:rPr>
          <w:sz w:val="22"/>
          <w:szCs w:val="22"/>
        </w:rPr>
        <w:t>Σε εθνικολογιστική βάση, το Ισοζύγιο Τρεχουσών Συναλλαγών ακολούθησε ανάλογη θετική πορεία, βελτιούμενο από το -15,8% του ΑΕΠ το 2008 στο -1,1% του ΑΕΠ το 2017 (διάγραμμα 1.</w:t>
      </w:r>
      <w:r w:rsidR="00CD76AC">
        <w:rPr>
          <w:sz w:val="22"/>
          <w:szCs w:val="22"/>
        </w:rPr>
        <w:t>2</w:t>
      </w:r>
      <w:r w:rsidRPr="00F33546">
        <w:rPr>
          <w:sz w:val="22"/>
          <w:szCs w:val="22"/>
        </w:rPr>
        <w:t xml:space="preserve">). Μεταξύ 2008 και 2017, άνω των δύο τρίτων της διόρθωσης στο εξωτερικό έλλειμμα της οικονομίας οφείλεται </w:t>
      </w:r>
      <w:r w:rsidRPr="00F33546">
        <w:rPr>
          <w:sz w:val="22"/>
          <w:szCs w:val="22"/>
        </w:rPr>
        <w:lastRenderedPageBreak/>
        <w:t>στη συρρίκνωση του ελλείμματος στο ισοζύγιο αγαθών κατά 58,9%, εκ της οποίας περίπου 28% οφ</w:t>
      </w:r>
      <w:r w:rsidRPr="00F33546">
        <w:rPr>
          <w:sz w:val="22"/>
          <w:szCs w:val="22"/>
        </w:rPr>
        <w:t>ε</w:t>
      </w:r>
      <w:r w:rsidRPr="00F33546">
        <w:rPr>
          <w:sz w:val="22"/>
          <w:szCs w:val="22"/>
        </w:rPr>
        <w:t>ίλεται στην άνοδο των εξαγωγών αγαθών.</w:t>
      </w:r>
    </w:p>
    <w:p w:rsidR="004F442B" w:rsidRDefault="004F442B" w:rsidP="00780119">
      <w:pPr>
        <w:pStyle w:val="10"/>
        <w:jc w:val="both"/>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7"/>
      </w:tblGrid>
      <w:tr w:rsidR="004F442B" w:rsidTr="004F442B">
        <w:tc>
          <w:tcPr>
            <w:tcW w:w="9287" w:type="dxa"/>
          </w:tcPr>
          <w:p w:rsidR="004F442B" w:rsidRDefault="004F442B" w:rsidP="004F442B">
            <w:pPr>
              <w:jc w:val="center"/>
              <w:rPr>
                <w:rFonts w:ascii="Arial Narrow" w:hAnsi="Arial Narrow"/>
                <w:b/>
              </w:rPr>
            </w:pPr>
            <w:r w:rsidRPr="003B0BD8">
              <w:rPr>
                <w:rFonts w:ascii="Arial Narrow" w:hAnsi="Arial Narrow"/>
                <w:b/>
              </w:rPr>
              <w:t>Διάγραμμα 1.</w:t>
            </w:r>
            <w:r>
              <w:rPr>
                <w:rFonts w:ascii="Arial Narrow" w:hAnsi="Arial Narrow"/>
                <w:b/>
              </w:rPr>
              <w:t>2 Εξέλιξη Ισοζυγίου Τρεχουσών Συναλλαγών</w:t>
            </w:r>
          </w:p>
          <w:p w:rsidR="004F442B" w:rsidRDefault="004F442B" w:rsidP="004F442B">
            <w:pPr>
              <w:pStyle w:val="10"/>
              <w:jc w:val="center"/>
              <w:rPr>
                <w:sz w:val="22"/>
                <w:szCs w:val="22"/>
              </w:rPr>
            </w:pPr>
            <w:r>
              <w:rPr>
                <w:rFonts w:ascii="Arial Narrow" w:hAnsi="Arial Narrow"/>
                <w:b/>
              </w:rPr>
              <w:t>(δισ. ευρώ)</w:t>
            </w:r>
          </w:p>
        </w:tc>
      </w:tr>
      <w:tr w:rsidR="004F442B" w:rsidTr="004F442B">
        <w:tc>
          <w:tcPr>
            <w:tcW w:w="9287" w:type="dxa"/>
          </w:tcPr>
          <w:p w:rsidR="004F442B" w:rsidRDefault="006B667E" w:rsidP="004F442B">
            <w:pPr>
              <w:pStyle w:val="10"/>
              <w:jc w:val="center"/>
              <w:rPr>
                <w:sz w:val="22"/>
                <w:szCs w:val="22"/>
              </w:rPr>
            </w:pPr>
            <w:r>
              <w:rPr>
                <w:noProof/>
                <w:sz w:val="22"/>
                <w:szCs w:val="22"/>
              </w:rPr>
              <w:drawing>
                <wp:inline distT="0" distB="0" distL="0" distR="0">
                  <wp:extent cx="4777740" cy="2773680"/>
                  <wp:effectExtent l="19050" t="0" r="381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777740" cy="2773680"/>
                          </a:xfrm>
                          <a:prstGeom prst="rect">
                            <a:avLst/>
                          </a:prstGeom>
                          <a:noFill/>
                        </pic:spPr>
                      </pic:pic>
                    </a:graphicData>
                  </a:graphic>
                </wp:inline>
              </w:drawing>
            </w:r>
          </w:p>
          <w:p w:rsidR="00426D7D" w:rsidRDefault="00426D7D" w:rsidP="00426D7D">
            <w:pPr>
              <w:tabs>
                <w:tab w:val="left" w:pos="426"/>
              </w:tabs>
              <w:jc w:val="both"/>
              <w:rPr>
                <w:rFonts w:ascii="Arial Narrow" w:hAnsi="Arial Narrow"/>
                <w:i/>
                <w:sz w:val="18"/>
                <w:szCs w:val="18"/>
              </w:rPr>
            </w:pPr>
          </w:p>
          <w:p w:rsidR="00426D7D" w:rsidRDefault="00426D7D" w:rsidP="00426D7D">
            <w:pPr>
              <w:tabs>
                <w:tab w:val="left" w:pos="851"/>
              </w:tabs>
              <w:jc w:val="both"/>
              <w:rPr>
                <w:rFonts w:ascii="Arial Narrow" w:hAnsi="Arial Narrow"/>
                <w:i/>
                <w:sz w:val="18"/>
                <w:szCs w:val="18"/>
              </w:rPr>
            </w:pPr>
            <w:r>
              <w:rPr>
                <w:rFonts w:ascii="Arial Narrow" w:hAnsi="Arial Narrow"/>
                <w:i/>
                <w:sz w:val="18"/>
                <w:szCs w:val="18"/>
              </w:rPr>
              <w:tab/>
            </w:r>
            <w:r w:rsidRPr="00E33E46">
              <w:rPr>
                <w:rFonts w:ascii="Arial Narrow" w:hAnsi="Arial Narrow"/>
                <w:i/>
                <w:sz w:val="18"/>
                <w:szCs w:val="18"/>
              </w:rPr>
              <w:t>Πηγή:</w:t>
            </w:r>
            <w:r w:rsidRPr="00E33E46">
              <w:rPr>
                <w:rFonts w:ascii="Arial Narrow" w:hAnsi="Arial Narrow"/>
                <w:i/>
                <w:sz w:val="18"/>
                <w:szCs w:val="18"/>
              </w:rPr>
              <w:tab/>
              <w:t>Ετήσιοι Εθνικοί Λογαριασμοί 2017</w:t>
            </w:r>
            <w:r w:rsidRPr="002B1D99">
              <w:rPr>
                <w:rFonts w:ascii="Arial Narrow" w:hAnsi="Arial Narrow"/>
                <w:i/>
                <w:sz w:val="18"/>
                <w:szCs w:val="18"/>
              </w:rPr>
              <w:t xml:space="preserve">, </w:t>
            </w:r>
            <w:r>
              <w:rPr>
                <w:rFonts w:ascii="Arial Narrow" w:hAnsi="Arial Narrow"/>
                <w:i/>
                <w:sz w:val="18"/>
                <w:szCs w:val="18"/>
              </w:rPr>
              <w:t>δεύτερη κοινοποίηση</w:t>
            </w:r>
            <w:r w:rsidRPr="002B1D99">
              <w:rPr>
                <w:rFonts w:ascii="Arial Narrow" w:hAnsi="Arial Narrow"/>
                <w:i/>
                <w:sz w:val="18"/>
                <w:szCs w:val="18"/>
              </w:rPr>
              <w:t xml:space="preserve"> </w:t>
            </w:r>
            <w:r w:rsidRPr="00E33E46">
              <w:rPr>
                <w:rFonts w:ascii="Arial Narrow" w:hAnsi="Arial Narrow"/>
                <w:i/>
                <w:sz w:val="18"/>
                <w:szCs w:val="18"/>
              </w:rPr>
              <w:t>(Ελληνική Στατιστική Αρχή), Υπουργείο Οικονομικών</w:t>
            </w:r>
          </w:p>
          <w:p w:rsidR="00426D7D" w:rsidRDefault="00426D7D" w:rsidP="00426D7D">
            <w:pPr>
              <w:tabs>
                <w:tab w:val="left" w:pos="851"/>
              </w:tabs>
              <w:jc w:val="both"/>
              <w:rPr>
                <w:sz w:val="22"/>
                <w:szCs w:val="22"/>
              </w:rPr>
            </w:pPr>
            <w:r>
              <w:rPr>
                <w:rFonts w:ascii="Arial Narrow" w:hAnsi="Arial Narrow"/>
                <w:i/>
                <w:sz w:val="18"/>
                <w:szCs w:val="18"/>
              </w:rPr>
              <w:tab/>
              <w:t>*</w:t>
            </w:r>
            <w:r w:rsidRPr="00E33E46">
              <w:rPr>
                <w:rFonts w:ascii="Arial Narrow" w:hAnsi="Arial Narrow"/>
                <w:i/>
                <w:sz w:val="18"/>
                <w:szCs w:val="18"/>
              </w:rPr>
              <w:t>Εκτιμήσεις / Προβλέψεις</w:t>
            </w:r>
          </w:p>
        </w:tc>
      </w:tr>
    </w:tbl>
    <w:p w:rsidR="00AB1CFE" w:rsidRDefault="00AB1CFE" w:rsidP="00780119">
      <w:pPr>
        <w:pStyle w:val="10"/>
        <w:jc w:val="both"/>
        <w:rPr>
          <w:sz w:val="22"/>
          <w:szCs w:val="22"/>
        </w:rPr>
      </w:pPr>
    </w:p>
    <w:p w:rsidR="00AB1CFE" w:rsidRDefault="00171811" w:rsidP="00780119">
      <w:pPr>
        <w:pStyle w:val="10"/>
        <w:jc w:val="both"/>
        <w:rPr>
          <w:sz w:val="22"/>
          <w:szCs w:val="22"/>
        </w:rPr>
      </w:pPr>
      <w:r w:rsidRPr="00171811">
        <w:rPr>
          <w:sz w:val="22"/>
          <w:szCs w:val="22"/>
        </w:rPr>
        <w:t>Η αυξημένη ανταγωνιστικότητα αποτυπώνεται τα τελευταία χρόνια και στις αρνητικές ετήσιες μετ</w:t>
      </w:r>
      <w:r w:rsidRPr="00171811">
        <w:rPr>
          <w:sz w:val="22"/>
          <w:szCs w:val="22"/>
        </w:rPr>
        <w:t>α</w:t>
      </w:r>
      <w:r w:rsidRPr="00171811">
        <w:rPr>
          <w:sz w:val="22"/>
          <w:szCs w:val="22"/>
        </w:rPr>
        <w:t>βολές του δείκτη πραγματικής σταθμισμένης συναλλαγματικής ισοτιμίας, όπως υπολογίζεται από την Τράπεζα της Ελλάδος βάσει του σχετικού κόστους εργασίας ανά μονάδα προϊόντος στο σύνολο της οικονομίας (διάγραμμα 1.</w:t>
      </w:r>
      <w:r w:rsidR="00CD76AC">
        <w:rPr>
          <w:sz w:val="22"/>
          <w:szCs w:val="22"/>
        </w:rPr>
        <w:t>3</w:t>
      </w:r>
      <w:r w:rsidRPr="00171811">
        <w:rPr>
          <w:sz w:val="22"/>
          <w:szCs w:val="22"/>
        </w:rPr>
        <w:t>).</w:t>
      </w:r>
      <w:r w:rsidR="00357716">
        <w:rPr>
          <w:sz w:val="22"/>
          <w:szCs w:val="22"/>
        </w:rPr>
        <w:t xml:space="preserve"> </w:t>
      </w:r>
    </w:p>
    <w:p w:rsidR="00AB1CFE" w:rsidRDefault="00AB1CFE" w:rsidP="00780119">
      <w:pPr>
        <w:pStyle w:val="10"/>
        <w:jc w:val="both"/>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7"/>
      </w:tblGrid>
      <w:tr w:rsidR="00426D7D" w:rsidTr="00777F38">
        <w:tc>
          <w:tcPr>
            <w:tcW w:w="9287" w:type="dxa"/>
          </w:tcPr>
          <w:p w:rsidR="00426D7D" w:rsidRDefault="00426D7D" w:rsidP="00426D7D">
            <w:pPr>
              <w:jc w:val="center"/>
              <w:rPr>
                <w:rFonts w:ascii="Arial Narrow" w:hAnsi="Arial Narrow"/>
                <w:b/>
              </w:rPr>
            </w:pPr>
            <w:r w:rsidRPr="003B0BD8">
              <w:rPr>
                <w:rFonts w:ascii="Arial Narrow" w:hAnsi="Arial Narrow"/>
                <w:b/>
              </w:rPr>
              <w:t>Διάγραμμα 1.</w:t>
            </w:r>
            <w:r>
              <w:rPr>
                <w:rFonts w:ascii="Arial Narrow" w:hAnsi="Arial Narrow"/>
                <w:b/>
              </w:rPr>
              <w:t xml:space="preserve">3 Πραγματική σταθμισμένη συναλλαγματική ισοτιμία </w:t>
            </w:r>
            <w:r w:rsidRPr="00163C38">
              <w:rPr>
                <w:rFonts w:ascii="Arial Narrow" w:hAnsi="Arial Narrow"/>
                <w:i/>
              </w:rPr>
              <w:t>– ευρύς δείκτης</w:t>
            </w:r>
            <w:r>
              <w:rPr>
                <w:rFonts w:ascii="Arial Narrow" w:hAnsi="Arial Narrow"/>
                <w:i/>
              </w:rPr>
              <w:t>*</w:t>
            </w:r>
          </w:p>
          <w:p w:rsidR="00426D7D" w:rsidRDefault="00426D7D" w:rsidP="00426D7D">
            <w:pPr>
              <w:jc w:val="center"/>
              <w:rPr>
                <w:sz w:val="22"/>
                <w:szCs w:val="22"/>
              </w:rPr>
            </w:pPr>
            <w:r w:rsidRPr="00163C38">
              <w:rPr>
                <w:rFonts w:ascii="Arial Narrow" w:hAnsi="Arial Narrow"/>
                <w:i/>
              </w:rPr>
              <w:t>(βάσει σχετικού κόστους εργασίας ανά μονάδα προϊόντος)</w:t>
            </w:r>
          </w:p>
        </w:tc>
      </w:tr>
      <w:tr w:rsidR="00426D7D" w:rsidTr="00777F38">
        <w:tc>
          <w:tcPr>
            <w:tcW w:w="9287" w:type="dxa"/>
          </w:tcPr>
          <w:p w:rsidR="00426D7D" w:rsidRDefault="00426D7D" w:rsidP="00426D7D">
            <w:pPr>
              <w:jc w:val="center"/>
              <w:rPr>
                <w:rFonts w:ascii="Arial Narrow" w:hAnsi="Arial Narrow"/>
                <w:b/>
              </w:rPr>
            </w:pPr>
            <w:r w:rsidRPr="00426D7D">
              <w:rPr>
                <w:rFonts w:ascii="Arial Narrow" w:hAnsi="Arial Narrow"/>
                <w:b/>
                <w:noProof/>
              </w:rPr>
              <w:drawing>
                <wp:inline distT="0" distB="0" distL="0" distR="0">
                  <wp:extent cx="5126567" cy="2548467"/>
                  <wp:effectExtent l="0" t="0" r="0" b="0"/>
                  <wp:docPr id="13"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6D7D" w:rsidRDefault="005906F1" w:rsidP="00426D7D">
            <w:pPr>
              <w:rPr>
                <w:rFonts w:ascii="Arial Narrow" w:hAnsi="Arial Narrow"/>
                <w:i/>
                <w:sz w:val="18"/>
                <w:szCs w:val="18"/>
              </w:rPr>
            </w:pPr>
            <w:r>
              <w:rPr>
                <w:rFonts w:ascii="Arial Narrow" w:hAnsi="Arial Narrow"/>
                <w:i/>
                <w:sz w:val="18"/>
                <w:szCs w:val="18"/>
              </w:rPr>
              <w:tab/>
            </w:r>
            <w:r w:rsidR="00426D7D" w:rsidRPr="00245887">
              <w:rPr>
                <w:rFonts w:ascii="Arial Narrow" w:hAnsi="Arial Narrow"/>
                <w:i/>
                <w:sz w:val="18"/>
                <w:szCs w:val="18"/>
              </w:rPr>
              <w:t>Πηγή: Έκθεση Νομισματικής Πολιτικής 2017-2018 (Τράπεζα της Ελλάδος, Ιούλιος 2018)</w:t>
            </w:r>
          </w:p>
          <w:p w:rsidR="00426D7D" w:rsidRPr="003B0BD8" w:rsidRDefault="005906F1" w:rsidP="00426D7D">
            <w:pPr>
              <w:rPr>
                <w:rFonts w:ascii="Arial Narrow" w:hAnsi="Arial Narrow"/>
                <w:b/>
              </w:rPr>
            </w:pPr>
            <w:r>
              <w:rPr>
                <w:rFonts w:ascii="Arial Narrow" w:hAnsi="Arial Narrow"/>
                <w:i/>
                <w:sz w:val="18"/>
                <w:szCs w:val="18"/>
              </w:rPr>
              <w:tab/>
            </w:r>
            <w:r w:rsidR="00426D7D" w:rsidRPr="00245887">
              <w:rPr>
                <w:rFonts w:ascii="Arial Narrow" w:hAnsi="Arial Narrow"/>
                <w:i/>
                <w:sz w:val="18"/>
                <w:szCs w:val="18"/>
              </w:rPr>
              <w:t>* περιλαμβάνει τους 28 κυριότερους εμπορικούς εταίρους της Ελλάδος, εντός και εκτός Ευρώπης</w:t>
            </w:r>
          </w:p>
        </w:tc>
      </w:tr>
    </w:tbl>
    <w:p w:rsidR="00426D7D" w:rsidRDefault="00426D7D" w:rsidP="00780119">
      <w:pPr>
        <w:pStyle w:val="10"/>
        <w:jc w:val="both"/>
        <w:rPr>
          <w:sz w:val="22"/>
          <w:szCs w:val="22"/>
        </w:rPr>
      </w:pPr>
    </w:p>
    <w:p w:rsidR="00AB1CFE" w:rsidRDefault="00171811" w:rsidP="00780119">
      <w:pPr>
        <w:pStyle w:val="10"/>
        <w:jc w:val="both"/>
        <w:rPr>
          <w:sz w:val="22"/>
          <w:szCs w:val="22"/>
        </w:rPr>
      </w:pPr>
      <w:r w:rsidRPr="00171811">
        <w:rPr>
          <w:sz w:val="22"/>
          <w:szCs w:val="22"/>
        </w:rPr>
        <w:t>Παρά την αδυναμία για μία αντίστοιχη ποσοτική αποτίμηση της επίδρασης των διαρθρωτικών μετα</w:t>
      </w:r>
      <w:r w:rsidRPr="00171811">
        <w:rPr>
          <w:sz w:val="22"/>
          <w:szCs w:val="22"/>
        </w:rPr>
        <w:t>ρ</w:t>
      </w:r>
      <w:r w:rsidRPr="00171811">
        <w:rPr>
          <w:sz w:val="22"/>
          <w:szCs w:val="22"/>
        </w:rPr>
        <w:t>ρυθμίσεων στην οικονομία, η συν</w:t>
      </w:r>
      <w:r w:rsidR="00881C7E">
        <w:rPr>
          <w:sz w:val="22"/>
          <w:szCs w:val="22"/>
        </w:rPr>
        <w:t>επαγόμενη</w:t>
      </w:r>
      <w:r w:rsidRPr="00171811">
        <w:rPr>
          <w:sz w:val="22"/>
          <w:szCs w:val="22"/>
        </w:rPr>
        <w:t xml:space="preserve"> ενίσχυση της οικονομικής σταθερότητας, η βελτίωση του επενδυτικού περιβάλλοντος και η αύξηση της ολικής παραγωγικότητας συνεισφέρουν στην αναπτυξ</w:t>
      </w:r>
      <w:r w:rsidRPr="00171811">
        <w:rPr>
          <w:sz w:val="22"/>
          <w:szCs w:val="22"/>
        </w:rPr>
        <w:t>ι</w:t>
      </w:r>
      <w:r w:rsidRPr="00171811">
        <w:rPr>
          <w:sz w:val="22"/>
          <w:szCs w:val="22"/>
        </w:rPr>
        <w:lastRenderedPageBreak/>
        <w:t>ακή δυναμική μέσο-μακροπρόθεσμα και στηρίζουν τη βιωσιμότητα των διορθώσεων στα «δίδυμα ε</w:t>
      </w:r>
      <w:r w:rsidRPr="00171811">
        <w:rPr>
          <w:sz w:val="22"/>
          <w:szCs w:val="22"/>
        </w:rPr>
        <w:t>λ</w:t>
      </w:r>
      <w:r w:rsidRPr="00171811">
        <w:rPr>
          <w:sz w:val="22"/>
          <w:szCs w:val="22"/>
        </w:rPr>
        <w:t xml:space="preserve">λείμματα» της οικονομίας. Το </w:t>
      </w:r>
      <w:r w:rsidR="00881C7E">
        <w:rPr>
          <w:sz w:val="22"/>
          <w:szCs w:val="22"/>
        </w:rPr>
        <w:t>ευρύ πεδίο εφαρμογής δομικών</w:t>
      </w:r>
      <w:r w:rsidRPr="00171811">
        <w:rPr>
          <w:sz w:val="22"/>
          <w:szCs w:val="22"/>
        </w:rPr>
        <w:t xml:space="preserve"> αλλ</w:t>
      </w:r>
      <w:r w:rsidR="00881C7E">
        <w:rPr>
          <w:sz w:val="22"/>
          <w:szCs w:val="22"/>
        </w:rPr>
        <w:t>αγών</w:t>
      </w:r>
      <w:r w:rsidRPr="00171811">
        <w:rPr>
          <w:sz w:val="22"/>
          <w:szCs w:val="22"/>
        </w:rPr>
        <w:t xml:space="preserve"> τα τελευταία έτη συμβάλλει σε αυτή την κατεύθυνση, από την απελευθέρωση των κλειστών επαγγελμάτων και την μεταρρύθμιση των αγορών προϊόντων, εργασίας και ενέργειας, έως τον εκσυγχρονισμό της δημόσιας διοίκησης, την καταπολέμηση της διαφθοράς και την ενίσχυση του κοινωνικού δικτύου ασφάλειας που ευνοεί τη δ</w:t>
      </w:r>
      <w:r w:rsidRPr="00171811">
        <w:rPr>
          <w:sz w:val="22"/>
          <w:szCs w:val="22"/>
        </w:rPr>
        <w:t>η</w:t>
      </w:r>
      <w:r w:rsidRPr="00171811">
        <w:rPr>
          <w:sz w:val="22"/>
          <w:szCs w:val="22"/>
        </w:rPr>
        <w:t xml:space="preserve">μιουργία συνθηκών ανάπτυξης χωρίς αποκλεισμούς. </w:t>
      </w:r>
    </w:p>
    <w:p w:rsidR="00AB1CFE" w:rsidRDefault="00AB1CFE" w:rsidP="00780119">
      <w:pPr>
        <w:pStyle w:val="10"/>
        <w:jc w:val="both"/>
        <w:rPr>
          <w:sz w:val="22"/>
          <w:szCs w:val="22"/>
        </w:rPr>
      </w:pPr>
    </w:p>
    <w:p w:rsidR="00AB1CFE" w:rsidRDefault="00171811" w:rsidP="00780119">
      <w:pPr>
        <w:pStyle w:val="10"/>
        <w:jc w:val="both"/>
        <w:rPr>
          <w:sz w:val="22"/>
          <w:szCs w:val="22"/>
        </w:rPr>
      </w:pPr>
      <w:r w:rsidRPr="00171811">
        <w:rPr>
          <w:sz w:val="22"/>
          <w:szCs w:val="22"/>
        </w:rPr>
        <w:t>Συνολικά, τα τελευταία έτη η αξιοπιστία της οικονομικής πολιτικής έχει θέσει τις προϋποθέσεις για τη δημιουργία ενός ενάρετου κύκλου στην οικονομία, με σταδιακή αλλά βιώσιμη βελτίωση προσδοκιών, επενδύσεων και πραγματικού ΑΕΠ. Στο τέλος του 2017, οι σωρευτικές απώλειες του πραγματικού ΑΕΠ είχαν περιοριστεί κατά 1,2 ποσοστιαίες μονάδες του ΑΕΠ σε σχέση με το 2013, οπότε έφτα</w:t>
      </w:r>
      <w:r w:rsidR="00CD76AC">
        <w:rPr>
          <w:sz w:val="22"/>
          <w:szCs w:val="22"/>
        </w:rPr>
        <w:t>σ</w:t>
      </w:r>
      <w:r w:rsidRPr="00171811">
        <w:rPr>
          <w:sz w:val="22"/>
          <w:szCs w:val="22"/>
        </w:rPr>
        <w:t>αν στο ανώτερο σημείο όλης της περιόδου από την έναρξη της οικονομικής κρίσης (στο 26,5% του ό</w:t>
      </w:r>
      <w:r w:rsidRPr="00171811">
        <w:rPr>
          <w:sz w:val="22"/>
          <w:szCs w:val="22"/>
        </w:rPr>
        <w:t>γ</w:t>
      </w:r>
      <w:r w:rsidRPr="00171811">
        <w:rPr>
          <w:sz w:val="22"/>
          <w:szCs w:val="22"/>
        </w:rPr>
        <w:t xml:space="preserve">κου του ΑΕΠ του 2007). Σε αυτό συνέβαλε η ανάκαμψη </w:t>
      </w:r>
      <w:r w:rsidR="00881C7E">
        <w:rPr>
          <w:sz w:val="22"/>
          <w:szCs w:val="22"/>
        </w:rPr>
        <w:t>του ΑΕΠ το 2017 κατά 1,</w:t>
      </w:r>
      <w:r w:rsidR="00B92CE7">
        <w:rPr>
          <w:sz w:val="22"/>
          <w:szCs w:val="22"/>
        </w:rPr>
        <w:t>5</w:t>
      </w:r>
      <w:r w:rsidRPr="00171811">
        <w:rPr>
          <w:sz w:val="22"/>
          <w:szCs w:val="22"/>
        </w:rPr>
        <w:t xml:space="preserve">% έναντι του 2016, με τον όγκο του παραγόμενου προϊόντος σε θετική πορεία σε όλα τα τρίμηνα του έτους εν μέσω ευνοϊκών εξελίξεων σε εξαγωγική δραστηριότητα, απασχόληση, ιδιωτική κατανάλωση, επενδύσεις και οικονομικό κλίμα. </w:t>
      </w:r>
    </w:p>
    <w:p w:rsidR="00AB1CFE" w:rsidRDefault="00AB1CFE" w:rsidP="00780119">
      <w:pPr>
        <w:pStyle w:val="10"/>
        <w:jc w:val="both"/>
        <w:rPr>
          <w:sz w:val="22"/>
          <w:szCs w:val="22"/>
        </w:rPr>
      </w:pPr>
    </w:p>
    <w:p w:rsidR="00AB1CFE" w:rsidRDefault="00171811" w:rsidP="00780119">
      <w:pPr>
        <w:pStyle w:val="10"/>
        <w:jc w:val="both"/>
        <w:rPr>
          <w:sz w:val="22"/>
          <w:szCs w:val="22"/>
        </w:rPr>
      </w:pPr>
      <w:r w:rsidRPr="00171811">
        <w:rPr>
          <w:sz w:val="22"/>
          <w:szCs w:val="22"/>
        </w:rPr>
        <w:t>Το οικονομικό κλίμα βρίσκεται σε πορεία ανάκαμψης από το 2016, ενώ από την ολοκλήρωση της δ</w:t>
      </w:r>
      <w:r w:rsidRPr="00171811">
        <w:rPr>
          <w:sz w:val="22"/>
          <w:szCs w:val="22"/>
        </w:rPr>
        <w:t>ε</w:t>
      </w:r>
      <w:r w:rsidRPr="00171811">
        <w:rPr>
          <w:sz w:val="22"/>
          <w:szCs w:val="22"/>
        </w:rPr>
        <w:t>ύτερης αξιολόγησης τον Ιούνιο 2017 ενισχύθηκε περαιτέρω, διατηρούμενο από τον Απρίλιο 2018 σταθερά άνω του μακροπρόθεσμου μέσου όρου των 100 μονάδων, στη βάση της ταχείας ολοκλήρ</w:t>
      </w:r>
      <w:r w:rsidRPr="00171811">
        <w:rPr>
          <w:sz w:val="22"/>
          <w:szCs w:val="22"/>
        </w:rPr>
        <w:t>ω</w:t>
      </w:r>
      <w:r w:rsidRPr="00171811">
        <w:rPr>
          <w:sz w:val="22"/>
          <w:szCs w:val="22"/>
        </w:rPr>
        <w:t>σης των τελευταίων δύο αξιολογήσεων του τρίτου Προγράμματος (Ιανουάριος</w:t>
      </w:r>
      <w:r w:rsidR="008700DF">
        <w:rPr>
          <w:sz w:val="22"/>
          <w:szCs w:val="22"/>
        </w:rPr>
        <w:t xml:space="preserve"> </w:t>
      </w:r>
      <w:r w:rsidRPr="00171811">
        <w:rPr>
          <w:sz w:val="22"/>
          <w:szCs w:val="22"/>
        </w:rPr>
        <w:t>/</w:t>
      </w:r>
      <w:r w:rsidR="008700DF">
        <w:rPr>
          <w:sz w:val="22"/>
          <w:szCs w:val="22"/>
        </w:rPr>
        <w:t xml:space="preserve"> </w:t>
      </w:r>
      <w:r w:rsidR="00794063">
        <w:rPr>
          <w:sz w:val="22"/>
          <w:szCs w:val="22"/>
        </w:rPr>
        <w:t>Ιούνιος 2018).</w:t>
      </w:r>
      <w:r w:rsidRPr="00171811">
        <w:rPr>
          <w:sz w:val="22"/>
          <w:szCs w:val="22"/>
        </w:rPr>
        <w:t xml:space="preserve"> Υπό αυτή την ευνοϊκή βάση για την επενδυτική δραστηριότητα, η Ελλάδα βρίσκεται σήμερα στην πρώτη θέση του Επενδυτικού Σχεδίου για την Ευρώπη ως προς τις συνολικές επενδύσεις που αναμένεται να ενεργοποιηθούν μέσω του Ευρωπαϊκού Ταμείου Στρατηγικών Επενδύσεων</w:t>
      </w:r>
      <w:r w:rsidR="008700DF">
        <w:rPr>
          <w:sz w:val="22"/>
          <w:szCs w:val="22"/>
        </w:rPr>
        <w:t xml:space="preserve"> </w:t>
      </w:r>
      <w:r w:rsidRPr="00171811">
        <w:rPr>
          <w:sz w:val="22"/>
          <w:szCs w:val="22"/>
        </w:rPr>
        <w:t>(ΕΤΣΕ)</w:t>
      </w:r>
      <w:r w:rsidRPr="00171811">
        <w:rPr>
          <w:sz w:val="22"/>
          <w:szCs w:val="22"/>
          <w:vertAlign w:val="superscript"/>
        </w:rPr>
        <w:footnoteReference w:id="13"/>
      </w:r>
      <w:r w:rsidRPr="00171811">
        <w:rPr>
          <w:sz w:val="22"/>
          <w:szCs w:val="22"/>
          <w:vertAlign w:val="superscript"/>
        </w:rPr>
        <w:t xml:space="preserve"> </w:t>
      </w:r>
      <w:r w:rsidRPr="00171811">
        <w:rPr>
          <w:sz w:val="22"/>
          <w:szCs w:val="22"/>
        </w:rPr>
        <w:t>σε σχέση με το ΑΕΠ της, με ενδεικτικούς τομείς δράσης τη στήριξη μικρομεσαίων επιχειρήσεων, την ψηφιακή οικ</w:t>
      </w:r>
      <w:r w:rsidRPr="00171811">
        <w:rPr>
          <w:sz w:val="22"/>
          <w:szCs w:val="22"/>
        </w:rPr>
        <w:t>ο</w:t>
      </w:r>
      <w:r w:rsidRPr="00171811">
        <w:rPr>
          <w:sz w:val="22"/>
          <w:szCs w:val="22"/>
        </w:rPr>
        <w:t>νομία, τη βιώσιμη γεωργία και τις ανανεώσιμες πηγές ενέργειας.</w:t>
      </w:r>
    </w:p>
    <w:p w:rsidR="00AB1CFE" w:rsidRDefault="00AB1CFE" w:rsidP="00780119">
      <w:pPr>
        <w:pStyle w:val="10"/>
        <w:jc w:val="both"/>
        <w:rPr>
          <w:sz w:val="22"/>
          <w:szCs w:val="22"/>
        </w:rPr>
      </w:pPr>
    </w:p>
    <w:p w:rsidR="00AB1CFE" w:rsidRDefault="00171811" w:rsidP="00780119">
      <w:pPr>
        <w:pStyle w:val="a0"/>
        <w:tabs>
          <w:tab w:val="left" w:pos="426"/>
        </w:tabs>
        <w:ind w:right="-2"/>
      </w:pPr>
      <w:r w:rsidRPr="008306A7">
        <w:t>Η πιστοληπτική ικανότητα της ελληνικής οικονομίας έχει τύχει δύο γύρων αναβαθμίσεων μέσα στο 2018, οι οποίες συναρτώνται με την ομαλή υλοποίηση του Προγράμματος στήριξης. Ο πιο πρόσφατος εξ αυτών, από τους οίκους αξιολόγησης Standard &amp; Poor's (σε Β+, με αρχικώς σταθερή και κατόπιν θετική προοπτική), Fitch (σε ΒΒ- σταθερή), DBRS (σε Β υψηλή) και R&amp;I (σε B σταθερή) ακολούθ</w:t>
      </w:r>
      <w:r w:rsidRPr="008306A7">
        <w:t>η</w:t>
      </w:r>
      <w:r w:rsidRPr="008306A7">
        <w:t>σε την ολοκλήρωση της τελευταίας αξιολόγησης του Προγράμματος, τον Ιούνιο 2018. Προηγουμ</w:t>
      </w:r>
      <w:r w:rsidRPr="008306A7">
        <w:t>έ</w:t>
      </w:r>
      <w:r w:rsidRPr="008306A7">
        <w:t>νως, ο κύκλος αναβαθμίσεων Ιανουαρίου-Φεβρουαρίου 2018 από τους οίκους Standard &amp; Poor's (σε B), Fitch (σε B) και Moody's (σε B3), είχαν βοηθήσει στην εξομάλυνση της καμπύλης αποδόσεων των ελληνικών ομολόγων.</w:t>
      </w:r>
    </w:p>
    <w:p w:rsidR="00AB1CFE" w:rsidRDefault="00AB1CFE" w:rsidP="00780119">
      <w:pPr>
        <w:pStyle w:val="a0"/>
        <w:tabs>
          <w:tab w:val="left" w:pos="426"/>
        </w:tabs>
        <w:ind w:right="-2"/>
      </w:pPr>
    </w:p>
    <w:p w:rsidR="00AB1CFE" w:rsidRDefault="00171811" w:rsidP="00780119">
      <w:pPr>
        <w:pStyle w:val="a0"/>
        <w:tabs>
          <w:tab w:val="left" w:pos="426"/>
        </w:tabs>
        <w:ind w:right="-2"/>
      </w:pPr>
      <w:r w:rsidRPr="008306A7">
        <w:t>Συγκεκριμένα, τον Ιανουάριο του 2018 η απόδοση των δεκαετών κρατικών ομολόγων βρέθηκε στο 3,65%, το χαμηλότερο από το Δεκέμβριο του 2005, περιορίζοντας το χάσμα με τις αντίστοιχες απ</w:t>
      </w:r>
      <w:r w:rsidRPr="008306A7">
        <w:t>ο</w:t>
      </w:r>
      <w:r w:rsidRPr="008306A7">
        <w:t>δόσεις τ</w:t>
      </w:r>
      <w:r w:rsidR="00B92CE7">
        <w:t>ων ι</w:t>
      </w:r>
      <w:r w:rsidRPr="008306A7">
        <w:t>σπαν</w:t>
      </w:r>
      <w:r w:rsidR="00B92CE7">
        <w:t xml:space="preserve">ικών </w:t>
      </w:r>
      <w:r w:rsidRPr="008306A7">
        <w:t xml:space="preserve">και </w:t>
      </w:r>
      <w:r w:rsidR="00B92CE7">
        <w:t>πορτογαλικών ομολόγων</w:t>
      </w:r>
      <w:r w:rsidRPr="008306A7">
        <w:t>. Ωστόσο, έκτοτε η διατάραξη της πολιτικής στ</w:t>
      </w:r>
      <w:r w:rsidRPr="008306A7">
        <w:t>α</w:t>
      </w:r>
      <w:r w:rsidRPr="008306A7">
        <w:t xml:space="preserve">θερότητας σε κράτη-μέλη </w:t>
      </w:r>
      <w:r w:rsidR="00C410A5">
        <w:t xml:space="preserve">της Ευρωζώνης </w:t>
      </w:r>
      <w:r w:rsidRPr="008306A7">
        <w:t>και η πρόσφατη οικονομική διαταραχή στην Τουρκία, πρ</w:t>
      </w:r>
      <w:r w:rsidRPr="008306A7">
        <w:t>ο</w:t>
      </w:r>
      <w:r w:rsidRPr="008306A7">
        <w:t>κάλεσαν αύξηση της αβεβαιότητας στις αγορές κεφαλαίου, περιορίζοντας τη βελτίωση της ελληνικής καμπύλης αποδόσεων. Το γεγονός αυτό υποδηλώνει τη βαθμιαία μετατόπιση των παραγόντων κινδ</w:t>
      </w:r>
      <w:r w:rsidRPr="008306A7">
        <w:t>ύ</w:t>
      </w:r>
      <w:r w:rsidRPr="008306A7">
        <w:t>νου για την ελληνική οικονομία από το εσωτερικό στο εξωτερικό περιβάλλον.</w:t>
      </w:r>
    </w:p>
    <w:p w:rsidR="00AB1CFE" w:rsidRDefault="00AB1CFE" w:rsidP="00780119">
      <w:pPr>
        <w:jc w:val="both"/>
        <w:rPr>
          <w:sz w:val="22"/>
          <w:szCs w:val="22"/>
        </w:rPr>
      </w:pPr>
    </w:p>
    <w:p w:rsidR="00AB1CFE" w:rsidRDefault="00171811" w:rsidP="00780119">
      <w:pPr>
        <w:jc w:val="both"/>
        <w:rPr>
          <w:sz w:val="22"/>
          <w:szCs w:val="22"/>
        </w:rPr>
      </w:pPr>
      <w:r w:rsidRPr="008306A7">
        <w:rPr>
          <w:sz w:val="22"/>
          <w:szCs w:val="22"/>
        </w:rPr>
        <w:t xml:space="preserve">Προκειμένου να διασφαλιστεί η </w:t>
      </w:r>
      <w:r w:rsidR="00B92CE7">
        <w:rPr>
          <w:sz w:val="22"/>
          <w:szCs w:val="22"/>
        </w:rPr>
        <w:t xml:space="preserve">διατήρηση </w:t>
      </w:r>
      <w:r w:rsidRPr="008306A7">
        <w:rPr>
          <w:sz w:val="22"/>
          <w:szCs w:val="22"/>
        </w:rPr>
        <w:t>των αποτελεσμάτων του τρίτου Προγράμματος</w:t>
      </w:r>
      <w:r w:rsidR="00B92CE7">
        <w:rPr>
          <w:sz w:val="22"/>
          <w:szCs w:val="22"/>
        </w:rPr>
        <w:t>,</w:t>
      </w:r>
      <w:r w:rsidRPr="008306A7">
        <w:rPr>
          <w:sz w:val="22"/>
          <w:szCs w:val="22"/>
        </w:rPr>
        <w:t xml:space="preserve"> η συμφ</w:t>
      </w:r>
      <w:r w:rsidRPr="008306A7">
        <w:rPr>
          <w:sz w:val="22"/>
          <w:szCs w:val="22"/>
        </w:rPr>
        <w:t>ω</w:t>
      </w:r>
      <w:r w:rsidRPr="008306A7">
        <w:rPr>
          <w:sz w:val="22"/>
          <w:szCs w:val="22"/>
        </w:rPr>
        <w:t>νία της Ευρωομάδας την 22</w:t>
      </w:r>
      <w:r w:rsidRPr="008306A7">
        <w:rPr>
          <w:sz w:val="22"/>
          <w:szCs w:val="22"/>
          <w:vertAlign w:val="superscript"/>
        </w:rPr>
        <w:t>η</w:t>
      </w:r>
      <w:r w:rsidRPr="008306A7">
        <w:rPr>
          <w:sz w:val="22"/>
          <w:szCs w:val="22"/>
        </w:rPr>
        <w:t xml:space="preserve"> Ιουνίου 2018 περιέλαβε, πέραν της δέσμης μεσοπρόθεσμων μέτρων για την ελάφρυνση του δημόσιου χρέους, και μία </w:t>
      </w:r>
      <w:r w:rsidR="00CD76AC">
        <w:rPr>
          <w:sz w:val="22"/>
          <w:szCs w:val="22"/>
        </w:rPr>
        <w:t xml:space="preserve">σειρά </w:t>
      </w:r>
      <w:r w:rsidRPr="008306A7">
        <w:rPr>
          <w:sz w:val="22"/>
          <w:szCs w:val="22"/>
        </w:rPr>
        <w:t>δεσμεύσεων που απορρέουν από το δημοσιονομ</w:t>
      </w:r>
      <w:r w:rsidRPr="008306A7">
        <w:rPr>
          <w:sz w:val="22"/>
          <w:szCs w:val="22"/>
        </w:rPr>
        <w:t>ι</w:t>
      </w:r>
      <w:r w:rsidRPr="008306A7">
        <w:rPr>
          <w:sz w:val="22"/>
          <w:szCs w:val="22"/>
        </w:rPr>
        <w:t xml:space="preserve">κό πλαίσιο της ΕΕ και από το τρίτο Πρόγραμμα. Αυτές οι δεσμεύσεις αφορούν τη στοχοθεσία ετήσιου </w:t>
      </w:r>
      <w:r w:rsidRPr="008306A7">
        <w:rPr>
          <w:sz w:val="22"/>
          <w:szCs w:val="22"/>
        </w:rPr>
        <w:lastRenderedPageBreak/>
        <w:t xml:space="preserve">πρωτογενούς πλεονάσματος 3,5% του ΑΕΠ έως το 2022 και μέσου ετήσιου πλεονάσματος 2,2% του ΑΕΠ μεταξύ 2023 και 2060, </w:t>
      </w:r>
      <w:r w:rsidR="00B92CE7">
        <w:rPr>
          <w:sz w:val="22"/>
          <w:szCs w:val="22"/>
        </w:rPr>
        <w:t xml:space="preserve">καθώς </w:t>
      </w:r>
      <w:r w:rsidRPr="008306A7">
        <w:rPr>
          <w:sz w:val="22"/>
          <w:szCs w:val="22"/>
        </w:rPr>
        <w:t>και τη</w:t>
      </w:r>
      <w:r w:rsidR="009E10F4">
        <w:rPr>
          <w:sz w:val="22"/>
          <w:szCs w:val="22"/>
        </w:rPr>
        <w:t>ν</w:t>
      </w:r>
      <w:r w:rsidRPr="008306A7">
        <w:rPr>
          <w:sz w:val="22"/>
          <w:szCs w:val="22"/>
        </w:rPr>
        <w:t xml:space="preserve"> </w:t>
      </w:r>
      <w:r w:rsidR="009E10F4">
        <w:rPr>
          <w:sz w:val="22"/>
          <w:szCs w:val="22"/>
        </w:rPr>
        <w:t xml:space="preserve">ολοκλήρωση </w:t>
      </w:r>
      <w:r w:rsidRPr="008306A7">
        <w:rPr>
          <w:sz w:val="22"/>
          <w:szCs w:val="22"/>
        </w:rPr>
        <w:t>των μεταρρυθμίσεων του Προγράμματος</w:t>
      </w:r>
      <w:r w:rsidRPr="008306A7">
        <w:rPr>
          <w:rStyle w:val="a9"/>
          <w:sz w:val="22"/>
          <w:szCs w:val="22"/>
        </w:rPr>
        <w:footnoteReference w:id="14"/>
      </w:r>
      <w:r w:rsidRPr="008306A7">
        <w:rPr>
          <w:sz w:val="22"/>
          <w:szCs w:val="22"/>
        </w:rPr>
        <w:t xml:space="preserve">. </w:t>
      </w:r>
    </w:p>
    <w:p w:rsidR="00B92CE7" w:rsidRDefault="00B92CE7" w:rsidP="00780119">
      <w:pPr>
        <w:jc w:val="both"/>
        <w:rPr>
          <w:sz w:val="22"/>
          <w:szCs w:val="22"/>
        </w:rPr>
      </w:pPr>
    </w:p>
    <w:p w:rsidR="00AB1CFE" w:rsidRDefault="00CD76AC" w:rsidP="00780119">
      <w:pPr>
        <w:ind w:right="-58"/>
        <w:jc w:val="both"/>
        <w:rPr>
          <w:sz w:val="22"/>
          <w:szCs w:val="22"/>
        </w:rPr>
      </w:pPr>
      <w:r>
        <w:rPr>
          <w:sz w:val="22"/>
          <w:szCs w:val="22"/>
        </w:rPr>
        <w:t>Η</w:t>
      </w:r>
      <w:r w:rsidR="00171811" w:rsidRPr="008306A7">
        <w:rPr>
          <w:sz w:val="22"/>
          <w:szCs w:val="22"/>
        </w:rPr>
        <w:t xml:space="preserve"> ελληνική οικονομία βρίσκεται </w:t>
      </w:r>
      <w:r w:rsidR="00794063">
        <w:rPr>
          <w:sz w:val="22"/>
          <w:szCs w:val="22"/>
        </w:rPr>
        <w:t xml:space="preserve">εν </w:t>
      </w:r>
      <w:r w:rsidR="00171811" w:rsidRPr="008306A7">
        <w:rPr>
          <w:sz w:val="22"/>
          <w:szCs w:val="22"/>
        </w:rPr>
        <w:t>μέσ</w:t>
      </w:r>
      <w:r w:rsidR="00794063">
        <w:rPr>
          <w:sz w:val="22"/>
          <w:szCs w:val="22"/>
        </w:rPr>
        <w:t>ω</w:t>
      </w:r>
      <w:r w:rsidR="00171811" w:rsidRPr="008306A7">
        <w:rPr>
          <w:sz w:val="22"/>
          <w:szCs w:val="22"/>
        </w:rPr>
        <w:t xml:space="preserve"> μετάβασης, η οποία διενεργείται κάτω από ευνοϊκές προ</w:t>
      </w:r>
      <w:r w:rsidR="00171811" w:rsidRPr="008306A7">
        <w:rPr>
          <w:sz w:val="22"/>
          <w:szCs w:val="22"/>
        </w:rPr>
        <w:t>ϋ</w:t>
      </w:r>
      <w:r w:rsidR="00171811" w:rsidRPr="008306A7">
        <w:rPr>
          <w:sz w:val="22"/>
          <w:szCs w:val="22"/>
        </w:rPr>
        <w:t xml:space="preserve">ποθέσεις σε όρους </w:t>
      </w:r>
      <w:r w:rsidR="00514229">
        <w:rPr>
          <w:sz w:val="22"/>
          <w:szCs w:val="22"/>
        </w:rPr>
        <w:t>εγχώριας οικονομικής συγκυρίας, αλλά εν μέσω διεθνών δυσμενών εξελίξεων.</w:t>
      </w:r>
      <w:r w:rsidR="00171811" w:rsidRPr="008306A7">
        <w:rPr>
          <w:sz w:val="22"/>
          <w:szCs w:val="22"/>
        </w:rPr>
        <w:t xml:space="preserve"> Οι θετικές προοπτικές που προκύπτουν για την ανάπτυξη στηρίζονται:</w:t>
      </w:r>
    </w:p>
    <w:p w:rsidR="00AB1CFE" w:rsidRDefault="00AB1CFE" w:rsidP="00780119">
      <w:pPr>
        <w:ind w:right="-58"/>
        <w:jc w:val="both"/>
        <w:rPr>
          <w:sz w:val="22"/>
          <w:szCs w:val="22"/>
        </w:rPr>
      </w:pPr>
    </w:p>
    <w:p w:rsidR="00AB1CFE" w:rsidRDefault="00171811" w:rsidP="00780119">
      <w:pPr>
        <w:pStyle w:val="af2"/>
        <w:numPr>
          <w:ilvl w:val="0"/>
          <w:numId w:val="4"/>
        </w:numPr>
        <w:spacing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 xml:space="preserve">στη δέσμευση για συνέχιση των μεταρρυθμίσεων του Προγράμματος μέσω του ΕΜΣ, </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στην εφαρμογή των μεσοπρόθεσμων μέτρων ελάφρυνσης του δημόσιου χρέους,</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 xml:space="preserve">στην εδραίωση του κλίματος εμπιστοσύνης και οικονομικής σταθερότητας, </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στ</w:t>
      </w:r>
      <w:r w:rsidR="00CD76AC">
        <w:rPr>
          <w:rFonts w:ascii="Times New Roman" w:eastAsia="SimSun" w:hAnsi="Times New Roman" w:cs="Mangal"/>
          <w:kern w:val="1"/>
          <w:lang w:eastAsia="hi-IN" w:bidi="hi-IN"/>
        </w:rPr>
        <w:t>α</w:t>
      </w:r>
      <w:r w:rsidRPr="008306A7">
        <w:rPr>
          <w:rFonts w:ascii="Times New Roman" w:eastAsia="SimSun" w:hAnsi="Times New Roman" w:cs="Mangal"/>
          <w:kern w:val="1"/>
          <w:lang w:eastAsia="hi-IN" w:bidi="hi-IN"/>
        </w:rPr>
        <w:t xml:space="preserve"> ταμειακ</w:t>
      </w:r>
      <w:r w:rsidR="00CD76AC">
        <w:rPr>
          <w:rFonts w:ascii="Times New Roman" w:eastAsia="SimSun" w:hAnsi="Times New Roman" w:cs="Mangal"/>
          <w:kern w:val="1"/>
          <w:lang w:eastAsia="hi-IN" w:bidi="hi-IN"/>
        </w:rPr>
        <w:t>ά</w:t>
      </w:r>
      <w:r w:rsidRPr="008306A7">
        <w:rPr>
          <w:rFonts w:ascii="Times New Roman" w:eastAsia="SimSun" w:hAnsi="Times New Roman" w:cs="Mangal"/>
          <w:kern w:val="1"/>
          <w:lang w:eastAsia="hi-IN" w:bidi="hi-IN"/>
        </w:rPr>
        <w:t xml:space="preserve"> </w:t>
      </w:r>
      <w:r w:rsidR="00CD76AC">
        <w:rPr>
          <w:rFonts w:ascii="Times New Roman" w:eastAsia="SimSun" w:hAnsi="Times New Roman" w:cs="Mangal"/>
          <w:kern w:val="1"/>
          <w:lang w:eastAsia="hi-IN" w:bidi="hi-IN"/>
        </w:rPr>
        <w:t xml:space="preserve">διαθέσιμα </w:t>
      </w:r>
      <w:r w:rsidRPr="008306A7">
        <w:rPr>
          <w:rFonts w:ascii="Times New Roman" w:eastAsia="SimSun" w:hAnsi="Times New Roman" w:cs="Mangal"/>
          <w:kern w:val="1"/>
          <w:lang w:eastAsia="hi-IN" w:bidi="hi-IN"/>
        </w:rPr>
        <w:t>ασφαλείας, που διευκολύν</w:t>
      </w:r>
      <w:r w:rsidR="00CD76AC">
        <w:rPr>
          <w:rFonts w:ascii="Times New Roman" w:eastAsia="SimSun" w:hAnsi="Times New Roman" w:cs="Mangal"/>
          <w:kern w:val="1"/>
          <w:lang w:eastAsia="hi-IN" w:bidi="hi-IN"/>
        </w:rPr>
        <w:t>ουν</w:t>
      </w:r>
      <w:r w:rsidRPr="008306A7">
        <w:rPr>
          <w:rFonts w:ascii="Times New Roman" w:eastAsia="SimSun" w:hAnsi="Times New Roman" w:cs="Mangal"/>
          <w:kern w:val="1"/>
          <w:lang w:eastAsia="hi-IN" w:bidi="hi-IN"/>
        </w:rPr>
        <w:t xml:space="preserve"> την ομαλή μετάβαση σε χρηματοδότηση μέσω των αγορών κεφαλαίου,</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 xml:space="preserve">στη σταδιακή εξομάλυνση της καμπύλης αποδόσεων των ελληνικών ομολόγων, </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 xml:space="preserve">στην περαιτέρω βελτίωση της χρηματοπιστωτικής </w:t>
      </w:r>
      <w:r w:rsidR="00B92CE7">
        <w:rPr>
          <w:rFonts w:ascii="Times New Roman" w:eastAsia="SimSun" w:hAnsi="Times New Roman" w:cs="Mangal"/>
          <w:kern w:val="1"/>
          <w:lang w:eastAsia="hi-IN" w:bidi="hi-IN"/>
        </w:rPr>
        <w:t xml:space="preserve">σταθερότητας </w:t>
      </w:r>
      <w:r w:rsidRPr="008306A7">
        <w:rPr>
          <w:rFonts w:ascii="Times New Roman" w:eastAsia="SimSun" w:hAnsi="Times New Roman" w:cs="Mangal"/>
          <w:kern w:val="1"/>
          <w:lang w:eastAsia="hi-IN" w:bidi="hi-IN"/>
        </w:rPr>
        <w:t>και της ρευστότητας στην οικ</w:t>
      </w:r>
      <w:r w:rsidRPr="008306A7">
        <w:rPr>
          <w:rFonts w:ascii="Times New Roman" w:eastAsia="SimSun" w:hAnsi="Times New Roman" w:cs="Mangal"/>
          <w:kern w:val="1"/>
          <w:lang w:eastAsia="hi-IN" w:bidi="hi-IN"/>
        </w:rPr>
        <w:t>ο</w:t>
      </w:r>
      <w:r w:rsidRPr="008306A7">
        <w:rPr>
          <w:rFonts w:ascii="Times New Roman" w:eastAsia="SimSun" w:hAnsi="Times New Roman" w:cs="Mangal"/>
          <w:kern w:val="1"/>
          <w:lang w:eastAsia="hi-IN" w:bidi="hi-IN"/>
        </w:rPr>
        <w:t>νομία, σύμφωνα με τους στόχους του Προγράμματος του ΕΜΣ</w:t>
      </w:r>
      <w:r w:rsidRPr="008306A7">
        <w:rPr>
          <w:rStyle w:val="a9"/>
          <w:rFonts w:ascii="Times New Roman" w:eastAsia="SimSun" w:hAnsi="Times New Roman" w:cs="Mangal"/>
          <w:kern w:val="1"/>
          <w:lang w:eastAsia="hi-IN" w:bidi="hi-IN"/>
        </w:rPr>
        <w:t xml:space="preserve"> </w:t>
      </w:r>
      <w:r w:rsidRPr="008306A7">
        <w:rPr>
          <w:rStyle w:val="a9"/>
          <w:rFonts w:ascii="Times New Roman" w:eastAsia="SimSun" w:hAnsi="Times New Roman" w:cs="Mangal"/>
          <w:kern w:val="1"/>
          <w:lang w:eastAsia="hi-IN" w:bidi="hi-IN"/>
        </w:rPr>
        <w:footnoteReference w:id="15"/>
      </w:r>
      <w:r w:rsidRPr="008306A7">
        <w:rPr>
          <w:rFonts w:ascii="Times New Roman" w:eastAsia="SimSun" w:hAnsi="Times New Roman" w:cs="Mangal"/>
          <w:kern w:val="1"/>
          <w:lang w:eastAsia="hi-IN" w:bidi="hi-IN"/>
        </w:rPr>
        <w:t>,</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στη γενικά ευνοϊκή συγκυρία στο εξωτερικό οικονομικό περιβάλλον, παρά</w:t>
      </w:r>
      <w:r w:rsidR="00357716">
        <w:rPr>
          <w:rFonts w:ascii="Times New Roman" w:eastAsia="SimSun" w:hAnsi="Times New Roman" w:cs="Mangal"/>
          <w:kern w:val="1"/>
          <w:lang w:eastAsia="hi-IN" w:bidi="hi-IN"/>
        </w:rPr>
        <w:t xml:space="preserve"> </w:t>
      </w:r>
      <w:r w:rsidRPr="008306A7">
        <w:rPr>
          <w:rFonts w:ascii="Times New Roman" w:eastAsia="SimSun" w:hAnsi="Times New Roman" w:cs="Mangal"/>
          <w:kern w:val="1"/>
          <w:lang w:eastAsia="hi-IN" w:bidi="hi-IN"/>
        </w:rPr>
        <w:t>τους υπολογίσιμους παράγοντες κινδύνου που ενέχει,</w:t>
      </w:r>
    </w:p>
    <w:p w:rsidR="00171811" w:rsidRPr="008306A7" w:rsidRDefault="00171811" w:rsidP="00780119">
      <w:pPr>
        <w:pStyle w:val="af2"/>
        <w:numPr>
          <w:ilvl w:val="0"/>
          <w:numId w:val="4"/>
        </w:numPr>
        <w:spacing w:before="120" w:after="0" w:line="240" w:lineRule="auto"/>
        <w:ind w:right="-58"/>
        <w:jc w:val="both"/>
        <w:rPr>
          <w:rFonts w:ascii="Times New Roman" w:eastAsia="SimSun" w:hAnsi="Times New Roman" w:cs="Mangal"/>
          <w:kern w:val="1"/>
          <w:lang w:eastAsia="hi-IN" w:bidi="hi-IN"/>
        </w:rPr>
      </w:pPr>
      <w:r w:rsidRPr="008306A7">
        <w:rPr>
          <w:rFonts w:ascii="Times New Roman" w:eastAsia="SimSun" w:hAnsi="Times New Roman" w:cs="Mangal"/>
          <w:kern w:val="1"/>
          <w:lang w:eastAsia="hi-IN" w:bidi="hi-IN"/>
        </w:rPr>
        <w:t xml:space="preserve">στην υλοποίηση της μεσοπρόθεσμης, ολιστικής στρατηγικής για την ανάπτυξη. </w:t>
      </w:r>
    </w:p>
    <w:p w:rsidR="00AB1CFE" w:rsidRDefault="00AB1CFE" w:rsidP="00780119">
      <w:pPr>
        <w:ind w:right="-58"/>
        <w:jc w:val="both"/>
        <w:rPr>
          <w:sz w:val="22"/>
          <w:szCs w:val="22"/>
        </w:rPr>
      </w:pPr>
    </w:p>
    <w:p w:rsidR="00AB1CFE" w:rsidRDefault="00171811" w:rsidP="00780119">
      <w:pPr>
        <w:ind w:right="-58"/>
        <w:jc w:val="both"/>
        <w:rPr>
          <w:sz w:val="22"/>
          <w:szCs w:val="22"/>
        </w:rPr>
      </w:pPr>
      <w:r w:rsidRPr="008306A7">
        <w:rPr>
          <w:sz w:val="22"/>
          <w:szCs w:val="22"/>
        </w:rPr>
        <w:t>Στη βάση της τελευταίας, έχουν εξειδικευτεί οι δράσεις για την αντιστροφή της αποβιομηχάνισης της Ελλάδας και την αποκατάσταση της παραγωγικότητας και της ανταγωνιστικότητας. Το ολιστικό στρ</w:t>
      </w:r>
      <w:r w:rsidRPr="008306A7">
        <w:rPr>
          <w:sz w:val="22"/>
          <w:szCs w:val="22"/>
        </w:rPr>
        <w:t>α</w:t>
      </w:r>
      <w:r w:rsidRPr="008306A7">
        <w:rPr>
          <w:sz w:val="22"/>
          <w:szCs w:val="22"/>
        </w:rPr>
        <w:t>τηγικό σχέδιο ανάπτυξης, που παρουσιάστηκε από τις ελληνικές αρχές τον Μάιο του 2018, ακολουθεί τα πρότυπα σχεδιασμού των Στόχων Βιώσιμης Ανάπτυξης του ΟΗΕ και καταδεικνύει τον σταθερό μ</w:t>
      </w:r>
      <w:r w:rsidRPr="008306A7">
        <w:rPr>
          <w:sz w:val="22"/>
          <w:szCs w:val="22"/>
        </w:rPr>
        <w:t>ε</w:t>
      </w:r>
      <w:r w:rsidRPr="008306A7">
        <w:rPr>
          <w:sz w:val="22"/>
          <w:szCs w:val="22"/>
        </w:rPr>
        <w:t>ταρρυθμιστικό προσανατολισμό και πέραν του Προγράμματος, με ένα βασικό σύνολο δράσεων έως το 2022 σε πέντε πυλώνες πολιτικής:</w:t>
      </w:r>
    </w:p>
    <w:p w:rsidR="00AB1CFE" w:rsidRDefault="00AB1CFE" w:rsidP="00780119">
      <w:pPr>
        <w:ind w:right="-58"/>
        <w:jc w:val="both"/>
        <w:rPr>
          <w:sz w:val="22"/>
          <w:szCs w:val="22"/>
        </w:rPr>
      </w:pPr>
    </w:p>
    <w:p w:rsidR="00AB1CFE" w:rsidRDefault="00171811" w:rsidP="00780119">
      <w:pPr>
        <w:pStyle w:val="af2"/>
        <w:widowControl w:val="0"/>
        <w:numPr>
          <w:ilvl w:val="0"/>
          <w:numId w:val="5"/>
        </w:numPr>
        <w:spacing w:after="0" w:line="240" w:lineRule="auto"/>
        <w:ind w:right="-57"/>
        <w:jc w:val="both"/>
        <w:rPr>
          <w:rFonts w:ascii="Times New Roman" w:hAnsi="Times New Roman"/>
        </w:rPr>
      </w:pPr>
      <w:r w:rsidRPr="008306A7">
        <w:rPr>
          <w:rFonts w:ascii="Times New Roman" w:hAnsi="Times New Roman"/>
          <w:i/>
        </w:rPr>
        <w:t>δημοσιονομική βιωσιμότητα</w:t>
      </w:r>
      <w:r w:rsidR="00B92CE7">
        <w:rPr>
          <w:rFonts w:ascii="Times New Roman" w:hAnsi="Times New Roman"/>
          <w:i/>
        </w:rPr>
        <w:t xml:space="preserve">: </w:t>
      </w:r>
      <w:r w:rsidRPr="008306A7">
        <w:rPr>
          <w:rFonts w:ascii="Times New Roman" w:hAnsi="Times New Roman"/>
        </w:rPr>
        <w:t>μεταρρύθμιση του δημοσιονομικού πλαισίου, εξασφάλιση βιωσιμ</w:t>
      </w:r>
      <w:r w:rsidRPr="008306A7">
        <w:rPr>
          <w:rFonts w:ascii="Times New Roman" w:hAnsi="Times New Roman"/>
        </w:rPr>
        <w:t>ό</w:t>
      </w:r>
      <w:r w:rsidRPr="008306A7">
        <w:rPr>
          <w:rFonts w:ascii="Times New Roman" w:hAnsi="Times New Roman"/>
        </w:rPr>
        <w:t>τητας του δημοσίου χρέους, ενίσχυση της αποτελεσματικότητας του φορολογικού συστήματος,</w:t>
      </w:r>
    </w:p>
    <w:p w:rsidR="00171811" w:rsidRPr="008306A7" w:rsidRDefault="00171811" w:rsidP="00780119">
      <w:pPr>
        <w:pStyle w:val="af2"/>
        <w:widowControl w:val="0"/>
        <w:numPr>
          <w:ilvl w:val="0"/>
          <w:numId w:val="5"/>
        </w:numPr>
        <w:spacing w:before="120" w:after="120" w:line="240" w:lineRule="auto"/>
        <w:ind w:right="-57"/>
        <w:jc w:val="both"/>
        <w:rPr>
          <w:rFonts w:ascii="Times New Roman" w:hAnsi="Times New Roman"/>
        </w:rPr>
      </w:pPr>
      <w:r w:rsidRPr="008306A7">
        <w:rPr>
          <w:rFonts w:ascii="Times New Roman" w:hAnsi="Times New Roman"/>
          <w:i/>
        </w:rPr>
        <w:t>βιώσιμη ανάπτυξη</w:t>
      </w:r>
      <w:r w:rsidR="00B92CE7">
        <w:rPr>
          <w:rFonts w:ascii="Times New Roman" w:hAnsi="Times New Roman"/>
          <w:i/>
        </w:rPr>
        <w:t xml:space="preserve">: </w:t>
      </w:r>
      <w:r w:rsidRPr="008306A7">
        <w:rPr>
          <w:rFonts w:ascii="Times New Roman" w:hAnsi="Times New Roman"/>
        </w:rPr>
        <w:t>προσέλκυση άμεσων ξένων επενδύσεων, στήριξη του ανθρώπινου κεφαλαίου και των δικαιωμάτων των εργαζομένων, ψηφιοποίηση του δημόσιου τομέα, ενίσχυση της εξω</w:t>
      </w:r>
      <w:r w:rsidRPr="008306A7">
        <w:rPr>
          <w:rFonts w:ascii="Times New Roman" w:hAnsi="Times New Roman"/>
        </w:rPr>
        <w:t>σ</w:t>
      </w:r>
      <w:r w:rsidRPr="008306A7">
        <w:rPr>
          <w:rFonts w:ascii="Times New Roman" w:hAnsi="Times New Roman"/>
        </w:rPr>
        <w:t>τρέφειας με επίκεντρο -μεταξύ άλλων- τους κλάδους του τουρισμού, της αγροδιατροφής, της ενέ</w:t>
      </w:r>
      <w:r w:rsidRPr="008306A7">
        <w:rPr>
          <w:rFonts w:ascii="Times New Roman" w:hAnsi="Times New Roman"/>
        </w:rPr>
        <w:t>ρ</w:t>
      </w:r>
      <w:r w:rsidRPr="008306A7">
        <w:rPr>
          <w:rFonts w:ascii="Times New Roman" w:hAnsi="Times New Roman"/>
        </w:rPr>
        <w:t>γειας και της ναυτιλίας,</w:t>
      </w:r>
    </w:p>
    <w:p w:rsidR="00171811" w:rsidRPr="008306A7" w:rsidRDefault="00171811" w:rsidP="00780119">
      <w:pPr>
        <w:pStyle w:val="af2"/>
        <w:widowControl w:val="0"/>
        <w:numPr>
          <w:ilvl w:val="0"/>
          <w:numId w:val="5"/>
        </w:numPr>
        <w:spacing w:before="120" w:after="120" w:line="240" w:lineRule="auto"/>
        <w:ind w:right="-57"/>
        <w:jc w:val="both"/>
        <w:rPr>
          <w:rFonts w:ascii="Times New Roman" w:hAnsi="Times New Roman"/>
        </w:rPr>
      </w:pPr>
      <w:r w:rsidRPr="008306A7">
        <w:rPr>
          <w:rFonts w:ascii="Times New Roman" w:hAnsi="Times New Roman"/>
          <w:i/>
        </w:rPr>
        <w:t>διαρθρωτικές συνθήκες</w:t>
      </w:r>
      <w:r w:rsidR="00B92CE7">
        <w:rPr>
          <w:rFonts w:ascii="Times New Roman" w:hAnsi="Times New Roman"/>
          <w:i/>
        </w:rPr>
        <w:t xml:space="preserve">: </w:t>
      </w:r>
      <w:r w:rsidRPr="008306A7">
        <w:rPr>
          <w:rFonts w:ascii="Times New Roman" w:hAnsi="Times New Roman"/>
        </w:rPr>
        <w:t>ανάπτυξη υποδομών και δικτύων στις μεταφορές, την ενέργεια και την πληροφορία, προώθηση της ψηφιακής οικονομίας, διαχείριση της δημόσιας ιδιοκτησίας,</w:t>
      </w:r>
    </w:p>
    <w:p w:rsidR="00171811" w:rsidRPr="008306A7" w:rsidRDefault="00171811" w:rsidP="00780119">
      <w:pPr>
        <w:pStyle w:val="af2"/>
        <w:widowControl w:val="0"/>
        <w:numPr>
          <w:ilvl w:val="0"/>
          <w:numId w:val="5"/>
        </w:numPr>
        <w:spacing w:before="120" w:after="120" w:line="240" w:lineRule="auto"/>
        <w:ind w:right="-57"/>
        <w:jc w:val="both"/>
        <w:rPr>
          <w:rFonts w:ascii="Times New Roman" w:hAnsi="Times New Roman"/>
        </w:rPr>
      </w:pPr>
      <w:r w:rsidRPr="008306A7">
        <w:rPr>
          <w:rFonts w:ascii="Times New Roman" w:hAnsi="Times New Roman"/>
          <w:i/>
        </w:rPr>
        <w:t>ανάπτυξη χωρίς αποκλεισμούς</w:t>
      </w:r>
      <w:r w:rsidR="00B92CE7">
        <w:rPr>
          <w:rFonts w:ascii="Times New Roman" w:hAnsi="Times New Roman"/>
          <w:i/>
        </w:rPr>
        <w:t>:</w:t>
      </w:r>
      <w:r w:rsidRPr="008306A7">
        <w:rPr>
          <w:rFonts w:ascii="Times New Roman" w:hAnsi="Times New Roman"/>
        </w:rPr>
        <w:t xml:space="preserve"> μείωση περιφερειακών ανισοτήτων, υποστήριξη ελληνικών νησ</w:t>
      </w:r>
      <w:r w:rsidRPr="008306A7">
        <w:rPr>
          <w:rFonts w:ascii="Times New Roman" w:hAnsi="Times New Roman"/>
        </w:rPr>
        <w:t>ι</w:t>
      </w:r>
      <w:r w:rsidRPr="008306A7">
        <w:rPr>
          <w:rFonts w:ascii="Times New Roman" w:hAnsi="Times New Roman"/>
        </w:rPr>
        <w:t xml:space="preserve">ών, προώθηση της οικολογίας, της κοινωνικής και της κυκλικής οικονομίας, ανάπτυξη χωρίς </w:t>
      </w:r>
      <w:r w:rsidRPr="008306A7">
        <w:rPr>
          <w:rFonts w:ascii="Times New Roman" w:hAnsi="Times New Roman"/>
        </w:rPr>
        <w:t>α</w:t>
      </w:r>
      <w:r w:rsidRPr="008306A7">
        <w:rPr>
          <w:rFonts w:ascii="Times New Roman" w:hAnsi="Times New Roman"/>
        </w:rPr>
        <w:t>ποκλεισμούς των συστημάτων εκπαίδευσης, της υγειονομικής περίθαλψης και της επαγγελματικής εκπαίδευσης και κατάρτισης, ενίσ</w:t>
      </w:r>
      <w:r>
        <w:rPr>
          <w:rFonts w:ascii="Times New Roman" w:hAnsi="Times New Roman"/>
        </w:rPr>
        <w:t>χυση της κοινωνικής προστασίας,</w:t>
      </w:r>
      <w:r w:rsidRPr="008306A7">
        <w:rPr>
          <w:rFonts w:ascii="Times New Roman" w:hAnsi="Times New Roman"/>
        </w:rPr>
        <w:t xml:space="preserve"> βελτίωση των προοπτικών της </w:t>
      </w:r>
      <w:r w:rsidR="00B92CE7">
        <w:rPr>
          <w:rFonts w:ascii="Times New Roman" w:hAnsi="Times New Roman"/>
        </w:rPr>
        <w:t>ελληνικής νεολαίας</w:t>
      </w:r>
      <w:r w:rsidRPr="008306A7">
        <w:rPr>
          <w:rFonts w:ascii="Times New Roman" w:hAnsi="Times New Roman"/>
        </w:rPr>
        <w:t xml:space="preserve">, </w:t>
      </w:r>
    </w:p>
    <w:p w:rsidR="00171811" w:rsidRPr="008306A7" w:rsidRDefault="00171811" w:rsidP="00780119">
      <w:pPr>
        <w:pStyle w:val="af2"/>
        <w:widowControl w:val="0"/>
        <w:numPr>
          <w:ilvl w:val="0"/>
          <w:numId w:val="5"/>
        </w:numPr>
        <w:spacing w:before="120" w:after="120" w:line="240" w:lineRule="auto"/>
        <w:ind w:right="-57"/>
        <w:jc w:val="both"/>
        <w:rPr>
          <w:rFonts w:ascii="Times New Roman" w:hAnsi="Times New Roman"/>
        </w:rPr>
      </w:pPr>
      <w:r w:rsidRPr="008306A7">
        <w:rPr>
          <w:rFonts w:ascii="Times New Roman" w:hAnsi="Times New Roman"/>
          <w:i/>
        </w:rPr>
        <w:t>χρηματοδότηση της ανάπτυξης</w:t>
      </w:r>
      <w:r w:rsidR="00B92CE7">
        <w:rPr>
          <w:rFonts w:ascii="Times New Roman" w:hAnsi="Times New Roman"/>
          <w:i/>
        </w:rPr>
        <w:t>:</w:t>
      </w:r>
      <w:r w:rsidRPr="008306A7">
        <w:rPr>
          <w:rFonts w:ascii="Times New Roman" w:hAnsi="Times New Roman"/>
        </w:rPr>
        <w:t xml:space="preserve"> όπως μέσω του Προγράμματος Δημοσίων Επενδύσεων, των δια</w:t>
      </w:r>
      <w:r w:rsidRPr="008306A7">
        <w:rPr>
          <w:rFonts w:ascii="Times New Roman" w:hAnsi="Times New Roman"/>
        </w:rPr>
        <w:t>ρ</w:t>
      </w:r>
      <w:r w:rsidRPr="008306A7">
        <w:rPr>
          <w:rFonts w:ascii="Times New Roman" w:hAnsi="Times New Roman"/>
        </w:rPr>
        <w:t>θρωτικών ταμείων της ΕΕ, του Επενδυτικού Σχεδίου για την Ευρώπη, και της ελληνικής αναπτ</w:t>
      </w:r>
      <w:r w:rsidRPr="008306A7">
        <w:rPr>
          <w:rFonts w:ascii="Times New Roman" w:hAnsi="Times New Roman"/>
        </w:rPr>
        <w:t>υ</w:t>
      </w:r>
      <w:r w:rsidRPr="008306A7">
        <w:rPr>
          <w:rFonts w:ascii="Times New Roman" w:hAnsi="Times New Roman"/>
        </w:rPr>
        <w:t>ξιακής τράπεζας.</w:t>
      </w:r>
    </w:p>
    <w:p w:rsidR="00AB1CFE" w:rsidRDefault="00AB1CFE" w:rsidP="00780119">
      <w:pPr>
        <w:pStyle w:val="10"/>
        <w:jc w:val="both"/>
        <w:rPr>
          <w:sz w:val="22"/>
          <w:szCs w:val="22"/>
        </w:rPr>
      </w:pPr>
    </w:p>
    <w:p w:rsidR="003F747A" w:rsidRDefault="003F747A" w:rsidP="00780119">
      <w:pPr>
        <w:pStyle w:val="10"/>
        <w:jc w:val="both"/>
        <w:rPr>
          <w:sz w:val="22"/>
          <w:szCs w:val="22"/>
        </w:rPr>
      </w:pPr>
    </w:p>
    <w:p w:rsidR="00B92CE7" w:rsidRDefault="00B92CE7" w:rsidP="00780119">
      <w:pPr>
        <w:pStyle w:val="10"/>
        <w:jc w:val="both"/>
        <w:rPr>
          <w:sz w:val="22"/>
          <w:szCs w:val="22"/>
        </w:rPr>
      </w:pPr>
    </w:p>
    <w:p w:rsidR="00B92CE7" w:rsidRDefault="00B92CE7" w:rsidP="00780119">
      <w:pPr>
        <w:pStyle w:val="10"/>
        <w:jc w:val="both"/>
        <w:rPr>
          <w:sz w:val="22"/>
          <w:szCs w:val="22"/>
        </w:rPr>
      </w:pPr>
    </w:p>
    <w:p w:rsidR="00B92CE7" w:rsidRDefault="00B92CE7" w:rsidP="00780119">
      <w:pPr>
        <w:pStyle w:val="10"/>
        <w:jc w:val="both"/>
        <w:rPr>
          <w:sz w:val="22"/>
          <w:szCs w:val="22"/>
        </w:rPr>
      </w:pPr>
    </w:p>
    <w:p w:rsidR="00B92CE7" w:rsidRDefault="00B92CE7" w:rsidP="00780119">
      <w:pPr>
        <w:pStyle w:val="10"/>
        <w:jc w:val="both"/>
        <w:rPr>
          <w:sz w:val="22"/>
          <w:szCs w:val="22"/>
        </w:rPr>
      </w:pPr>
    </w:p>
    <w:p w:rsidR="003F747A" w:rsidRDefault="003F747A" w:rsidP="00780119">
      <w:pPr>
        <w:pStyle w:val="10"/>
        <w:jc w:val="both"/>
        <w:rPr>
          <w:sz w:val="22"/>
          <w:szCs w:val="22"/>
        </w:rPr>
      </w:pPr>
    </w:p>
    <w:p w:rsidR="0007493A" w:rsidRDefault="0007493A" w:rsidP="00780119">
      <w:pPr>
        <w:jc w:val="both"/>
        <w:rPr>
          <w:rFonts w:ascii="Arial Narrow" w:hAnsi="Arial Narrow"/>
          <w:b/>
          <w:color w:val="000080"/>
          <w:szCs w:val="22"/>
        </w:rPr>
      </w:pPr>
      <w:r w:rsidRPr="002C2FD1">
        <w:rPr>
          <w:rFonts w:ascii="Arial Narrow" w:hAnsi="Arial Narrow"/>
          <w:b/>
          <w:color w:val="000080"/>
          <w:szCs w:val="22"/>
        </w:rPr>
        <w:t>2.2</w:t>
      </w:r>
      <w:r w:rsidRPr="002C2FD1">
        <w:rPr>
          <w:rFonts w:ascii="Arial Narrow" w:hAnsi="Arial Narrow"/>
          <w:b/>
          <w:color w:val="000080"/>
          <w:szCs w:val="22"/>
        </w:rPr>
        <w:tab/>
      </w:r>
      <w:r>
        <w:rPr>
          <w:rFonts w:ascii="Arial Narrow" w:hAnsi="Arial Narrow"/>
          <w:b/>
          <w:color w:val="000080"/>
          <w:szCs w:val="22"/>
        </w:rPr>
        <w:t>Οι ε</w:t>
      </w:r>
      <w:r w:rsidRPr="001C42B5">
        <w:rPr>
          <w:rFonts w:ascii="Arial Narrow" w:hAnsi="Arial Narrow"/>
          <w:b/>
          <w:color w:val="000080"/>
          <w:szCs w:val="22"/>
        </w:rPr>
        <w:t>ξελίξεις το 201</w:t>
      </w:r>
      <w:r>
        <w:rPr>
          <w:rFonts w:ascii="Arial Narrow" w:hAnsi="Arial Narrow"/>
          <w:b/>
          <w:color w:val="000080"/>
          <w:szCs w:val="22"/>
        </w:rPr>
        <w:t>7</w:t>
      </w:r>
    </w:p>
    <w:p w:rsidR="00AB1CFE" w:rsidRDefault="00AB1CFE" w:rsidP="00780119">
      <w:pPr>
        <w:pStyle w:val="a0"/>
        <w:tabs>
          <w:tab w:val="left" w:pos="426"/>
        </w:tabs>
        <w:ind w:right="-2"/>
      </w:pPr>
    </w:p>
    <w:p w:rsidR="00ED665D" w:rsidRDefault="00ED665D" w:rsidP="00780119">
      <w:pPr>
        <w:pStyle w:val="a0"/>
        <w:ind w:right="-2"/>
      </w:pPr>
      <w:r w:rsidRPr="00ED665D">
        <w:t>Το 2017, η ελληνική οικονομία ανέκαμψε στη βάση των ευνοϊκών εξελίξεων στην ιδιωτική καταν</w:t>
      </w:r>
      <w:r w:rsidRPr="00ED665D">
        <w:t>ά</w:t>
      </w:r>
      <w:r w:rsidRPr="00ED665D">
        <w:t xml:space="preserve">λωση, την εξαγωγική δραστηριότητα, την απασχόληση, το οικονομικό κλίμα και τις επενδύσεις. </w:t>
      </w:r>
    </w:p>
    <w:p w:rsidR="00ED665D" w:rsidRPr="00ED665D" w:rsidRDefault="00ED665D" w:rsidP="00780119">
      <w:pPr>
        <w:pStyle w:val="a0"/>
        <w:ind w:right="-2"/>
      </w:pPr>
    </w:p>
    <w:p w:rsidR="00ED665D" w:rsidRDefault="00ED665D" w:rsidP="00780119">
      <w:pPr>
        <w:pStyle w:val="a0"/>
        <w:ind w:right="-2"/>
      </w:pPr>
      <w:r w:rsidRPr="00ED665D">
        <w:t>Σύμφωνα με τη δεύτερη κοινοποίηση εθνικολογιστικών στοιχείων της Ελληνικής Στατιστικής Αρχής για το 2017</w:t>
      </w:r>
      <w:r w:rsidR="00780119">
        <w:rPr>
          <w:rStyle w:val="a9"/>
        </w:rPr>
        <w:footnoteReference w:id="16"/>
      </w:r>
      <w:r w:rsidRPr="00ED665D">
        <w:t>, το πραγματικό ΑΕΠ αυξήθηκε κατά 1,5% έναντι στασιμότητας το 2016, παραμένοντας σε θετική και επιταχυνόμενη πορεία σε όλα τα τρίμηνα του έτους</w:t>
      </w:r>
      <w:r w:rsidR="00780119">
        <w:rPr>
          <w:rStyle w:val="a9"/>
        </w:rPr>
        <w:footnoteReference w:id="17"/>
      </w:r>
      <w:r w:rsidRPr="00ED665D">
        <w:t xml:space="preserve">. Στο τέταρτο τρίμηνο του 2017, ο ρυθμός πραγματικής ανάπτυξης έφτασε το 2,0% έναντι του αντίστοιχου τριμήνου του 2016, </w:t>
      </w:r>
      <w:r w:rsidR="00B92CE7">
        <w:t>σημει</w:t>
      </w:r>
      <w:r w:rsidR="00B92CE7">
        <w:t>ώ</w:t>
      </w:r>
      <w:r w:rsidR="00B92CE7">
        <w:t xml:space="preserve">νοντας </w:t>
      </w:r>
      <w:r w:rsidRPr="00ED665D">
        <w:t xml:space="preserve">την καλύτερη επίδοση από την αρχή του 2008. </w:t>
      </w:r>
    </w:p>
    <w:p w:rsidR="00ED665D" w:rsidRPr="00ED665D" w:rsidRDefault="00ED665D" w:rsidP="00780119">
      <w:pPr>
        <w:pStyle w:val="a0"/>
        <w:ind w:right="-2"/>
      </w:pPr>
    </w:p>
    <w:p w:rsidR="00ED665D" w:rsidRDefault="00ED665D" w:rsidP="00780119">
      <w:pPr>
        <w:pStyle w:val="a0"/>
      </w:pPr>
      <w:r w:rsidRPr="00ED665D">
        <w:t>Από την πλευρά της παραγωγής, η ακαθάριστη προστιθέμενη αξία στο σύνολο της οικονομίας αυξ</w:t>
      </w:r>
      <w:r w:rsidRPr="00ED665D">
        <w:t>ή</w:t>
      </w:r>
      <w:r w:rsidRPr="00ED665D">
        <w:t>θηκε σε σταθερές τιμές πάνω από τον ρυθμό αύξησης του πραγματικού ΑΕΠ, κατά 2,0%, έναντι υπ</w:t>
      </w:r>
      <w:r w:rsidRPr="00ED665D">
        <w:t>ο</w:t>
      </w:r>
      <w:r w:rsidRPr="00ED665D">
        <w:t>χώρησ</w:t>
      </w:r>
      <w:r w:rsidR="00430F34">
        <w:t>ή</w:t>
      </w:r>
      <w:r w:rsidRPr="00ED665D">
        <w:t>ς της το 2016 κατά 1,0% σε ετήσια βάση. Αυτό οδήγησε σε αύξηση της μέσης παραγωγικότ</w:t>
      </w:r>
      <w:r w:rsidRPr="00ED665D">
        <w:t>η</w:t>
      </w:r>
      <w:r w:rsidRPr="00ED665D">
        <w:t>τας της εργασίας το 2017, κατά 0,5% σε ετήσια βάση, για πρώτη φορά από το 2007.</w:t>
      </w:r>
    </w:p>
    <w:p w:rsidR="00ED665D" w:rsidRPr="00ED665D" w:rsidRDefault="00ED665D" w:rsidP="00780119">
      <w:pPr>
        <w:pStyle w:val="a0"/>
      </w:pPr>
    </w:p>
    <w:p w:rsidR="00ED665D" w:rsidRDefault="00ED665D" w:rsidP="00780119">
      <w:pPr>
        <w:pStyle w:val="a0"/>
      </w:pPr>
      <w:r w:rsidRPr="00ED665D">
        <w:t>Οι επενδύσεις σε εξοπλισμό</w:t>
      </w:r>
      <w:r w:rsidRPr="00ED665D">
        <w:rPr>
          <w:vertAlign w:val="superscript"/>
        </w:rPr>
        <w:footnoteReference w:id="18"/>
      </w:r>
      <w:r w:rsidRPr="00ED665D">
        <w:t xml:space="preserve"> αποτέλεσαν τον κύριο μοχλό της ανάπτυξης το 2017, καθώς η αύξησή του όγκου τους κατά 1,9 δισ. ευρώ (+22,2% σε ετήσια βάση) ώθησε, από κοινού με την αύξηση των επενδύσεων σε κατασκευές πλην κατοικιών (+1,2%), τις συνολικές επενδύσεις σε αύξηση 9,1% ένα</w:t>
      </w:r>
      <w:r w:rsidRPr="00ED665D">
        <w:t>ν</w:t>
      </w:r>
      <w:r w:rsidRPr="00ED665D">
        <w:t xml:space="preserve">τι του 2016. </w:t>
      </w:r>
    </w:p>
    <w:p w:rsidR="00ED665D" w:rsidRPr="00ED665D" w:rsidRDefault="00ED665D" w:rsidP="00780119">
      <w:pPr>
        <w:pStyle w:val="a0"/>
      </w:pPr>
    </w:p>
    <w:p w:rsidR="00ED665D" w:rsidRDefault="00ED665D" w:rsidP="00780119">
      <w:pPr>
        <w:pStyle w:val="a0"/>
      </w:pPr>
      <w:r w:rsidRPr="00ED665D">
        <w:t xml:space="preserve">Ωστόσο, η ως άνω αύξηση ενίσχυσε την ανάκαμψη των εισαγωγών αγαθών (+6,7% το 2017 έναντι +2,9% το 2016 σε βάση </w:t>
      </w:r>
      <w:r w:rsidRPr="00ED665D">
        <w:rPr>
          <w:lang w:val="en-US"/>
        </w:rPr>
        <w:t>fob</w:t>
      </w:r>
      <w:r w:rsidRPr="00ED665D">
        <w:t>), συντελώντας στην αντιστάθμιση της θετικής</w:t>
      </w:r>
      <w:r w:rsidR="00477836">
        <w:rPr>
          <w:rStyle w:val="a9"/>
        </w:rPr>
        <w:footnoteReference w:id="19"/>
      </w:r>
      <w:r w:rsidRPr="00ED665D">
        <w:t xml:space="preserve"> συμβολής στην ανάπτυξη από την αύξηση των εξαγωγών τόσο στα αγαθά (+5,7%) όσο και στις υπηρεσίες (+8,0%). Ως αποτ</w:t>
      </w:r>
      <w:r w:rsidRPr="00ED665D">
        <w:t>έ</w:t>
      </w:r>
      <w:r w:rsidRPr="00ED665D">
        <w:t>λεσμα, η συνεισφορά του εξωτερικού τομέα στην πραγματική ανάπτυξη ήταν αρνητική το 2017, κατά 0,3 ποσοστιαίες μονάδες του ΑΕΠ.</w:t>
      </w:r>
    </w:p>
    <w:p w:rsidR="00ED665D" w:rsidRPr="00ED665D" w:rsidRDefault="00ED665D" w:rsidP="00780119">
      <w:pPr>
        <w:pStyle w:val="a0"/>
      </w:pPr>
    </w:p>
    <w:p w:rsidR="00ED665D" w:rsidRDefault="00ED665D" w:rsidP="00780119">
      <w:pPr>
        <w:pStyle w:val="a0"/>
      </w:pPr>
      <w:r w:rsidRPr="00ED665D">
        <w:t>Η πραγματική ιδιωτική κατανάλωση ανέκαμψε σημαντικά σύμφωνα με τα αναθεωρημένα στοιχεία για το 2017, κατά 0,9% έναντι του 2016, σε αντίθεση με την προηγούμενη εκτίμηση για στασιμότητα και ετήσιο ρυθμό +0,1% (όσο ο μέσος όρος των ετήσιων μεταβολών της από το 2014). Ο αποπληθ</w:t>
      </w:r>
      <w:r w:rsidRPr="00ED665D">
        <w:t>ω</w:t>
      </w:r>
      <w:r w:rsidRPr="00ED665D">
        <w:t>ριστής της ιδιωτικής κατανάλωσης κυμάνθηκε τελικώς σε επίπεδο θετικό</w:t>
      </w:r>
      <w:r w:rsidR="00430F34">
        <w:t>,</w:t>
      </w:r>
      <w:r w:rsidRPr="00ED665D">
        <w:t xml:space="preserve"> αλλά χαμηλότερο από την πρώτη εκτίμηση για το έτος (+0,5% από +1,2%), γεγονός που συν-διαμόρφωσε μία αυξητική τάση στο πραγματικό διαθέσιμο εισόδημα των νοικοκυριών</w:t>
      </w:r>
      <w:r w:rsidRPr="00ED665D">
        <w:rPr>
          <w:vertAlign w:val="superscript"/>
        </w:rPr>
        <w:footnoteReference w:id="20"/>
      </w:r>
      <w:r w:rsidRPr="00ED665D">
        <w:t xml:space="preserve"> (+0,4%), έναντι της αντίστοιχης καθοδικής τάσης βάσει της πρώτης εκτίμησης (-0,2%). </w:t>
      </w:r>
    </w:p>
    <w:p w:rsidR="00ED665D" w:rsidRPr="00ED665D" w:rsidRDefault="00ED665D" w:rsidP="00780119">
      <w:pPr>
        <w:pStyle w:val="a0"/>
      </w:pPr>
    </w:p>
    <w:p w:rsidR="00ED665D" w:rsidRPr="00ED665D" w:rsidRDefault="00ED665D" w:rsidP="00780119">
      <w:pPr>
        <w:pStyle w:val="a0"/>
      </w:pPr>
      <w:r w:rsidRPr="00ED665D">
        <w:t>Οι αυξήσεις πραγματικού διαθέσιμου εισοδήματος και ιδιωτικής κατανάλωσης αντανακλούν τα οφέλη από τις ευνοϊκές εξελίξεις στην αγορά εργασίας. Ειδικότερα, το 2017 συνεχίστηκε η αύξηση της σ</w:t>
      </w:r>
      <w:r w:rsidRPr="00ED665D">
        <w:t>υ</w:t>
      </w:r>
      <w:r w:rsidRPr="00ED665D">
        <w:t>νολικής και μισθωτής απασχόλησης</w:t>
      </w:r>
      <w:r w:rsidRPr="00ED665D">
        <w:rPr>
          <w:vertAlign w:val="superscript"/>
        </w:rPr>
        <w:footnoteReference w:id="21"/>
      </w:r>
      <w:r w:rsidRPr="00ED665D">
        <w:t xml:space="preserve"> για τέταρτο διαδοχικό έτος (+1,5% και +1,7% έναντι του 2016), συνοδευόμενη από άνοδο των ονομαστικών αμοιβών εξαρτημένης εργασίας για πρώτη φορά από το 2009 (+2,3% έναντι του 2016). Μάλιστα, ο ταχύτερος ρυθμός αύξησης της μισθολογικής δαπάνης </w:t>
      </w:r>
      <w:r w:rsidRPr="00ED665D">
        <w:t>έ</w:t>
      </w:r>
      <w:r w:rsidRPr="00ED665D">
        <w:t xml:space="preserve">ναντι της απασχόλησης σηματοδοτεί την ανάκαμψη στον μέσο ονομαστικό μισθό (+0,5% έναντι του </w:t>
      </w:r>
      <w:r w:rsidRPr="00ED665D">
        <w:lastRenderedPageBreak/>
        <w:t xml:space="preserve">2016) μετά από επτά έτη διαδοχικών απωλειών. Την ίδια στιγμή, οι απώλειες σε όρους πραγματικού μέσου μισθού εξαντλήθηκαν το 2017, τόσο σε σχέση με τα προηγούμενα έτη (-0,4% κατά μέσο όρο την περίοδο 2015-2016) όσο και σε σχέση με την αντίστοιχη πρώτη εκτίμηση του 2017 (-1,1%). </w:t>
      </w:r>
    </w:p>
    <w:p w:rsidR="00ED665D" w:rsidRDefault="00ED665D" w:rsidP="00780119">
      <w:pPr>
        <w:pStyle w:val="a0"/>
      </w:pPr>
    </w:p>
    <w:p w:rsidR="00ED665D" w:rsidRDefault="00ED665D" w:rsidP="00780119">
      <w:pPr>
        <w:pStyle w:val="a0"/>
      </w:pPr>
      <w:r w:rsidRPr="00ED665D">
        <w:t xml:space="preserve">Η δημόσια κατανάλωση ανέκαμψε σε τρέχουσες τιμές κατά 0,8% έναντι του 2016, υποχωρώντας </w:t>
      </w:r>
      <w:r w:rsidRPr="00ED665D">
        <w:t>ό</w:t>
      </w:r>
      <w:r w:rsidRPr="00ED665D">
        <w:t>μως σε όρους όγκου κατά 0,4% σε ετήσια βάση, λόγω του σημαντικά ανοδικού, παρότι προς τα κάτω αναθεωρημένου</w:t>
      </w:r>
      <w:r w:rsidRPr="00ED665D">
        <w:rPr>
          <w:vertAlign w:val="superscript"/>
        </w:rPr>
        <w:footnoteReference w:id="22"/>
      </w:r>
      <w:r w:rsidRPr="00ED665D">
        <w:t xml:space="preserve">, αποπληθωριστή της. </w:t>
      </w:r>
    </w:p>
    <w:p w:rsidR="00ED665D" w:rsidRPr="00ED665D" w:rsidRDefault="00ED665D" w:rsidP="00780119">
      <w:pPr>
        <w:pStyle w:val="a0"/>
      </w:pPr>
    </w:p>
    <w:p w:rsidR="00ED665D" w:rsidRPr="00ED665D" w:rsidRDefault="00ED665D" w:rsidP="00780119">
      <w:pPr>
        <w:pStyle w:val="a0"/>
      </w:pPr>
      <w:r w:rsidRPr="00ED665D">
        <w:t xml:space="preserve">Ο ετήσιος πληθωρισμός ανήλθε το 2017 σε 1,1% βάσει του </w:t>
      </w:r>
      <w:r w:rsidR="00B92CE7">
        <w:t>ε</w:t>
      </w:r>
      <w:r w:rsidRPr="00ED665D">
        <w:t>ναρμονισμένου Δείκτη Τιμών Καταν</w:t>
      </w:r>
      <w:r w:rsidRPr="00ED665D">
        <w:t>α</w:t>
      </w:r>
      <w:r w:rsidRPr="00ED665D">
        <w:t>λωτή (ΔΤΚ), έναντι στασιμότητας το 2016 και προηγούμενων διαδοχικών μειώσε</w:t>
      </w:r>
      <w:r w:rsidR="00430F34">
        <w:t>ώ</w:t>
      </w:r>
      <w:r w:rsidRPr="00ED665D">
        <w:t>ν του από το 2013. Στην σημαντική αύξηση του επιπέδου τιμών εντός του έτους συντέλεσαν αφενός η άνοδος της δι</w:t>
      </w:r>
      <w:r w:rsidRPr="00ED665D">
        <w:t>ε</w:t>
      </w:r>
      <w:r w:rsidRPr="00ED665D">
        <w:t>θνούς τιμής του πετρελαίου για πρώτη φορά από το 2012 (μετά την απόφαση του ΟΠΕΚ για μείωση της προσφερόμενης ποσότητας πετρελαίου, τον Νοέμβριο του 2016), και αφετέρου οι αυξήσεις στην έμμεση φορολογία, και ειδικότερα στον βασικό συντελεστή ΦΠΑ (από το 23% στο 24%, τον Ιούνιο 2016), στο πετρέλαιο θέρμανσης (τον Οκτώβριο 2016), και σε ορισμένους ειδικούς φόρους καταν</w:t>
      </w:r>
      <w:r w:rsidRPr="00ED665D">
        <w:t>ά</w:t>
      </w:r>
      <w:r w:rsidRPr="00ED665D">
        <w:t xml:space="preserve">λωσης (τον Ιανουάριο 2017). </w:t>
      </w:r>
    </w:p>
    <w:p w:rsidR="00AB1CFE" w:rsidRDefault="00AB1CFE" w:rsidP="00780119">
      <w:pPr>
        <w:pStyle w:val="a0"/>
        <w:tabs>
          <w:tab w:val="left" w:pos="426"/>
        </w:tabs>
        <w:ind w:right="-2"/>
      </w:pPr>
    </w:p>
    <w:p w:rsidR="00ED665D" w:rsidRPr="006E219D" w:rsidRDefault="00ED665D" w:rsidP="00780119">
      <w:pPr>
        <w:ind w:left="567" w:hanging="567"/>
        <w:jc w:val="both"/>
        <w:rPr>
          <w:rFonts w:ascii="Arial Narrow" w:hAnsi="Arial Narrow"/>
          <w:b/>
          <w:color w:val="000080"/>
          <w:szCs w:val="22"/>
        </w:rPr>
      </w:pPr>
      <w:r w:rsidRPr="006E219D">
        <w:rPr>
          <w:rFonts w:ascii="Arial Narrow" w:hAnsi="Arial Narrow"/>
          <w:b/>
          <w:color w:val="000080"/>
          <w:szCs w:val="22"/>
        </w:rPr>
        <w:t>2.3</w:t>
      </w:r>
      <w:r w:rsidRPr="006E219D">
        <w:rPr>
          <w:rFonts w:ascii="Arial Narrow" w:hAnsi="Arial Narrow"/>
          <w:b/>
          <w:color w:val="000080"/>
          <w:szCs w:val="22"/>
        </w:rPr>
        <w:tab/>
        <w:t>Οι εξ</w:t>
      </w:r>
      <w:r>
        <w:rPr>
          <w:rFonts w:ascii="Arial Narrow" w:hAnsi="Arial Narrow"/>
          <w:b/>
          <w:color w:val="000080"/>
          <w:szCs w:val="22"/>
        </w:rPr>
        <w:t>ελίξεις το 2018</w:t>
      </w:r>
    </w:p>
    <w:p w:rsidR="00ED665D" w:rsidRPr="00AD40BF" w:rsidRDefault="00ED665D" w:rsidP="00780119">
      <w:pPr>
        <w:jc w:val="both"/>
        <w:rPr>
          <w:sz w:val="22"/>
          <w:szCs w:val="22"/>
        </w:rPr>
      </w:pPr>
    </w:p>
    <w:p w:rsidR="00ED665D" w:rsidRPr="009D21EE" w:rsidRDefault="00ED665D" w:rsidP="00780119">
      <w:pPr>
        <w:jc w:val="both"/>
        <w:rPr>
          <w:rFonts w:ascii="Arial Narrow" w:hAnsi="Arial Narrow"/>
          <w:b/>
          <w:bCs/>
          <w:i/>
          <w:sz w:val="22"/>
          <w:szCs w:val="22"/>
        </w:rPr>
      </w:pPr>
      <w:r w:rsidRPr="009D21EE">
        <w:rPr>
          <w:rFonts w:ascii="Arial Narrow" w:hAnsi="Arial Narrow"/>
          <w:b/>
          <w:bCs/>
          <w:i/>
          <w:sz w:val="22"/>
          <w:szCs w:val="22"/>
        </w:rPr>
        <w:t>Το ΑΕΠ και οι συνιστώσες του</w:t>
      </w:r>
    </w:p>
    <w:p w:rsidR="00AB1CFE" w:rsidRDefault="00AB1CFE" w:rsidP="00780119">
      <w:pPr>
        <w:pStyle w:val="a0"/>
        <w:tabs>
          <w:tab w:val="left" w:pos="426"/>
        </w:tabs>
        <w:ind w:right="-2"/>
      </w:pPr>
    </w:p>
    <w:p w:rsidR="00AB1CFE" w:rsidRDefault="00DA1881" w:rsidP="00780119">
      <w:pPr>
        <w:pStyle w:val="a0"/>
        <w:tabs>
          <w:tab w:val="left" w:pos="426"/>
        </w:tabs>
        <w:ind w:right="-2"/>
      </w:pPr>
      <w:r w:rsidRPr="00DA1881">
        <w:t>Οι αυξήσεις του πραγματικού ΑΕΠ το 2017 έδωσαν αναπτυξιακή ώθηση στο 2018, μέσω επίδρασης μεταφοράς +0,6% σε ετήσια βάση. Σύμφωνα με τα έως σήμερα διαθέσιμα τριμηνιαία στοιχεία εθν</w:t>
      </w:r>
      <w:r w:rsidRPr="00DA1881">
        <w:t>ι</w:t>
      </w:r>
      <w:r w:rsidRPr="00DA1881">
        <w:t>κών λογαριασμών</w:t>
      </w:r>
      <w:r>
        <w:rPr>
          <w:rStyle w:val="a9"/>
        </w:rPr>
        <w:footnoteReference w:id="23"/>
      </w:r>
      <w:r w:rsidRPr="00DA1881">
        <w:t xml:space="preserve"> και τις τάσεις που αυτά διαμορφώνουν, ο ρυθμός αύξησης του ΑΕΠ επιταχύνθηκε σημαντικά στο πρώτο τρίμηνο του 2018 έναντι του τέταρτου τριμήνου 2017, από 0,2% σε 0,9%, δι</w:t>
      </w:r>
      <w:r w:rsidRPr="00DA1881">
        <w:t>α</w:t>
      </w:r>
      <w:r w:rsidRPr="00DA1881">
        <w:t xml:space="preserve">τηρούμενος θετικός και στο δεύτερο τρίμηνο. Στο πρώτο εξάμηνο </w:t>
      </w:r>
      <w:r w:rsidR="00B92CE7">
        <w:t xml:space="preserve">του </w:t>
      </w:r>
      <w:r w:rsidRPr="00DA1881">
        <w:t xml:space="preserve">2018, αυτό σηματοδότησε την μεγαλύτερη αύξηση ΑΕΠ από το 2007 έναντι της αντίστοιχης περιόδου προηγούμενου έτους (+2,2%). </w:t>
      </w:r>
    </w:p>
    <w:p w:rsidR="00AB1CFE" w:rsidRDefault="00AB1CFE" w:rsidP="00780119">
      <w:pPr>
        <w:pStyle w:val="a0"/>
        <w:tabs>
          <w:tab w:val="left" w:pos="426"/>
        </w:tabs>
        <w:ind w:right="-2"/>
      </w:pPr>
    </w:p>
    <w:p w:rsidR="00AB1CFE" w:rsidRDefault="00DA1881" w:rsidP="00780119">
      <w:pPr>
        <w:pStyle w:val="a0"/>
        <w:tabs>
          <w:tab w:val="left" w:pos="426"/>
        </w:tabs>
        <w:ind w:right="-2"/>
      </w:pPr>
      <w:r w:rsidRPr="00DA1881">
        <w:t>Κυριότεροι μοχλοί ανάπτυξης στο πρώτο εξάμηνο του 2018 ήταν οι καθαρές εξαγωγές και η ιδιωτική κατανάλωση, εν μέσω 2,4 δισ. ευρώ νέων αποθεμάτων που συνδέονται με τις πρ</w:t>
      </w:r>
      <w:r w:rsidR="00485B70">
        <w:t xml:space="preserve">οσδοκίες για αύξηση της ζήτησης. </w:t>
      </w:r>
      <w:r w:rsidRPr="00DA1881">
        <w:t>Την αύξηση των προσδοκιών και την εμπέδωση του κλίματος οικονομικής σταθερότ</w:t>
      </w:r>
      <w:r w:rsidRPr="00DA1881">
        <w:t>η</w:t>
      </w:r>
      <w:r w:rsidRPr="00DA1881">
        <w:t>τας ενίσχυσαν στο ίδιο διάστημα η ολοκλήρωση των δύο τελευταίων αξιολογήσεων του Προγράμμ</w:t>
      </w:r>
      <w:r w:rsidRPr="00DA1881">
        <w:t>α</w:t>
      </w:r>
      <w:r w:rsidRPr="00DA1881">
        <w:t>τος, η αναβάθμιση του αξιόχρεου του Ελληνικού Δημοσίου από τους διεθνείς οίκους αξιολόγησης και η σημαντική αποκλιμάκωση των επιτοκίων των ελληνικών ομολόγων.</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Οι εξελίξεις στην αγορά εργασίας συνέχισαν να επηρεάζουν θετικά την ανάπτυξη στο πρώτο εξάμηνο του 2018, στη βάση της σταθερής αύξησης της απασχόλησης. Την ίδια περίοδο, η πραγματική μισθ</w:t>
      </w:r>
      <w:r w:rsidRPr="00A4738E">
        <w:t>ο</w:t>
      </w:r>
      <w:r w:rsidRPr="00A4738E">
        <w:t>λογική δαπάνη σχεδόν διπλασίασε τον ρυθμό της (σε +3,0% σε ετήσια βάση), έχοντας επανέλθει σε τροχιά ανάκαμψης από το δεύτερο τρίμηνο του 2017</w:t>
      </w:r>
      <w:r w:rsidRPr="00A4738E">
        <w:rPr>
          <w:rStyle w:val="a9"/>
        </w:rPr>
        <w:footnoteReference w:id="24"/>
      </w:r>
      <w:r w:rsidRPr="00A4738E">
        <w:t>. Σε αυτό συνέβαλε, πέραν της δημιουργίας ν</w:t>
      </w:r>
      <w:r w:rsidRPr="00A4738E">
        <w:t>έ</w:t>
      </w:r>
      <w:r w:rsidRPr="00A4738E">
        <w:t xml:space="preserve">ων θέσεων απασχόλησης, η αύξηση στον ονομαστικό μέσο μισθό (+0,9% έναντι 0,0% στο πρώτο </w:t>
      </w:r>
      <w:r w:rsidRPr="00A4738E">
        <w:t>ε</w:t>
      </w:r>
      <w:r w:rsidRPr="00A4738E">
        <w:t xml:space="preserve">ξάμηνο του 2017) και η στασιμότητα του αποπληθωριστή ιδιωτικής κατανάλωσης (+0,1% έναντι +1,3% στο πρώτο εξάμηνο του 2017), έναντι ελαφρώς θετικότερων μεταβολών του Εθνικού ΔΤΚ και του Εναρμονισμένου ΔΤΚ της περιόδου (+0,2% και +0,5% αντίστοιχα). </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Οι ως άνω εξελίξεις ενίσχυσαν την πραγματική ιδιωτική κατανάλωση, η οποία στο σύνολο του πρ</w:t>
      </w:r>
      <w:r w:rsidRPr="00A4738E">
        <w:t>ώ</w:t>
      </w:r>
      <w:r w:rsidRPr="00A4738E">
        <w:t xml:space="preserve">του εξαμήνου ανέκαμπτε κατά 0,5% έναντι της ίδιας περιόδου </w:t>
      </w:r>
      <w:r w:rsidR="00430F34">
        <w:t xml:space="preserve">του </w:t>
      </w:r>
      <w:r w:rsidRPr="00A4738E">
        <w:t>προηγούμενου έτους. Αντίθετα, η δημόσια κατανάλωση υποχώρησε στο πρώτο εξάμηνο του 2018, κατά 0,9%</w:t>
      </w:r>
      <w:r w:rsidR="00357716">
        <w:t xml:space="preserve"> </w:t>
      </w:r>
      <w:r w:rsidRPr="00A4738E">
        <w:t>σε ετήσια βάση.</w:t>
      </w:r>
    </w:p>
    <w:p w:rsidR="00AB1CFE" w:rsidRDefault="00357716" w:rsidP="00780119">
      <w:pPr>
        <w:pStyle w:val="a0"/>
        <w:tabs>
          <w:tab w:val="left" w:pos="426"/>
        </w:tabs>
        <w:ind w:right="-2"/>
      </w:pPr>
      <w:r>
        <w:t xml:space="preserve"> </w:t>
      </w:r>
    </w:p>
    <w:p w:rsidR="00AB1CFE" w:rsidRDefault="00AE4539" w:rsidP="00780119">
      <w:pPr>
        <w:pStyle w:val="a0"/>
        <w:tabs>
          <w:tab w:val="left" w:pos="426"/>
        </w:tabs>
        <w:ind w:right="-2"/>
      </w:pPr>
      <w:r w:rsidRPr="00A4738E">
        <w:t>Η βελτίωση των επιχειρηματικών προσδοκιών και η σταθερότητα στο επενδυτικό περιβάλλον ευνό</w:t>
      </w:r>
      <w:r w:rsidRPr="00A4738E">
        <w:t>η</w:t>
      </w:r>
      <w:r w:rsidRPr="00A4738E">
        <w:t>σαν την υλοποίηση επενδυτικών σχεδίων το πρώτο εξάμηνο του 2018, σε όλο το εύρος των κατηγ</w:t>
      </w:r>
      <w:r w:rsidRPr="00A4738E">
        <w:t>ο</w:t>
      </w:r>
      <w:r w:rsidRPr="00A4738E">
        <w:lastRenderedPageBreak/>
        <w:t xml:space="preserve">ριών επενδύσεων πλην του μεταφορικού εξοπλισμού. Οι επενδύσεις στις κατασκευές αυξήθηκαν κατά 6,1% (7,9% στις κατοικίες) και κατά 19,0% στον εξοπλισμό πλην μεταφορικού εξοπλισμού. Ωστόσο, ο συνολικός όγκος των επενδύσεων υποχώρησε το πρώτο εξάμηνο του 2018 κατά 7,9% έναντι του πρώτου εξαμήνου </w:t>
      </w:r>
      <w:r w:rsidR="00B92CE7">
        <w:t xml:space="preserve">του </w:t>
      </w:r>
      <w:r w:rsidRPr="00A4738E">
        <w:t>2017, λόγω της συρρίκνωσης των επενδύσεων σε μεταφορικό εξοπλισμό (και κυρίως σε πλοία</w:t>
      </w:r>
      <w:r w:rsidRPr="00A4738E">
        <w:rPr>
          <w:vertAlign w:val="superscript"/>
        </w:rPr>
        <w:footnoteReference w:id="25"/>
      </w:r>
      <w:r w:rsidRPr="00A4738E">
        <w:t>) κατά 53,4%.</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Παρόλα αυτά, η πτώση των συνολικών επενδύσεων αντισταθμίστηκε από την ταυτόχρονη άνοδο του όγκου καθαρών εξαγωγών, με τη συμβολή του εξωτερικού τομέα στην ετήσια ανάπτυξη να ανέρχεται σε 1,3% του ΑΕΠ. Η συμβολή αυτή προήλθε κυρίως από το πραγματικό ισοζύγιο αγαθών</w:t>
      </w:r>
      <w:r w:rsidRPr="00A4738E">
        <w:rPr>
          <w:vertAlign w:val="superscript"/>
        </w:rPr>
        <w:t xml:space="preserve"> </w:t>
      </w:r>
      <w:r w:rsidRPr="00A4738E">
        <w:t xml:space="preserve">(+2,1 δισ. ευρώ έναντι του πρώτου εξαμήνου του 2017), αλλά και από το πραγματικό ισοζύγιο υπηρεσιών (+0,3 δισ. ευρώ αντίστοιχα). </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Στη βελτίωση του ισοζυγίου αγαθών συνέβαλε τόσο η αύξηση τ</w:t>
      </w:r>
      <w:r w:rsidRPr="00A4738E">
        <w:rPr>
          <w:lang w:val="en-US"/>
        </w:rPr>
        <w:t>o</w:t>
      </w:r>
      <w:r w:rsidRPr="00A4738E">
        <w:t xml:space="preserve">υ όγκου των εξαγωγών αγαθών (+9,0% έναντι του πρώτου εξαμήνου </w:t>
      </w:r>
      <w:r w:rsidR="00B92CE7">
        <w:t xml:space="preserve">του </w:t>
      </w:r>
      <w:r w:rsidRPr="00A4738E">
        <w:t xml:space="preserve">2017) όσο και η μείωση του όγκου των εισαγωγών αγαθών </w:t>
      </w:r>
      <w:r w:rsidR="00430F34">
        <w:t xml:space="preserve">       </w:t>
      </w:r>
      <w:r w:rsidRPr="00A4738E">
        <w:t>(-2,3% αντίστοιχα). Αναλυτικότερα, το πρώτο εξάμηνο του 2018 οι πραγματικές εξαγωγές αγαθών ευνοήθηκαν από τη χαμηλότερη αύξηση των τιμών εξαγομένων στην ενέργεια (+17,8%) σε σχέση με τις αντίστοιχες τιμές εισαγομένων (+28,8%). Την ίδια στιγμή, οι πραγματικές εισαγωγές αγαθών συ</w:t>
      </w:r>
      <w:r w:rsidRPr="00A4738E">
        <w:t>μ</w:t>
      </w:r>
      <w:r w:rsidRPr="00A4738E">
        <w:t>πιέστηκαν από τη μείωση των αφίξεων πλοίων και τον υψηλό αποπληθωριστή των εισαγωγών αγ</w:t>
      </w:r>
      <w:r w:rsidRPr="00A4738E">
        <w:t>α</w:t>
      </w:r>
      <w:r w:rsidRPr="00A4738E">
        <w:t xml:space="preserve">θών, </w:t>
      </w:r>
      <w:r w:rsidR="00430F34">
        <w:t xml:space="preserve">δεδομένης της </w:t>
      </w:r>
      <w:r w:rsidRPr="00A4738E">
        <w:t>μέσης ετήσιας αύξησης της διεθνούς τιμής του Brent κατά 38,6% στο δεύτερο τρίμηνο του 2018.</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Σε ονομαστική βάση, σύμφωνα με τα αναθεωρημένα στοιχεία Ισοζυγίου Πληρωμών της Τράπεζας της Ελλάδος, το Ισοζύγιο Τρεχουσών Συναλλαγών επιδεινώθηκε τους πρώτους οκτώ μήνες του 2018, λ</w:t>
      </w:r>
      <w:r w:rsidRPr="00A4738E">
        <w:t>ό</w:t>
      </w:r>
      <w:r w:rsidRPr="00A4738E">
        <w:t>γω της ταχύτερης αύξησης των εισαγωγών αγαθών έναντι των εξαγωγών και της πτώσης των εισπρ</w:t>
      </w:r>
      <w:r w:rsidRPr="00A4738E">
        <w:t>ά</w:t>
      </w:r>
      <w:r w:rsidRPr="00A4738E">
        <w:t>ξεων πρωτογενών εισοδημάτων από επενδύσεις και εργασία. Ωστόσο, η αύξηση των εισπράξεων του ταξιδιωτικού ισοζυγίου κατά 11,1% και του ισοζυγίου μεταφορικών υπηρεσιών κατά 13,9%, την ίδια περίοδο, υποδηλώνει ένα ευνοϊκό έτος για ορισμένους από τους κύριους τομείς υπηρεσιών, όπως ε</w:t>
      </w:r>
      <w:r w:rsidRPr="00A4738E">
        <w:t>ν</w:t>
      </w:r>
      <w:r w:rsidRPr="00A4738E">
        <w:t>δεχομένως και για το εμπόριο. Οι Άμεσες Ξένες Επενδύσεις συνέχισαν επίσης να αυξάνονται, κατά 2,6 δισ. ευρώ, έναντι αύξησης 2,2 δισ. το οκτάμηνο του 2017.</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Στο σύνολο του 2018, ο ρυθμός πραγματικής οικονομικής μεγέθυνσης εκτιμάται ότι θα ανέλθει στο 2,1% έναντι του 2017, με τις εξελίξεις όλων των επιμέρους συνιστωσών του ΑΕΠ να συμβάλλουν θ</w:t>
      </w:r>
      <w:r w:rsidRPr="00A4738E">
        <w:t>ε</w:t>
      </w:r>
      <w:r w:rsidRPr="00A4738E">
        <w:t>τικά στην ανάπτυξη. Ειδικότερα, το 2018 αναμένεται να είναι έτος περαιτέρω ανάκαμψης της πρα</w:t>
      </w:r>
      <w:r w:rsidRPr="00A4738E">
        <w:t>γ</w:t>
      </w:r>
      <w:r w:rsidRPr="00A4738E">
        <w:t>ματικής ιδιωτικής κατανάλωσης, κατά 1,0% έναντι του 2017, και ανάδειξής της στον κύριο παράγο</w:t>
      </w:r>
      <w:r w:rsidRPr="00A4738E">
        <w:t>ν</w:t>
      </w:r>
      <w:r w:rsidRPr="00A4738E">
        <w:t>τα αύξησης της τελικής εγχώριας ζήτησης. Αυτό στηρίζεται στη συνεχιζόμενη αύξηση της απασχόλ</w:t>
      </w:r>
      <w:r w:rsidRPr="00A4738E">
        <w:t>η</w:t>
      </w:r>
      <w:r w:rsidRPr="00A4738E">
        <w:t>σης και των ονομαστικών αμοιβών εξαρτημένης εργασίας (με ετήσιους ρυθμούς 1,3% και 2,9%, α</w:t>
      </w:r>
      <w:r w:rsidRPr="00A4738E">
        <w:t>ν</w:t>
      </w:r>
      <w:r w:rsidRPr="00A4738E">
        <w:t>τίστοιχα), ενώ ευνοϊκά αναμένεται να επιδράσει και η εκτιμώμενη επιβράδυνση του ρυθμού πληθ</w:t>
      </w:r>
      <w:r w:rsidRPr="00A4738E">
        <w:t>ω</w:t>
      </w:r>
      <w:r w:rsidRPr="00A4738E">
        <w:t>ρισμού στο σύνολο</w:t>
      </w:r>
      <w:r w:rsidR="00B92CE7">
        <w:t xml:space="preserve"> του έτους, στο 0,8% βάσει του </w:t>
      </w:r>
      <w:r w:rsidR="00F33A16">
        <w:t>ε</w:t>
      </w:r>
      <w:r w:rsidRPr="00A4738E">
        <w:t>ναρμονισμένου ΔΤΚ έναντι 1,1% το 2017.</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 xml:space="preserve">Η πραγματική δημόσια κατανάλωση αναμένεται να ανακάμψει στο δεύτερο εξάμηνο του 2018 έναντι του πρώτου, εν μέσω σχετικής εξομάλυνσης του πολύ υψηλού ρυθμού αποπληθωριστή </w:t>
      </w:r>
      <w:r w:rsidR="00430F34">
        <w:t xml:space="preserve">κατά το </w:t>
      </w:r>
      <w:r w:rsidRPr="00A4738E">
        <w:t xml:space="preserve">πρώτο </w:t>
      </w:r>
      <w:r w:rsidR="00430F34">
        <w:t>τρίμηνο</w:t>
      </w:r>
      <w:r w:rsidRPr="00A4738E">
        <w:t xml:space="preserve">. Αυτό οδηγεί τον όγκο δημόσιας κατανάλωσης σε οριακή άνοδο το 2018 (+0,2% έναντι του 2017), φέροντας θετική επίδραση μεταφοράς στη δημόσια κατανάλωση του 2019. </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Όσον αφορά τις επενδύσεις, οι εκτιμήσεις για σταδιακή ανάκαμψη του μεταφορικού εξοπλισμού και για συνέχιση της ανοδικής τάσης στις υπόλοιπες κατηγορίες επενδύσεων το δεύτερο εξάμηνο του 2018 αναμένεται να οδηγήσουν σε θετικό έδαφος τον ετήσιο ρυθμό επενδύσεων (+0,8%) και τη συ</w:t>
      </w:r>
      <w:r w:rsidRPr="00A4738E">
        <w:t>μ</w:t>
      </w:r>
      <w:r w:rsidRPr="00A4738E">
        <w:t>βολή τους στο ΑΕΠ (+0,1% του ΑΕΠ) στο σύνολο του έτους. Ως κύριοι παράγοντες της επενδυτικής δυναμικής στο βραχυπρόθεσμο διάστημα εκτιμώνται η επιτυχής ολοκλήρωση του Προγράμματος στήριξης μέσω του ΕΜΣ, η βελτίωση των χρηματοπιστωτικών συνθηκών, η εφαρμογή των μεσοπρ</w:t>
      </w:r>
      <w:r w:rsidRPr="00A4738E">
        <w:t>ό</w:t>
      </w:r>
      <w:r w:rsidRPr="00A4738E">
        <w:t>θεσμων μέτρων για το χρέος και η διασφάλιση της βιωσιμότητ</w:t>
      </w:r>
      <w:r w:rsidR="00430F34">
        <w:t>ά</w:t>
      </w:r>
      <w:r w:rsidRPr="00A4738E">
        <w:t>ς του</w:t>
      </w:r>
      <w:r w:rsidR="00B92CE7">
        <w:t>.</w:t>
      </w:r>
      <w:r w:rsidRPr="00A4738E">
        <w:t xml:space="preserve"> Από την άλλη πλευρά, ενδεχ</w:t>
      </w:r>
      <w:r w:rsidRPr="00A4738E">
        <w:t>ό</w:t>
      </w:r>
      <w:r w:rsidRPr="00A4738E">
        <w:lastRenderedPageBreak/>
        <w:t>μενες πολιτικές αναταραχές</w:t>
      </w:r>
      <w:r w:rsidR="00A32E90">
        <w:t>,</w:t>
      </w:r>
      <w:r w:rsidRPr="00A4738E">
        <w:t xml:space="preserve"> όπως οι πρόσφατες </w:t>
      </w:r>
      <w:r w:rsidR="00B92CE7">
        <w:t xml:space="preserve">εξελίξεις </w:t>
      </w:r>
      <w:r w:rsidRPr="00A4738E">
        <w:t xml:space="preserve">σε χώρες της Ευρωζώνης θα μπορούσαν να δημιουργήσουν </w:t>
      </w:r>
      <w:r w:rsidR="00B92CE7">
        <w:t xml:space="preserve">συνθήκες </w:t>
      </w:r>
      <w:r w:rsidRPr="00A4738E">
        <w:t>αποστροφή</w:t>
      </w:r>
      <w:r w:rsidR="00B92CE7">
        <w:t>ς</w:t>
      </w:r>
      <w:r w:rsidRPr="00A4738E">
        <w:t xml:space="preserve"> στον κίνδυνο, επηρεάζοντας αρνητικά για την Ελλάδα τις απ</w:t>
      </w:r>
      <w:r w:rsidRPr="00A4738E">
        <w:t>ο</w:t>
      </w:r>
      <w:r w:rsidRPr="00A4738E">
        <w:t>φάσεις μακροπρόθεσμων διεθνών επενδυτών.</w:t>
      </w:r>
    </w:p>
    <w:p w:rsidR="00AB1CFE" w:rsidRDefault="00AB1CFE" w:rsidP="00780119">
      <w:pPr>
        <w:pStyle w:val="a0"/>
        <w:tabs>
          <w:tab w:val="left" w:pos="426"/>
        </w:tabs>
        <w:ind w:right="-2"/>
      </w:pPr>
    </w:p>
    <w:p w:rsidR="00AB1CFE" w:rsidRDefault="00AE4539" w:rsidP="00780119">
      <w:pPr>
        <w:pStyle w:val="a0"/>
        <w:tabs>
          <w:tab w:val="left" w:pos="426"/>
        </w:tabs>
        <w:ind w:right="-2"/>
      </w:pPr>
      <w:r w:rsidRPr="00A4738E">
        <w:t xml:space="preserve">Η συμβολή του εξωτερικού τομέα στην ανάπτυξη </w:t>
      </w:r>
      <w:r w:rsidR="00430F34">
        <w:t xml:space="preserve">εκτιμάται </w:t>
      </w:r>
      <w:r w:rsidRPr="00A4738E">
        <w:t>στο 1,2% του ΑΕΠ για το σύνολο του 2018, έναντι οριακά αρνητικής εκτίμησης στο ΜΠΔΣ 2019-2022 και ελαφρώς υψηλότερου ποσοστού συμβολής στο πρώτο εξάμηνο του έτους (1,3% του ΑΕΠ). Στο τρέχον εξάμηνο, η μείωση της συμβ</w:t>
      </w:r>
      <w:r w:rsidRPr="00A4738E">
        <w:t>ο</w:t>
      </w:r>
      <w:r w:rsidRPr="00A4738E">
        <w:t xml:space="preserve">λής των καθαρών εξαγωγών έναντι του πρώτου εξαμήνου οφείλεται στην αναμενόμενη άνοδο των </w:t>
      </w:r>
      <w:r w:rsidRPr="00A4738E">
        <w:t>ε</w:t>
      </w:r>
      <w:r w:rsidRPr="00A4738E">
        <w:t>πενδύσεων και τη συνακόλουθη ανάκαμψη των εισαγωγών αγαθών. Σε ετήσια βάση, ο όγκος των ε</w:t>
      </w:r>
      <w:r w:rsidRPr="00A4738E">
        <w:t>ι</w:t>
      </w:r>
      <w:r w:rsidRPr="00A4738E">
        <w:t xml:space="preserve">σαγωγών αγαθών αναμένεται να αυξηθεί κατά 2,3% το 2018, με τον ρυθμό των συνολικών εισαγωγών ελαφρώς υψηλότερα (+3,4%) λόγω της μεγαλύτερης αύξησης των εισαγωγών υπηρεσιών (+9,0%). Την ίδια στιγμή, επιτάχυνση έναντι του 2017 αναμένεται για τον όγκο των συνολικών εξαγωγών, με τον ετήσιο ρυθμό τους στο 7,5% (έναντι 6,8% το 2017) εν μέσω αυξήσεων άνω του 7% τόσο στα </w:t>
      </w:r>
      <w:r w:rsidRPr="00A4738E">
        <w:t>α</w:t>
      </w:r>
      <w:r w:rsidRPr="00A4738E">
        <w:t xml:space="preserve">γαθά όσο και στις υπηρεσίες. Εν συνόλω, η θετική πορεία των καθαρών εξαγωγών μέσα στο έτος </w:t>
      </w:r>
      <w:r w:rsidRPr="00A4738E">
        <w:t>α</w:t>
      </w:r>
      <w:r w:rsidRPr="00A4738E">
        <w:t>ναμένεται να τις αποκαταστήσει στον ρόλο του κύριου προσδιοριστικού παράγοντα της αύξησης του ΑΕΠ, όπως ίσχυε από την έναρξη της οικονομικής κρίσης πλην της μικρής κάμψης κατά τα έτη 2014, 2016 και 2017.</w:t>
      </w:r>
    </w:p>
    <w:p w:rsidR="00AB1CFE" w:rsidRDefault="00AB1CFE" w:rsidP="00780119">
      <w:pPr>
        <w:pStyle w:val="a0"/>
        <w:tabs>
          <w:tab w:val="left" w:pos="426"/>
        </w:tabs>
        <w:ind w:right="-2"/>
      </w:pPr>
    </w:p>
    <w:p w:rsidR="00AB1CFE" w:rsidRDefault="00AE4539" w:rsidP="00780119">
      <w:pPr>
        <w:ind w:right="-144"/>
        <w:jc w:val="both"/>
        <w:rPr>
          <w:sz w:val="22"/>
          <w:szCs w:val="22"/>
        </w:rPr>
      </w:pPr>
      <w:r w:rsidRPr="00A4738E">
        <w:rPr>
          <w:sz w:val="22"/>
          <w:szCs w:val="22"/>
        </w:rPr>
        <w:t xml:space="preserve">Αναφορικά με τους κινδύνους του βασικού μακροοικονομικού σεναρίου για το 2018, αυτοί σχετίζονται κυρίως με την αστάθεια στο εξωτερικό περιβάλλον, </w:t>
      </w:r>
      <w:r w:rsidR="00794063">
        <w:rPr>
          <w:sz w:val="22"/>
          <w:szCs w:val="22"/>
        </w:rPr>
        <w:t xml:space="preserve">με κυριότερους παράγοντες </w:t>
      </w:r>
      <w:r w:rsidR="00B92CE7">
        <w:rPr>
          <w:sz w:val="22"/>
          <w:szCs w:val="22"/>
        </w:rPr>
        <w:t xml:space="preserve">την άνοδο </w:t>
      </w:r>
      <w:r w:rsidRPr="00A4738E">
        <w:rPr>
          <w:sz w:val="22"/>
          <w:szCs w:val="22"/>
        </w:rPr>
        <w:t>της διεθνούς τιμής του πετρελαίου έναντι του 2017</w:t>
      </w:r>
      <w:r w:rsidRPr="00A4738E">
        <w:rPr>
          <w:rStyle w:val="a9"/>
          <w:sz w:val="22"/>
          <w:szCs w:val="22"/>
        </w:rPr>
        <w:footnoteReference w:id="26"/>
      </w:r>
      <w:r w:rsidR="00794063">
        <w:rPr>
          <w:sz w:val="22"/>
          <w:szCs w:val="22"/>
        </w:rPr>
        <w:t>, την αύξηση</w:t>
      </w:r>
      <w:r w:rsidRPr="00A4738E">
        <w:rPr>
          <w:sz w:val="22"/>
          <w:szCs w:val="22"/>
        </w:rPr>
        <w:t xml:space="preserve"> του προστατευτι</w:t>
      </w:r>
      <w:r w:rsidR="00794063">
        <w:rPr>
          <w:sz w:val="22"/>
          <w:szCs w:val="22"/>
        </w:rPr>
        <w:t>σμού στο διεθνές εμπόριο και τη</w:t>
      </w:r>
      <w:r w:rsidR="00B92CE7">
        <w:rPr>
          <w:sz w:val="22"/>
          <w:szCs w:val="22"/>
        </w:rPr>
        <w:t xml:space="preserve">ν αναταραχή </w:t>
      </w:r>
      <w:r w:rsidRPr="00A4738E">
        <w:rPr>
          <w:sz w:val="22"/>
          <w:szCs w:val="22"/>
        </w:rPr>
        <w:t xml:space="preserve">στις χρηματαγορές λόγω της πολιτικής αστάθειας σε ορισμένα κράτη μέλη της Ευρωζώνης. </w:t>
      </w:r>
    </w:p>
    <w:p w:rsidR="00AB1CFE" w:rsidRDefault="00AB1CFE" w:rsidP="00780119">
      <w:pPr>
        <w:ind w:right="-144"/>
        <w:jc w:val="both"/>
        <w:rPr>
          <w:sz w:val="22"/>
          <w:szCs w:val="22"/>
        </w:rPr>
      </w:pPr>
    </w:p>
    <w:p w:rsidR="000B32E1" w:rsidRDefault="000B32E1" w:rsidP="00780119">
      <w:pPr>
        <w:jc w:val="both"/>
        <w:rPr>
          <w:rFonts w:ascii="Arial Narrow" w:hAnsi="Arial Narrow"/>
          <w:b/>
          <w:color w:val="000080"/>
          <w:szCs w:val="22"/>
        </w:rPr>
      </w:pPr>
      <w:r w:rsidRPr="00FE35C4">
        <w:rPr>
          <w:rFonts w:ascii="Arial Narrow" w:hAnsi="Arial Narrow"/>
          <w:b/>
          <w:color w:val="000080"/>
          <w:szCs w:val="22"/>
        </w:rPr>
        <w:t>Πληθωρισμός – Τιμές</w:t>
      </w:r>
    </w:p>
    <w:p w:rsidR="001769B4" w:rsidRPr="00360902" w:rsidRDefault="001769B4" w:rsidP="00780119">
      <w:pPr>
        <w:jc w:val="both"/>
        <w:rPr>
          <w:rFonts w:ascii="Arial Narrow" w:hAnsi="Arial Narrow"/>
          <w:b/>
          <w:color w:val="000080"/>
          <w:sz w:val="22"/>
          <w:szCs w:val="22"/>
        </w:rPr>
      </w:pPr>
    </w:p>
    <w:p w:rsidR="00AB1CFE" w:rsidRDefault="001769B4" w:rsidP="00780119">
      <w:pPr>
        <w:ind w:right="-144"/>
        <w:jc w:val="both"/>
        <w:rPr>
          <w:sz w:val="22"/>
          <w:szCs w:val="22"/>
        </w:rPr>
      </w:pPr>
      <w:r w:rsidRPr="001769B4">
        <w:rPr>
          <w:sz w:val="22"/>
          <w:szCs w:val="22"/>
        </w:rPr>
        <w:t xml:space="preserve">Το 2017, το επίπεδο τιμών ανέκαμψε (+1,1% σε ετήσια βάση) και </w:t>
      </w:r>
      <w:r w:rsidR="00B92CE7">
        <w:rPr>
          <w:sz w:val="22"/>
          <w:szCs w:val="22"/>
        </w:rPr>
        <w:t>ονομαστικός</w:t>
      </w:r>
      <w:r w:rsidRPr="001769B4">
        <w:rPr>
          <w:sz w:val="22"/>
          <w:szCs w:val="22"/>
        </w:rPr>
        <w:t xml:space="preserve"> μέσο</w:t>
      </w:r>
      <w:r w:rsidR="00B92CE7">
        <w:rPr>
          <w:sz w:val="22"/>
          <w:szCs w:val="22"/>
        </w:rPr>
        <w:t>ς</w:t>
      </w:r>
      <w:r w:rsidRPr="001769B4">
        <w:rPr>
          <w:sz w:val="22"/>
          <w:szCs w:val="22"/>
        </w:rPr>
        <w:t xml:space="preserve"> μισθ</w:t>
      </w:r>
      <w:r w:rsidR="00B92CE7">
        <w:rPr>
          <w:sz w:val="22"/>
          <w:szCs w:val="22"/>
        </w:rPr>
        <w:t>ός</w:t>
      </w:r>
      <w:r w:rsidRPr="001769B4">
        <w:rPr>
          <w:sz w:val="22"/>
          <w:szCs w:val="22"/>
        </w:rPr>
        <w:t xml:space="preserve"> </w:t>
      </w:r>
      <w:r w:rsidR="00B92CE7">
        <w:rPr>
          <w:sz w:val="22"/>
          <w:szCs w:val="22"/>
        </w:rPr>
        <w:t xml:space="preserve">αυξήθηκε </w:t>
      </w:r>
      <w:r w:rsidRPr="001769B4">
        <w:rPr>
          <w:sz w:val="22"/>
          <w:szCs w:val="22"/>
        </w:rPr>
        <w:t>(+0,5%), γεγονός που ισοδυναμεί με το τέλος της εσωτερικής υποτίμησης και σηματοδοτεί την προο</w:t>
      </w:r>
      <w:r w:rsidRPr="001769B4">
        <w:rPr>
          <w:sz w:val="22"/>
          <w:szCs w:val="22"/>
        </w:rPr>
        <w:t>π</w:t>
      </w:r>
      <w:r w:rsidRPr="001769B4">
        <w:rPr>
          <w:sz w:val="22"/>
          <w:szCs w:val="22"/>
        </w:rPr>
        <w:t>τική για πιο δυναμική ανάπτυξη του πραγματικού διαθέσιμου εισοδήματος των νοικοκυριών από το τρέχον έτος.</w:t>
      </w:r>
      <w:r w:rsidR="00357716">
        <w:rPr>
          <w:sz w:val="22"/>
          <w:szCs w:val="22"/>
        </w:rPr>
        <w:t xml:space="preserve"> </w:t>
      </w:r>
    </w:p>
    <w:p w:rsidR="00AB1CFE" w:rsidRDefault="00AB1CFE" w:rsidP="00780119">
      <w:pPr>
        <w:ind w:right="-144"/>
        <w:jc w:val="both"/>
        <w:rPr>
          <w:sz w:val="22"/>
          <w:szCs w:val="22"/>
        </w:rPr>
      </w:pPr>
    </w:p>
    <w:p w:rsidR="00AB1CFE" w:rsidRDefault="001769B4" w:rsidP="00780119">
      <w:pPr>
        <w:ind w:right="-144"/>
        <w:jc w:val="both"/>
        <w:rPr>
          <w:sz w:val="22"/>
          <w:szCs w:val="22"/>
        </w:rPr>
      </w:pPr>
      <w:r w:rsidRPr="001769B4">
        <w:rPr>
          <w:sz w:val="22"/>
          <w:szCs w:val="22"/>
        </w:rPr>
        <w:t xml:space="preserve">Στο σύνολο του 2018, ο πληθωρισμός αναμένεται θετικός αλλά </w:t>
      </w:r>
      <w:r w:rsidR="00430F34">
        <w:rPr>
          <w:sz w:val="22"/>
          <w:szCs w:val="22"/>
        </w:rPr>
        <w:t xml:space="preserve">χαμηλότερος </w:t>
      </w:r>
      <w:r w:rsidRPr="001769B4">
        <w:rPr>
          <w:sz w:val="22"/>
          <w:szCs w:val="22"/>
        </w:rPr>
        <w:t xml:space="preserve">έναντι του 2017, στο +0,8% βάσει </w:t>
      </w:r>
      <w:r w:rsidR="00430F34">
        <w:rPr>
          <w:sz w:val="22"/>
          <w:szCs w:val="22"/>
        </w:rPr>
        <w:t xml:space="preserve">του </w:t>
      </w:r>
      <w:r w:rsidRPr="001769B4">
        <w:rPr>
          <w:sz w:val="22"/>
          <w:szCs w:val="22"/>
        </w:rPr>
        <w:t xml:space="preserve">εναρμονισμένου Δείκτη Τιμών Καταναλωτή (ΔΤΚ), παρά την εξωτερική </w:t>
      </w:r>
      <w:r w:rsidR="00777BD8">
        <w:rPr>
          <w:sz w:val="22"/>
          <w:szCs w:val="22"/>
        </w:rPr>
        <w:t>εκτίμηση γ</w:t>
      </w:r>
      <w:r w:rsidRPr="001769B4">
        <w:rPr>
          <w:sz w:val="22"/>
          <w:szCs w:val="22"/>
        </w:rPr>
        <w:t xml:space="preserve">ια σημαντική αύξηση των διεθνών τιμών του πετρελαίου σε ετήσια βάση. Σε αυτό συντελεί το γεγονός ότι η αυξητική επίδραση στις τιμές από τις αυξήσεις έμμεσων φόρων του δεύτερου </w:t>
      </w:r>
      <w:r w:rsidR="00430F34">
        <w:rPr>
          <w:sz w:val="22"/>
          <w:szCs w:val="22"/>
        </w:rPr>
        <w:t xml:space="preserve">εξαμήνου του </w:t>
      </w:r>
      <w:r w:rsidRPr="001769B4">
        <w:rPr>
          <w:sz w:val="22"/>
          <w:szCs w:val="22"/>
        </w:rPr>
        <w:t>2016 και του 2017 είχε ήδη εξαντληθεί στις αρχές του 2018. Αυτό αντανακλάται στον Εναρμονισμένο ΔΤΚ με σταθερούς φόρους, του οποίου η απόκλιση από τον γενικό Εναρμονισμένο δείκτη μειώθηκε το πρώτο δεκάμηνο του 2018 σε 0,1%, από 0,9% το αντίστοιχο διάστημα του 2017.</w:t>
      </w:r>
    </w:p>
    <w:p w:rsidR="00AB1CFE" w:rsidRDefault="00AB1CFE" w:rsidP="00780119">
      <w:pPr>
        <w:ind w:right="-144"/>
        <w:jc w:val="both"/>
        <w:rPr>
          <w:sz w:val="22"/>
          <w:szCs w:val="22"/>
        </w:rPr>
      </w:pPr>
    </w:p>
    <w:p w:rsidR="00AB1CFE" w:rsidRDefault="001769B4" w:rsidP="00780119">
      <w:pPr>
        <w:ind w:right="-144"/>
        <w:jc w:val="both"/>
        <w:rPr>
          <w:sz w:val="22"/>
          <w:szCs w:val="22"/>
        </w:rPr>
      </w:pPr>
      <w:r w:rsidRPr="001769B4">
        <w:rPr>
          <w:sz w:val="22"/>
          <w:szCs w:val="22"/>
        </w:rPr>
        <w:t xml:space="preserve">Ο πυρήνας </w:t>
      </w:r>
      <w:r w:rsidR="00794063">
        <w:rPr>
          <w:sz w:val="22"/>
          <w:szCs w:val="22"/>
        </w:rPr>
        <w:t xml:space="preserve">του </w:t>
      </w:r>
      <w:r w:rsidRPr="001769B4">
        <w:rPr>
          <w:sz w:val="22"/>
          <w:szCs w:val="22"/>
        </w:rPr>
        <w:t>πληθωρισμού έμεινε στάσιμος στην Ελλάδα την περίοδο Ιανου</w:t>
      </w:r>
      <w:r w:rsidR="00430F34">
        <w:rPr>
          <w:sz w:val="22"/>
          <w:szCs w:val="22"/>
        </w:rPr>
        <w:t>αρίου</w:t>
      </w:r>
      <w:r w:rsidRPr="001769B4">
        <w:rPr>
          <w:sz w:val="22"/>
          <w:szCs w:val="22"/>
        </w:rPr>
        <w:t xml:space="preserve"> - Οκτωβρίου 2018 (+0,1% σε ετήσια βάση), εν μέσω του ακόμα ασθενή πυρήνα πληθωρισμού στην Ευρωζώνη</w:t>
      </w:r>
      <w:r w:rsidRPr="001769B4">
        <w:rPr>
          <w:sz w:val="22"/>
          <w:szCs w:val="22"/>
          <w:vertAlign w:val="superscript"/>
        </w:rPr>
        <w:footnoteReference w:id="27"/>
      </w:r>
      <w:r w:rsidRPr="001769B4">
        <w:rPr>
          <w:sz w:val="22"/>
          <w:szCs w:val="22"/>
        </w:rPr>
        <w:t xml:space="preserve"> και του υψηλού (παρότι φθίνοντος) εγχώριου ποσοστού ανεργίας. Την ίδια περίοδο, ο Εθνικός ΔΤΚ</w:t>
      </w:r>
      <w:r w:rsidR="00357716">
        <w:rPr>
          <w:sz w:val="22"/>
          <w:szCs w:val="22"/>
        </w:rPr>
        <w:t xml:space="preserve"> </w:t>
      </w:r>
      <w:r w:rsidRPr="001769B4">
        <w:rPr>
          <w:sz w:val="22"/>
          <w:szCs w:val="22"/>
        </w:rPr>
        <w:t xml:space="preserve">κινήθηκε </w:t>
      </w:r>
      <w:r w:rsidR="00F33A16">
        <w:rPr>
          <w:sz w:val="22"/>
          <w:szCs w:val="22"/>
        </w:rPr>
        <w:t xml:space="preserve">οριακά </w:t>
      </w:r>
      <w:r w:rsidRPr="001769B4">
        <w:rPr>
          <w:sz w:val="22"/>
          <w:szCs w:val="22"/>
        </w:rPr>
        <w:t>ανοδικά, κατά 0,6% έναντι του 2017, εν μέσω παρόμοιας αύξησης τιμών τόσο στα εμπορεύματα (+0,7%), όσο και στις υπηρεσίες (+0,5%). Κοντά στον Εθνικό ΔΤΚ κυμάνθηκε και ο Εναρμονισμένος ΔΤΚ, προσεγγίζοντας το επίπεδο της πρόβλεψης για το σύνολο του έτους (+0,8%), σημαντικά κάτω από την αντίστοιχη πρόβλεψη για την ευρωζώνη (+1,7%).</w:t>
      </w:r>
    </w:p>
    <w:p w:rsidR="00AB1CFE" w:rsidRDefault="00AB1CFE" w:rsidP="00780119">
      <w:pPr>
        <w:ind w:right="-144"/>
        <w:jc w:val="both"/>
        <w:rPr>
          <w:sz w:val="22"/>
          <w:szCs w:val="22"/>
        </w:rPr>
      </w:pPr>
    </w:p>
    <w:p w:rsidR="001769B4" w:rsidRPr="00605312" w:rsidRDefault="001769B4" w:rsidP="00780119">
      <w:pPr>
        <w:jc w:val="both"/>
        <w:rPr>
          <w:rFonts w:ascii="Arial Narrow" w:hAnsi="Arial Narrow"/>
          <w:b/>
          <w:color w:val="000080"/>
          <w:szCs w:val="22"/>
        </w:rPr>
      </w:pPr>
      <w:r w:rsidRPr="00FE35C4">
        <w:rPr>
          <w:rFonts w:ascii="Arial Narrow" w:hAnsi="Arial Narrow"/>
          <w:b/>
          <w:color w:val="000080"/>
          <w:szCs w:val="22"/>
        </w:rPr>
        <w:t>Απασχόληση – Ανεργία</w:t>
      </w:r>
    </w:p>
    <w:p w:rsidR="00AB1CFE" w:rsidRDefault="00AB1CFE" w:rsidP="00780119">
      <w:pPr>
        <w:ind w:right="-144"/>
        <w:jc w:val="both"/>
        <w:rPr>
          <w:sz w:val="22"/>
          <w:szCs w:val="22"/>
        </w:rPr>
      </w:pPr>
    </w:p>
    <w:p w:rsidR="00AB1CFE" w:rsidRDefault="001769B4" w:rsidP="00780119">
      <w:pPr>
        <w:ind w:right="-144"/>
        <w:jc w:val="both"/>
        <w:rPr>
          <w:sz w:val="22"/>
          <w:szCs w:val="22"/>
        </w:rPr>
      </w:pPr>
      <w:r w:rsidRPr="001769B4">
        <w:rPr>
          <w:sz w:val="22"/>
          <w:szCs w:val="22"/>
        </w:rPr>
        <w:t>Οι εξελίξεις στην αγορά εργασίας συνεχίζουν να είναι θετικές το 2018, σε συμ</w:t>
      </w:r>
      <w:r w:rsidR="00794063">
        <w:rPr>
          <w:sz w:val="22"/>
          <w:szCs w:val="22"/>
        </w:rPr>
        <w:t>φωνία</w:t>
      </w:r>
      <w:r w:rsidRPr="001769B4">
        <w:rPr>
          <w:sz w:val="22"/>
          <w:szCs w:val="22"/>
        </w:rPr>
        <w:t xml:space="preserve"> με την εκτίμηση του βασικού μακροοικονομικού σεναρίου για συνεχιζόμενη αύξηση της απασχόλησης.</w:t>
      </w:r>
    </w:p>
    <w:p w:rsidR="00AB1CFE" w:rsidRDefault="00AB1CFE" w:rsidP="00780119">
      <w:pPr>
        <w:ind w:right="-144"/>
        <w:jc w:val="both"/>
        <w:rPr>
          <w:sz w:val="22"/>
          <w:szCs w:val="22"/>
        </w:rPr>
      </w:pPr>
    </w:p>
    <w:p w:rsidR="00AB1CFE" w:rsidRDefault="001769B4" w:rsidP="00780119">
      <w:pPr>
        <w:ind w:right="-144"/>
        <w:jc w:val="both"/>
        <w:rPr>
          <w:sz w:val="22"/>
          <w:szCs w:val="22"/>
        </w:rPr>
      </w:pPr>
      <w:r w:rsidRPr="001769B4">
        <w:rPr>
          <w:sz w:val="22"/>
          <w:szCs w:val="22"/>
        </w:rPr>
        <w:lastRenderedPageBreak/>
        <w:t xml:space="preserve">Εθνικολογιστικά, στους πρώτους έξι μήνες του 2018 η απασχόληση αυξήθηκε κατά 1,6% έναντι 1,7% στο πρώτο εξάμηνο του 2017, εν μέσω της συγκριτικά μεγαλύτερης πτώσης στο εργατικό δυναμικό </w:t>
      </w:r>
      <w:r w:rsidR="007059EE">
        <w:rPr>
          <w:sz w:val="22"/>
          <w:szCs w:val="22"/>
        </w:rPr>
        <w:t xml:space="preserve">    </w:t>
      </w:r>
      <w:r w:rsidRPr="001769B4">
        <w:rPr>
          <w:sz w:val="22"/>
          <w:szCs w:val="22"/>
        </w:rPr>
        <w:t>(-0,8% έναντι -0,3% αντίστοιχα). Η αύξηση της απασχόλησης προέρχεται κυρίως από την ομόρροπη τάση της εξαρτημένης εργασίας και δευτερευόντως από τη</w:t>
      </w:r>
      <w:r w:rsidR="00777BD8">
        <w:rPr>
          <w:sz w:val="22"/>
          <w:szCs w:val="22"/>
        </w:rPr>
        <w:t xml:space="preserve"> μικρότερη </w:t>
      </w:r>
      <w:r w:rsidRPr="001769B4">
        <w:rPr>
          <w:sz w:val="22"/>
          <w:szCs w:val="22"/>
        </w:rPr>
        <w:t>αύξηση στους αυτοαπασχολο</w:t>
      </w:r>
      <w:r w:rsidRPr="001769B4">
        <w:rPr>
          <w:sz w:val="22"/>
          <w:szCs w:val="22"/>
        </w:rPr>
        <w:t>ύ</w:t>
      </w:r>
      <w:r w:rsidRPr="001769B4">
        <w:rPr>
          <w:sz w:val="22"/>
          <w:szCs w:val="22"/>
        </w:rPr>
        <w:t>μενους (2,1% και 0,6% σε ετήσια βάση, αντίστοιχα). Την</w:t>
      </w:r>
      <w:r w:rsidR="00096221" w:rsidRPr="00096221">
        <w:rPr>
          <w:szCs w:val="22"/>
        </w:rPr>
        <w:t xml:space="preserve"> </w:t>
      </w:r>
      <w:r w:rsidRPr="001769B4">
        <w:rPr>
          <w:sz w:val="22"/>
          <w:szCs w:val="22"/>
        </w:rPr>
        <w:t>ίδια περίοδο, η συνολική μισθολογική δαπάνη διπλασιάστηκε (+3,1% έναντι +1,6 το πρώτο εξάμηνο 2017), και ο μέσος ονομαστικός μισθός αυξήθ</w:t>
      </w:r>
      <w:r w:rsidRPr="001769B4">
        <w:rPr>
          <w:sz w:val="22"/>
          <w:szCs w:val="22"/>
        </w:rPr>
        <w:t>η</w:t>
      </w:r>
      <w:r w:rsidRPr="001769B4">
        <w:rPr>
          <w:sz w:val="22"/>
          <w:szCs w:val="22"/>
        </w:rPr>
        <w:t>κε κατά 0,9% έναντι στασιμότητας το ίδιο διάστημα του 2017, στηρίζοντας την εκτίμηση για ταχύτερη βελτίωση</w:t>
      </w:r>
      <w:r w:rsidR="00357716">
        <w:rPr>
          <w:sz w:val="22"/>
          <w:szCs w:val="22"/>
        </w:rPr>
        <w:t xml:space="preserve"> </w:t>
      </w:r>
      <w:r w:rsidRPr="001769B4">
        <w:rPr>
          <w:sz w:val="22"/>
          <w:szCs w:val="22"/>
        </w:rPr>
        <w:t xml:space="preserve">της πραγματικής μισθολογικής δαπάνης και δυναμική ανάκαμψη της ιδιωτικής κατανάλωσης. </w:t>
      </w:r>
    </w:p>
    <w:p w:rsidR="00AB1CFE" w:rsidRDefault="00AB1CFE" w:rsidP="00780119">
      <w:pPr>
        <w:ind w:right="-144"/>
        <w:jc w:val="both"/>
        <w:rPr>
          <w:sz w:val="22"/>
          <w:szCs w:val="22"/>
        </w:rPr>
      </w:pPr>
    </w:p>
    <w:p w:rsidR="00AB1CFE" w:rsidRDefault="001769B4" w:rsidP="00780119">
      <w:pPr>
        <w:ind w:right="-144"/>
        <w:jc w:val="both"/>
        <w:rPr>
          <w:sz w:val="22"/>
          <w:szCs w:val="22"/>
        </w:rPr>
      </w:pPr>
      <w:r w:rsidRPr="001769B4">
        <w:rPr>
          <w:sz w:val="22"/>
          <w:szCs w:val="22"/>
        </w:rPr>
        <w:t>Βάσει της μηνιαίας Έρευνας Εργατικού Δυναμικού (πρώτο οκτάμηνο του 2018), η απασχόληση αυξ</w:t>
      </w:r>
      <w:r w:rsidRPr="001769B4">
        <w:rPr>
          <w:sz w:val="22"/>
          <w:szCs w:val="22"/>
        </w:rPr>
        <w:t>ή</w:t>
      </w:r>
      <w:r w:rsidRPr="001769B4">
        <w:rPr>
          <w:sz w:val="22"/>
          <w:szCs w:val="22"/>
        </w:rPr>
        <w:t>θηκε κατά 1,7%, με επιβραδυμένο πάντως ρυθμό έναντι του οκταμήνου 2017 (+2,1%). Η επιβράδυνση εντοπίζεται περισσότερο στους μήνες Φεβρουάριο, Απρίλιο, και Ιούλιο, και είναι συμβατή με την εκτ</w:t>
      </w:r>
      <w:r w:rsidRPr="001769B4">
        <w:rPr>
          <w:sz w:val="22"/>
          <w:szCs w:val="22"/>
        </w:rPr>
        <w:t>ί</w:t>
      </w:r>
      <w:r w:rsidRPr="001769B4">
        <w:rPr>
          <w:sz w:val="22"/>
          <w:szCs w:val="22"/>
        </w:rPr>
        <w:t>μηση ανάλογης εθνικολογιστικής τάσης σε επίπεδο δωδεκαμήνου (+1,3% στο σύνολο του 2018, χαμ</w:t>
      </w:r>
      <w:r w:rsidRPr="001769B4">
        <w:rPr>
          <w:sz w:val="22"/>
          <w:szCs w:val="22"/>
        </w:rPr>
        <w:t>η</w:t>
      </w:r>
      <w:r w:rsidRPr="001769B4">
        <w:rPr>
          <w:sz w:val="22"/>
          <w:szCs w:val="22"/>
        </w:rPr>
        <w:t xml:space="preserve">λότερα του αναθεωρημένου ρυθμού +1,5% για το 2017). </w:t>
      </w:r>
    </w:p>
    <w:p w:rsidR="00AB1CFE" w:rsidRDefault="00AB1CFE" w:rsidP="00780119">
      <w:pPr>
        <w:ind w:right="-144"/>
        <w:jc w:val="both"/>
        <w:rPr>
          <w:sz w:val="22"/>
          <w:szCs w:val="22"/>
        </w:rPr>
      </w:pPr>
    </w:p>
    <w:p w:rsidR="00AB1CFE" w:rsidRDefault="00306A49" w:rsidP="00780119">
      <w:pPr>
        <w:ind w:right="-144"/>
        <w:jc w:val="both"/>
        <w:rPr>
          <w:sz w:val="22"/>
          <w:szCs w:val="22"/>
        </w:rPr>
      </w:pPr>
      <w:r>
        <w:rPr>
          <w:sz w:val="22"/>
          <w:szCs w:val="22"/>
        </w:rPr>
        <w:t>Αντίθετα με το</w:t>
      </w:r>
      <w:r w:rsidR="001769B4" w:rsidRPr="001769B4">
        <w:rPr>
          <w:sz w:val="22"/>
          <w:szCs w:val="22"/>
        </w:rPr>
        <w:t xml:space="preserve"> ρυθμό απασχόλησης, η ανεργία μειώθηκε με επιταχυνόμενο ρυθμό στο ίδιο διάστημα, τόσο σε απόλυτους αριθμούς (κατά 107,5 χιλιάδες άτομα έναντι μείωσης 95,2 χιλιάδων το πρώτο οκτ</w:t>
      </w:r>
      <w:r w:rsidR="001769B4" w:rsidRPr="001769B4">
        <w:rPr>
          <w:sz w:val="22"/>
          <w:szCs w:val="22"/>
        </w:rPr>
        <w:t>ά</w:t>
      </w:r>
      <w:r w:rsidR="001769B4" w:rsidRPr="001769B4">
        <w:rPr>
          <w:sz w:val="22"/>
          <w:szCs w:val="22"/>
        </w:rPr>
        <w:t>μηνο του 2017) όσο και ως ποσοστό του εργατικού δυναμικού (κατά 2,1 ποσοστιαίες μονάδες έναντι 1,9 μονάδων το πρώτο οκτάμηνο του 2017, στο 18,9% του εργατικού δυναμικού τον Αύγουστο 2018). Η αντιδιαστολή στους ρυθμούς βελτίωσης μεταξύ ανεργίας και απασχόλησης εντός του 2018 επιβεβα</w:t>
      </w:r>
      <w:r w:rsidR="001769B4" w:rsidRPr="001769B4">
        <w:rPr>
          <w:sz w:val="22"/>
          <w:szCs w:val="22"/>
        </w:rPr>
        <w:t>ι</w:t>
      </w:r>
      <w:r w:rsidR="001769B4" w:rsidRPr="001769B4">
        <w:rPr>
          <w:sz w:val="22"/>
          <w:szCs w:val="22"/>
        </w:rPr>
        <w:t xml:space="preserve">ώνει, και στη βάση της Έρευνας Εργατικού Δυναμικού, την ταχύτερη μείωση </w:t>
      </w:r>
      <w:r w:rsidR="00430F34">
        <w:rPr>
          <w:sz w:val="22"/>
          <w:szCs w:val="22"/>
        </w:rPr>
        <w:t xml:space="preserve">του </w:t>
      </w:r>
      <w:r w:rsidR="001769B4" w:rsidRPr="001769B4">
        <w:rPr>
          <w:sz w:val="22"/>
          <w:szCs w:val="22"/>
        </w:rPr>
        <w:t>εργατικού δυναμικού που διαπιστώνεται εθνικολογιστικά (κατά 0,9% έναντι 0,4% στους οκτώ πρώτους μήνες του 2017). Στο σύνολο του 2018, η ανεργία αναμένεται να μειωθεί κατά μέσο όρο πέραν του 19,7% του πρώτου οκτ</w:t>
      </w:r>
      <w:r w:rsidR="001769B4" w:rsidRPr="001769B4">
        <w:rPr>
          <w:sz w:val="22"/>
          <w:szCs w:val="22"/>
        </w:rPr>
        <w:t>α</w:t>
      </w:r>
      <w:r w:rsidR="001769B4" w:rsidRPr="001769B4">
        <w:rPr>
          <w:sz w:val="22"/>
          <w:szCs w:val="22"/>
        </w:rPr>
        <w:t xml:space="preserve">μήνου, στο 19,6% του εργατικού δυναμικού. </w:t>
      </w:r>
    </w:p>
    <w:p w:rsidR="00AB1CFE" w:rsidRDefault="00AB1CFE" w:rsidP="00780119">
      <w:pPr>
        <w:ind w:right="-144"/>
        <w:jc w:val="both"/>
        <w:rPr>
          <w:sz w:val="22"/>
          <w:szCs w:val="22"/>
        </w:rPr>
      </w:pPr>
    </w:p>
    <w:p w:rsidR="00AB1CFE" w:rsidRDefault="001769B4" w:rsidP="00780119">
      <w:pPr>
        <w:ind w:right="-144"/>
        <w:jc w:val="both"/>
        <w:rPr>
          <w:sz w:val="22"/>
          <w:szCs w:val="22"/>
        </w:rPr>
      </w:pPr>
      <w:r w:rsidRPr="001769B4">
        <w:rPr>
          <w:sz w:val="22"/>
          <w:szCs w:val="22"/>
        </w:rPr>
        <w:t>Το ποσοστό της πλήρους απασχόλησης στο σύνολο απασχολούμενων αυξήθηκε το πρώτο εξάμηνο του 2018</w:t>
      </w:r>
      <w:r w:rsidRPr="001769B4">
        <w:rPr>
          <w:sz w:val="22"/>
          <w:szCs w:val="22"/>
          <w:vertAlign w:val="superscript"/>
        </w:rPr>
        <w:footnoteReference w:id="28"/>
      </w:r>
      <w:r w:rsidRPr="001769B4">
        <w:rPr>
          <w:sz w:val="22"/>
          <w:szCs w:val="22"/>
        </w:rPr>
        <w:t>, σε 90,5% από 89,8% το πρώτο εξάμηνο του 2017, περιορίζοντας αντιστοίχως τη μερική απα</w:t>
      </w:r>
      <w:r w:rsidRPr="001769B4">
        <w:rPr>
          <w:sz w:val="22"/>
          <w:szCs w:val="22"/>
        </w:rPr>
        <w:t>σ</w:t>
      </w:r>
      <w:r w:rsidRPr="001769B4">
        <w:rPr>
          <w:sz w:val="22"/>
          <w:szCs w:val="22"/>
        </w:rPr>
        <w:t>χόληση σε 9,5% από 10,2% το πρώτο εξάμηνο του 2017. Αυτό στηρίζει την εκτίμηση για ανάκαμψη του πραγματικού μέσου μισθού από το τρέχον έτος. Στο ίδιο διάστημα, η μακροχρόνια ανεργία συνέχ</w:t>
      </w:r>
      <w:r w:rsidRPr="001769B4">
        <w:rPr>
          <w:sz w:val="22"/>
          <w:szCs w:val="22"/>
        </w:rPr>
        <w:t>ι</w:t>
      </w:r>
      <w:r w:rsidRPr="001769B4">
        <w:rPr>
          <w:sz w:val="22"/>
          <w:szCs w:val="22"/>
        </w:rPr>
        <w:t xml:space="preserve">σε να μειώνεται (στο </w:t>
      </w:r>
      <w:r w:rsidR="00794063" w:rsidRPr="001769B4">
        <w:rPr>
          <w:sz w:val="22"/>
          <w:szCs w:val="22"/>
        </w:rPr>
        <w:t xml:space="preserve">υψηλό </w:t>
      </w:r>
      <w:r w:rsidRPr="001769B4">
        <w:rPr>
          <w:sz w:val="22"/>
          <w:szCs w:val="22"/>
        </w:rPr>
        <w:t>ωστόσο 70,3% έναντι 71,9% στο πρώτο εξάμηνο του 2017), ενώ η ανεργία των νέων βελτιώθηκε κατά 3,7 ποσοστιαίες μονάδες, στο 41,6% του νεανικού εργατικού δυναμικού.</w:t>
      </w:r>
    </w:p>
    <w:p w:rsidR="003F747A" w:rsidRDefault="003F747A" w:rsidP="00780119">
      <w:pPr>
        <w:ind w:right="-144"/>
        <w:jc w:val="both"/>
        <w:rPr>
          <w:sz w:val="22"/>
          <w:szCs w:val="22"/>
        </w:rPr>
      </w:pPr>
    </w:p>
    <w:p w:rsidR="001769B4" w:rsidRPr="00944AEC" w:rsidRDefault="001769B4" w:rsidP="00780119">
      <w:pPr>
        <w:jc w:val="both"/>
        <w:rPr>
          <w:rFonts w:ascii="Arial Narrow" w:hAnsi="Arial Narrow"/>
          <w:b/>
          <w:color w:val="000080"/>
        </w:rPr>
      </w:pPr>
      <w:r w:rsidRPr="00944AEC">
        <w:rPr>
          <w:rFonts w:ascii="Arial Narrow" w:hAnsi="Arial Narrow"/>
          <w:b/>
          <w:color w:val="000080"/>
        </w:rPr>
        <w:t>Νομισματικές και πιστωτικές εξελίξεις</w:t>
      </w:r>
      <w:r w:rsidR="0019624A">
        <w:rPr>
          <w:rFonts w:ascii="Arial Narrow" w:hAnsi="Arial Narrow"/>
          <w:b/>
          <w:color w:val="000080"/>
        </w:rPr>
        <w:t xml:space="preserve"> στην Ελλάδα</w:t>
      </w:r>
    </w:p>
    <w:p w:rsidR="00AB1CFE" w:rsidRDefault="00AB1CFE"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Ο ετήσιος ρυθμός μεταβολής του συνόλου των εγχώριων καταθέσεων που συνιστούν την ελληνική συμβολή στο Μ3 της ζώνης του ευρώ, ενισχύθηκε περαιτέρω το 2018 με αποτέλεσμα να διαμορφωθεί τους πρώτους εννέα μήνες του έτους κατά μέσο όρο σε 6,5% (μέσος ετήσιος ρυθμός κατά το 2017: 4,5%). Στην ανωτέρω εξέλιξη συνέβαλαν από κοινού οι δύο βασικές συνιστώσες του, δηλαδή οι κατ</w:t>
      </w:r>
      <w:r w:rsidRPr="001769B4">
        <w:rPr>
          <w:sz w:val="22"/>
          <w:szCs w:val="22"/>
        </w:rPr>
        <w:t>α</w:t>
      </w:r>
      <w:r w:rsidRPr="001769B4">
        <w:rPr>
          <w:sz w:val="22"/>
          <w:szCs w:val="22"/>
        </w:rPr>
        <w:t>θέσεις διάρκειας μίας ημέρας και οι καταθέσεις προθεσμίας έως 2 έτη, οι ετήσιοι ρυθμοί μεταβολής των οποίων επιταχύνθηκαν κατά μέσο όρο τους πρώτους εννέα μήνες του έτους σε 6,4% και 8,3% αντίστο</w:t>
      </w:r>
      <w:r w:rsidRPr="001769B4">
        <w:rPr>
          <w:sz w:val="22"/>
          <w:szCs w:val="22"/>
        </w:rPr>
        <w:t>ι</w:t>
      </w:r>
      <w:r w:rsidRPr="001769B4">
        <w:rPr>
          <w:sz w:val="22"/>
          <w:szCs w:val="22"/>
        </w:rPr>
        <w:t>χα (από 5,1% και 4,2% αντίστοιχα κατά μέσο όρο το 2017).</w:t>
      </w:r>
      <w:r w:rsidR="00357716">
        <w:rPr>
          <w:sz w:val="22"/>
          <w:szCs w:val="22"/>
        </w:rPr>
        <w:t xml:space="preserve">   </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Τους πρώτους εννέα μήνες του τρέχοντος έτους παρατηρήθηκε εισροή καταθέσεων προς τα εγχώρια πιστωτικά ιδρύματα. Ειδικότερα, οι τραπεζικές καταθέσεις των μη χρηματοπιστωτικών επιχειρήσεων αυξήθηκαν συνολικά περίπου κατά 1,5</w:t>
      </w:r>
      <w:r w:rsidR="00360902">
        <w:rPr>
          <w:sz w:val="22"/>
          <w:szCs w:val="22"/>
        </w:rPr>
        <w:t xml:space="preserve"> δισ</w:t>
      </w:r>
      <w:r w:rsidRPr="001769B4">
        <w:rPr>
          <w:sz w:val="22"/>
          <w:szCs w:val="22"/>
        </w:rPr>
        <w:t>. ευρώ (δηλ. κατά</w:t>
      </w:r>
      <w:r w:rsidR="00B1288B">
        <w:rPr>
          <w:sz w:val="22"/>
          <w:szCs w:val="22"/>
        </w:rPr>
        <w:t xml:space="preserve"> </w:t>
      </w:r>
      <w:r w:rsidRPr="001769B4">
        <w:rPr>
          <w:sz w:val="22"/>
          <w:szCs w:val="22"/>
        </w:rPr>
        <w:t>τι λιγότερο από ό,τι την ίδια περίοδο του 2017</w:t>
      </w:r>
      <w:r w:rsidR="00430F34" w:rsidRPr="001769B4">
        <w:rPr>
          <w:sz w:val="22"/>
          <w:szCs w:val="22"/>
        </w:rPr>
        <w:t>)</w:t>
      </w:r>
      <w:r w:rsidR="00430F34">
        <w:rPr>
          <w:sz w:val="22"/>
          <w:szCs w:val="22"/>
        </w:rPr>
        <w:t xml:space="preserve">, </w:t>
      </w:r>
      <w:r w:rsidRPr="001769B4">
        <w:rPr>
          <w:sz w:val="22"/>
          <w:szCs w:val="22"/>
        </w:rPr>
        <w:t>ενώ σημαντικά μεγαλύτερη αύξηση κατέγραψαν οι καταθέσεις των νοικοκυριών κατά 3,6 δισ. ευρώ (έναντι αύξησης 0,4 δισ. ευρώ την ίδια περίοδο του 2017). Οι κυριότεροι παράγοντες που ερμ</w:t>
      </w:r>
      <w:r w:rsidRPr="001769B4">
        <w:rPr>
          <w:sz w:val="22"/>
          <w:szCs w:val="22"/>
        </w:rPr>
        <w:t>η</w:t>
      </w:r>
      <w:r w:rsidRPr="001769B4">
        <w:rPr>
          <w:sz w:val="22"/>
          <w:szCs w:val="22"/>
        </w:rPr>
        <w:t>νεύουν την άνοδο στις καταθέσεις του εγχώριου ιδιωτικού μη χρηματοπιστωτικού τομέα, οι οποίες σ</w:t>
      </w:r>
      <w:r w:rsidRPr="001769B4">
        <w:rPr>
          <w:sz w:val="22"/>
          <w:szCs w:val="22"/>
        </w:rPr>
        <w:t>υ</w:t>
      </w:r>
      <w:r w:rsidRPr="001769B4">
        <w:rPr>
          <w:sz w:val="22"/>
          <w:szCs w:val="22"/>
        </w:rPr>
        <w:t>νιστούν την κυριότερη πηγή ρευστότητας για τις τράπεζες, ήταν η ανάκαμψη της οικονομικής δραστ</w:t>
      </w:r>
      <w:r w:rsidRPr="001769B4">
        <w:rPr>
          <w:sz w:val="22"/>
          <w:szCs w:val="22"/>
        </w:rPr>
        <w:t>η</w:t>
      </w:r>
      <w:r w:rsidRPr="001769B4">
        <w:rPr>
          <w:sz w:val="22"/>
          <w:szCs w:val="22"/>
        </w:rPr>
        <w:t>ριότητας</w:t>
      </w:r>
      <w:r w:rsidR="00777BD8">
        <w:rPr>
          <w:sz w:val="22"/>
          <w:szCs w:val="22"/>
        </w:rPr>
        <w:t xml:space="preserve"> </w:t>
      </w:r>
      <w:r w:rsidRPr="001769B4">
        <w:rPr>
          <w:sz w:val="22"/>
          <w:szCs w:val="22"/>
        </w:rPr>
        <w:t xml:space="preserve">και η βελτίωση της εμπιστοσύνης εκ μέρους των αποταμιευτών. Αξίζει να σημειωθεί ότι η </w:t>
      </w:r>
      <w:r w:rsidRPr="001769B4">
        <w:rPr>
          <w:sz w:val="22"/>
          <w:szCs w:val="22"/>
        </w:rPr>
        <w:t>ά</w:t>
      </w:r>
      <w:r w:rsidRPr="001769B4">
        <w:rPr>
          <w:sz w:val="22"/>
          <w:szCs w:val="22"/>
        </w:rPr>
        <w:t xml:space="preserve">νοδος των καταθέσεων έλαβε χώρα παρά την ταυτόχρονη πιστωτική συστολή που παρατηρήθηκε την ίδια περίοδο. </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lastRenderedPageBreak/>
        <w:t>Ο ετήσιος ρυθμός μεταβολής του υπολοίπου της χρηματοδότησης προς τον τομέα της γενικής κυβέρν</w:t>
      </w:r>
      <w:r w:rsidRPr="001769B4">
        <w:rPr>
          <w:sz w:val="22"/>
          <w:szCs w:val="22"/>
        </w:rPr>
        <w:t>η</w:t>
      </w:r>
      <w:r w:rsidRPr="001769B4">
        <w:rPr>
          <w:sz w:val="22"/>
          <w:szCs w:val="22"/>
        </w:rPr>
        <w:t>σης από το εγχώριο τραπεζικό σύστημα (συμπεριλαμβανομένης της Τραπέζης της Ελλάδος) παρέμεινε αρνητικός το 2018,</w:t>
      </w:r>
      <w:r w:rsidRPr="001769B4" w:rsidDel="001A3360">
        <w:rPr>
          <w:sz w:val="22"/>
          <w:szCs w:val="22"/>
        </w:rPr>
        <w:t xml:space="preserve"> </w:t>
      </w:r>
      <w:r w:rsidRPr="001769B4">
        <w:rPr>
          <w:sz w:val="22"/>
          <w:szCs w:val="22"/>
        </w:rPr>
        <w:t>όπως και το προηγούμενο έτος. Ο εν λόγω ρυθμός μεταβολής ήταν -5,6% το Σε</w:t>
      </w:r>
      <w:r w:rsidRPr="001769B4">
        <w:rPr>
          <w:sz w:val="22"/>
          <w:szCs w:val="22"/>
        </w:rPr>
        <w:t>π</w:t>
      </w:r>
      <w:r w:rsidRPr="001769B4">
        <w:rPr>
          <w:sz w:val="22"/>
          <w:szCs w:val="22"/>
        </w:rPr>
        <w:t>τέμβριο του 2018 (έναντι -6,5% το</w:t>
      </w:r>
      <w:r w:rsidR="008709A3">
        <w:rPr>
          <w:sz w:val="22"/>
          <w:szCs w:val="22"/>
        </w:rPr>
        <w:t>ν</w:t>
      </w:r>
      <w:r w:rsidRPr="001769B4" w:rsidDel="00C2235C">
        <w:rPr>
          <w:sz w:val="22"/>
          <w:szCs w:val="22"/>
        </w:rPr>
        <w:t xml:space="preserve"> </w:t>
      </w:r>
      <w:r w:rsidRPr="001769B4">
        <w:rPr>
          <w:sz w:val="22"/>
          <w:szCs w:val="22"/>
        </w:rPr>
        <w:t>Δεκέμβριο του 2017) και το εννεάμηνο Ιανουαρίου-Σεπτεμβρίου 2018 έλαβε κατά μέσο όρο σημαντικά υψηλότερες απόλυτες τιμές σε σύγκριση με την αντίστοιχη περ</w:t>
      </w:r>
      <w:r w:rsidRPr="001769B4">
        <w:rPr>
          <w:sz w:val="22"/>
          <w:szCs w:val="22"/>
        </w:rPr>
        <w:t>ί</w:t>
      </w:r>
      <w:r w:rsidRPr="001769B4">
        <w:rPr>
          <w:sz w:val="22"/>
          <w:szCs w:val="22"/>
        </w:rPr>
        <w:t>οδο του 2017. Η καταγραφή αρνητικών ρυθμών μεταβολής του υπολοίπου της χρηματοδότησης προς τον τομέα της γενικής κυβέρνησης το 2018 αντανακλά τη μείωση του υπολοίπου τόσο των δανείων των τραπεζών προς τη γενική κυβέρνηση, όσο και των τίτλων ελληνικού Δημοσίου στο χαρτοφυλάκιο των τραπεζών.</w:t>
      </w:r>
      <w:r w:rsidRPr="001769B4" w:rsidDel="00E560C7">
        <w:rPr>
          <w:sz w:val="22"/>
          <w:szCs w:val="22"/>
        </w:rPr>
        <w:t xml:space="preserve"> </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Όσον αφορά την τραπεζική χρηματοδότηση του ιδιωτικού μη χρηματοπιστωτικού τομέα της οικονομ</w:t>
      </w:r>
      <w:r w:rsidRPr="001769B4">
        <w:rPr>
          <w:sz w:val="22"/>
          <w:szCs w:val="22"/>
        </w:rPr>
        <w:t>ί</w:t>
      </w:r>
      <w:r w:rsidRPr="001769B4">
        <w:rPr>
          <w:sz w:val="22"/>
          <w:szCs w:val="22"/>
        </w:rPr>
        <w:t>ας, ο ετήσιος ρυθμός μείωσης των τραπεζικών πιστώσεων προς τα νοικοκυριά περιορίστηκε μόλις κατά 0,2</w:t>
      </w:r>
      <w:r w:rsidR="00357716">
        <w:rPr>
          <w:sz w:val="22"/>
          <w:szCs w:val="22"/>
        </w:rPr>
        <w:t xml:space="preserve"> </w:t>
      </w:r>
      <w:r w:rsidRPr="001769B4">
        <w:rPr>
          <w:sz w:val="22"/>
          <w:szCs w:val="22"/>
        </w:rPr>
        <w:t>εκατοστιαίες μονάδες τους πρώτους εννέα μήνες του 2018 και διαμορφώθηκε σε -2,1% τον Σεπτέ</w:t>
      </w:r>
      <w:r w:rsidRPr="001769B4">
        <w:rPr>
          <w:sz w:val="22"/>
          <w:szCs w:val="22"/>
        </w:rPr>
        <w:t>μ</w:t>
      </w:r>
      <w:r w:rsidRPr="001769B4">
        <w:rPr>
          <w:sz w:val="22"/>
          <w:szCs w:val="22"/>
        </w:rPr>
        <w:t>βριο. Αντίθετα, ο ετήσιος ρυθμός μεταβολής των τραπεζικών πιστώσεων προς τις μη χρηματοπιστωτ</w:t>
      </w:r>
      <w:r w:rsidRPr="001769B4">
        <w:rPr>
          <w:sz w:val="22"/>
          <w:szCs w:val="22"/>
        </w:rPr>
        <w:t>ι</w:t>
      </w:r>
      <w:r w:rsidRPr="001769B4">
        <w:rPr>
          <w:sz w:val="22"/>
          <w:szCs w:val="22"/>
        </w:rPr>
        <w:t xml:space="preserve">κές επιχειρήσεις, αφού διατηρήθηκε σε θετικές ή μηδενικές τιμές για έξι συνεχόμενους μήνες μέχρι και το Φεβρουάριο του 2018, μετά το Μάρτιο έλαβε εκ νέου αρνητικές τιμές και τον Σεπτέμβριο του 2018 ήταν -0,3% (Δεκέμβριος 2017: 0,4%). </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Αναλυτικότερα, από την πλευρά της ζήτησης τραπεζικών πιστώσεων, η καταγραφή ανόδου της οικον</w:t>
      </w:r>
      <w:r w:rsidRPr="001769B4">
        <w:rPr>
          <w:sz w:val="22"/>
          <w:szCs w:val="22"/>
        </w:rPr>
        <w:t>ο</w:t>
      </w:r>
      <w:r w:rsidRPr="001769B4">
        <w:rPr>
          <w:sz w:val="22"/>
          <w:szCs w:val="22"/>
        </w:rPr>
        <w:t>μικής δραστηριότητας το α΄ τρίμηνο του 2018 είχε αυξητική επίδραση στην εξέλιξη των τραπεζικών δανείων, ωστόσο το β΄ τρίμηνο του έτους η επίδραση αυτή εκτιμάται ότι κάπως περιορίστηκε, καθώς ο ετήσιος ρυθμός ανόδου του ΑΕΠ επιβραδύνθηκε.</w:t>
      </w:r>
      <w:r w:rsidR="00357716">
        <w:rPr>
          <w:sz w:val="22"/>
          <w:szCs w:val="22"/>
        </w:rPr>
        <w:t xml:space="preserve"> </w:t>
      </w:r>
      <w:r w:rsidRPr="001769B4">
        <w:rPr>
          <w:sz w:val="22"/>
          <w:szCs w:val="22"/>
        </w:rPr>
        <w:t xml:space="preserve">Από την πλευρά της προσφοράς, ο περιορισμός του υπολοίπου της τραπεζικής χρηματοδότησης την επισκοπούμενη περίοδο συνεχίζει να συνδέεται με τις επιπτώσεις στη ρευστότητα των τραπεζών, καθώς το απόθεμα των μη εξυπηρετούμενων ανοιγμάτων παραμένει σε υψηλό, ακόμη, επίπεδο. </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Πάντως, όσον αφορά τις πηγές άντλησης πόρων από τις ελληνικές τράπεζες, η δυνατότητά τους να π</w:t>
      </w:r>
      <w:r w:rsidRPr="001769B4">
        <w:rPr>
          <w:sz w:val="22"/>
          <w:szCs w:val="22"/>
        </w:rPr>
        <w:t>α</w:t>
      </w:r>
      <w:r w:rsidRPr="001769B4">
        <w:rPr>
          <w:sz w:val="22"/>
          <w:szCs w:val="22"/>
        </w:rPr>
        <w:t>ρέχουν δάνεια προς την οικονομία ενισχύθηκε</w:t>
      </w:r>
      <w:r w:rsidR="0019624A">
        <w:rPr>
          <w:sz w:val="22"/>
          <w:szCs w:val="22"/>
        </w:rPr>
        <w:t>,</w:t>
      </w:r>
      <w:r w:rsidRPr="001769B4">
        <w:rPr>
          <w:sz w:val="22"/>
          <w:szCs w:val="22"/>
        </w:rPr>
        <w:t xml:space="preserve"> μέσω της πρόσβασής τους στη διασυνοριακή διατραπ</w:t>
      </w:r>
      <w:r w:rsidRPr="001769B4">
        <w:rPr>
          <w:sz w:val="22"/>
          <w:szCs w:val="22"/>
        </w:rPr>
        <w:t>ε</w:t>
      </w:r>
      <w:r w:rsidRPr="001769B4">
        <w:rPr>
          <w:sz w:val="22"/>
          <w:szCs w:val="22"/>
        </w:rPr>
        <w:t xml:space="preserve">ζική αγορά, στις στοχευμένες πράξεις μακροπρόθεσμης αναχρηματοδότησης του Ευρωσυστήματος, καθώς και μέσω </w:t>
      </w:r>
      <w:r w:rsidR="00777BD8">
        <w:rPr>
          <w:sz w:val="22"/>
          <w:szCs w:val="22"/>
        </w:rPr>
        <w:t>της μείωσης του ανώτατου ορίου παροχής έκτακ</w:t>
      </w:r>
      <w:r w:rsidRPr="001769B4">
        <w:rPr>
          <w:sz w:val="22"/>
          <w:szCs w:val="22"/>
        </w:rPr>
        <w:t xml:space="preserve">της </w:t>
      </w:r>
      <w:r w:rsidR="00777BD8">
        <w:rPr>
          <w:sz w:val="22"/>
          <w:szCs w:val="22"/>
        </w:rPr>
        <w:t>ενίσχυσης σε ρευστότητα (</w:t>
      </w:r>
      <w:r w:rsidRPr="001769B4">
        <w:rPr>
          <w:sz w:val="22"/>
          <w:szCs w:val="22"/>
        </w:rPr>
        <w:t>ELA</w:t>
      </w:r>
      <w:r w:rsidR="00777BD8">
        <w:rPr>
          <w:sz w:val="22"/>
          <w:szCs w:val="22"/>
        </w:rPr>
        <w:t xml:space="preserve">) </w:t>
      </w:r>
      <w:r w:rsidRPr="001769B4">
        <w:rPr>
          <w:sz w:val="22"/>
          <w:szCs w:val="22"/>
        </w:rPr>
        <w:t>στο σύνολο της αντλούμενης από την κεντρική τράπεζα χρηματοδότησης. Επίσης, τα ελληνικά πιστ</w:t>
      </w:r>
      <w:r w:rsidRPr="001769B4">
        <w:rPr>
          <w:sz w:val="22"/>
          <w:szCs w:val="22"/>
        </w:rPr>
        <w:t>ω</w:t>
      </w:r>
      <w:r w:rsidRPr="001769B4">
        <w:rPr>
          <w:sz w:val="22"/>
          <w:szCs w:val="22"/>
        </w:rPr>
        <w:t>τικά ιδρύματα έχουν τη δυνατότητα να αντλούν χρηματοδότηση από τις αγορές κεφαλαίων. Μεσοπρ</w:t>
      </w:r>
      <w:r w:rsidRPr="001769B4">
        <w:rPr>
          <w:sz w:val="22"/>
          <w:szCs w:val="22"/>
        </w:rPr>
        <w:t>ό</w:t>
      </w:r>
      <w:r w:rsidRPr="001769B4">
        <w:rPr>
          <w:sz w:val="22"/>
          <w:szCs w:val="22"/>
        </w:rPr>
        <w:t>θεσμα, αναμένεται</w:t>
      </w:r>
      <w:r w:rsidR="00357716">
        <w:rPr>
          <w:sz w:val="22"/>
          <w:szCs w:val="22"/>
        </w:rPr>
        <w:t xml:space="preserve"> </w:t>
      </w:r>
      <w:r w:rsidRPr="001769B4">
        <w:rPr>
          <w:sz w:val="22"/>
          <w:szCs w:val="22"/>
        </w:rPr>
        <w:t xml:space="preserve">θετική επίδραση στην πιστωτική επέκταση από την εφαρμογή της πολιτικής μείωσης των μη εξυπηρετούμενων ανοιγμάτων από τις τράπεζες, </w:t>
      </w:r>
      <w:r w:rsidR="00794063">
        <w:rPr>
          <w:sz w:val="22"/>
          <w:szCs w:val="22"/>
        </w:rPr>
        <w:t xml:space="preserve">βάσει των </w:t>
      </w:r>
      <w:r w:rsidRPr="001769B4">
        <w:rPr>
          <w:sz w:val="22"/>
          <w:szCs w:val="22"/>
        </w:rPr>
        <w:t>συμφωνηθέντ</w:t>
      </w:r>
      <w:r w:rsidR="00794063">
        <w:rPr>
          <w:sz w:val="22"/>
          <w:szCs w:val="22"/>
        </w:rPr>
        <w:t>ων</w:t>
      </w:r>
      <w:r w:rsidRPr="001769B4">
        <w:rPr>
          <w:sz w:val="22"/>
          <w:szCs w:val="22"/>
        </w:rPr>
        <w:t xml:space="preserve"> στόχ</w:t>
      </w:r>
      <w:r w:rsidR="00794063">
        <w:rPr>
          <w:sz w:val="22"/>
          <w:szCs w:val="22"/>
        </w:rPr>
        <w:t>ων</w:t>
      </w:r>
      <w:r w:rsidRPr="001769B4">
        <w:rPr>
          <w:sz w:val="22"/>
          <w:szCs w:val="22"/>
        </w:rPr>
        <w:t>.</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Τα επιτόκια των νέων τραπεζικών καταθέσεων στην Ελλάδα σταθεροποιήθηκαν σε ιστορικά χαμηλά επίπεδα μετά από πολυετή τάση αποκλιμάκωσης, η οποία ξεκίνησε στα μέσα του</w:t>
      </w:r>
      <w:r w:rsidR="00357716">
        <w:rPr>
          <w:sz w:val="22"/>
          <w:szCs w:val="22"/>
        </w:rPr>
        <w:t xml:space="preserve"> </w:t>
      </w:r>
      <w:r w:rsidRPr="001769B4">
        <w:rPr>
          <w:sz w:val="22"/>
          <w:szCs w:val="22"/>
        </w:rPr>
        <w:t>2012. Το επιτόκιο των καταθέσεων προθεσμίας, περιλαμβανομένων των καταθέσεων των νοικοκυριών και των μη χρηματ</w:t>
      </w:r>
      <w:r w:rsidRPr="001769B4">
        <w:rPr>
          <w:sz w:val="22"/>
          <w:szCs w:val="22"/>
        </w:rPr>
        <w:t>ο</w:t>
      </w:r>
      <w:r w:rsidRPr="001769B4">
        <w:rPr>
          <w:sz w:val="22"/>
          <w:szCs w:val="22"/>
        </w:rPr>
        <w:t xml:space="preserve">πιστωτικών επιχειρήσεων, διαμορφώθηκε κατά μέσο όρο τους πρώτους </w:t>
      </w:r>
      <w:r w:rsidR="0019624A">
        <w:rPr>
          <w:sz w:val="22"/>
          <w:szCs w:val="22"/>
        </w:rPr>
        <w:t xml:space="preserve">εννέα </w:t>
      </w:r>
      <w:r w:rsidRPr="001769B4">
        <w:rPr>
          <w:sz w:val="22"/>
          <w:szCs w:val="22"/>
        </w:rPr>
        <w:t>μήνες του τρέχοντος έτ</w:t>
      </w:r>
      <w:r w:rsidRPr="001769B4">
        <w:rPr>
          <w:sz w:val="22"/>
          <w:szCs w:val="22"/>
        </w:rPr>
        <w:t>ο</w:t>
      </w:r>
      <w:r w:rsidRPr="001769B4">
        <w:rPr>
          <w:sz w:val="22"/>
          <w:szCs w:val="22"/>
        </w:rPr>
        <w:t>υς σε 0,65%, δηλ</w:t>
      </w:r>
      <w:r w:rsidR="00622222">
        <w:rPr>
          <w:sz w:val="22"/>
          <w:szCs w:val="22"/>
        </w:rPr>
        <w:t>αδή</w:t>
      </w:r>
      <w:r w:rsidRPr="001769B4">
        <w:rPr>
          <w:sz w:val="22"/>
          <w:szCs w:val="22"/>
        </w:rPr>
        <w:t xml:space="preserve"> μόλις κατά 1 μονάδα βάσης χαμηλότερα έναντι του μέσου επιτοκίου του 2017. Δεδομένης της σταθεροποίησης των ονομαστικών αποδόσεων και της παρατηρούμενης επιβράδυνσης του πληθωρισμού, οι πραγματικές αποδόσεις των καταθέσεων προθεσμίας </w:t>
      </w:r>
      <w:r w:rsidR="0019624A">
        <w:rPr>
          <w:sz w:val="22"/>
          <w:szCs w:val="22"/>
        </w:rPr>
        <w:t xml:space="preserve">διαμορφώθηκαν </w:t>
      </w:r>
      <w:r w:rsidRPr="001769B4">
        <w:rPr>
          <w:sz w:val="22"/>
          <w:szCs w:val="22"/>
        </w:rPr>
        <w:t>κατά μέσο όρο την περίοδο υπό ε</w:t>
      </w:r>
      <w:r w:rsidR="0019624A">
        <w:rPr>
          <w:sz w:val="22"/>
          <w:szCs w:val="22"/>
        </w:rPr>
        <w:t>ξέταση σε 0</w:t>
      </w:r>
      <w:r w:rsidRPr="001769B4">
        <w:rPr>
          <w:sz w:val="22"/>
          <w:szCs w:val="22"/>
        </w:rPr>
        <w:t xml:space="preserve">% από </w:t>
      </w:r>
      <w:r w:rsidR="0019624A">
        <w:rPr>
          <w:sz w:val="22"/>
          <w:szCs w:val="22"/>
        </w:rPr>
        <w:t>αρνητικές (</w:t>
      </w:r>
      <w:r w:rsidRPr="001769B4">
        <w:rPr>
          <w:sz w:val="22"/>
          <w:szCs w:val="22"/>
        </w:rPr>
        <w:t>-0,48%</w:t>
      </w:r>
      <w:r w:rsidR="0019624A">
        <w:rPr>
          <w:sz w:val="22"/>
          <w:szCs w:val="22"/>
        </w:rPr>
        <w:t>)</w:t>
      </w:r>
      <w:r w:rsidRPr="001769B4">
        <w:rPr>
          <w:sz w:val="22"/>
          <w:szCs w:val="22"/>
        </w:rPr>
        <w:t xml:space="preserve"> το 2017.</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 xml:space="preserve">Τα επιτόκια των νέων τραπεζικών δανείων προς τις μη χρηματοπιστωτικές επιχειρήσεις εξακολούθησαν να υποχωρούν για έβδομο </w:t>
      </w:r>
      <w:r w:rsidR="00B1288B" w:rsidRPr="001769B4">
        <w:rPr>
          <w:sz w:val="22"/>
          <w:szCs w:val="22"/>
        </w:rPr>
        <w:t xml:space="preserve">κατά </w:t>
      </w:r>
      <w:r w:rsidR="00B1288B">
        <w:rPr>
          <w:sz w:val="22"/>
          <w:szCs w:val="22"/>
        </w:rPr>
        <w:t xml:space="preserve">σειρά </w:t>
      </w:r>
      <w:r w:rsidRPr="001769B4">
        <w:rPr>
          <w:sz w:val="22"/>
          <w:szCs w:val="22"/>
        </w:rPr>
        <w:t xml:space="preserve">έτος. Η εξέλιξη αυτή αντανακλά </w:t>
      </w:r>
      <w:r w:rsidR="00385B19">
        <w:rPr>
          <w:sz w:val="22"/>
          <w:szCs w:val="22"/>
        </w:rPr>
        <w:t xml:space="preserve">κυρίως </w:t>
      </w:r>
      <w:r w:rsidRPr="001769B4">
        <w:rPr>
          <w:sz w:val="22"/>
          <w:szCs w:val="22"/>
        </w:rPr>
        <w:t>τη μείωση του κόστους άντλησης πόρων προς αναδανεισμό εκ μέρους των πιστωτικών ιδρυμάτων</w:t>
      </w:r>
      <w:r w:rsidR="00385B19">
        <w:rPr>
          <w:sz w:val="22"/>
          <w:szCs w:val="22"/>
        </w:rPr>
        <w:t>.</w:t>
      </w:r>
      <w:r w:rsidRPr="001769B4">
        <w:rPr>
          <w:sz w:val="22"/>
          <w:szCs w:val="22"/>
        </w:rPr>
        <w:t xml:space="preserve"> Η υποχώρηση του κόστους δανεισμού υποβοηθήθηκε από την επίδραση των προγραμμάτων χρηματοδότησης εκ μέρους δημοσίων φορέων</w:t>
      </w:r>
      <w:r w:rsidR="00794063">
        <w:rPr>
          <w:sz w:val="22"/>
          <w:szCs w:val="22"/>
        </w:rPr>
        <w:t>,</w:t>
      </w:r>
      <w:r w:rsidRPr="001769B4">
        <w:rPr>
          <w:sz w:val="22"/>
          <w:szCs w:val="22"/>
        </w:rPr>
        <w:t xml:space="preserve"> όπως ο όμιλος της Ευρωπαϊκής Τράπεζας Επενδύσεων (</w:t>
      </w:r>
      <w:r w:rsidRPr="001769B4">
        <w:rPr>
          <w:sz w:val="22"/>
          <w:szCs w:val="22"/>
          <w:lang w:val="en-US"/>
        </w:rPr>
        <w:t>EIB</w:t>
      </w:r>
      <w:r w:rsidRPr="001769B4">
        <w:rPr>
          <w:sz w:val="22"/>
          <w:szCs w:val="22"/>
        </w:rPr>
        <w:t>), η Ευρωπαϊκή Τράπεζα Ανασυ</w:t>
      </w:r>
      <w:r w:rsidRPr="001769B4">
        <w:rPr>
          <w:sz w:val="22"/>
          <w:szCs w:val="22"/>
        </w:rPr>
        <w:t>γ</w:t>
      </w:r>
      <w:r w:rsidRPr="001769B4">
        <w:rPr>
          <w:sz w:val="22"/>
          <w:szCs w:val="22"/>
        </w:rPr>
        <w:t>κρότησης και Ανάπτυξης (</w:t>
      </w:r>
      <w:r w:rsidRPr="001769B4">
        <w:rPr>
          <w:sz w:val="22"/>
          <w:szCs w:val="22"/>
          <w:lang w:val="en-US"/>
        </w:rPr>
        <w:t>EBRD</w:t>
      </w:r>
      <w:r w:rsidRPr="001769B4">
        <w:rPr>
          <w:sz w:val="22"/>
          <w:szCs w:val="22"/>
        </w:rPr>
        <w:t>) και το Εθνικό Ταμείο Επιχειρηματικότητας (ΕΤΕΑΝ). Αντίθετα, το κόστος τραπεζικού δανεισμού προς τα νοικοκυριά</w:t>
      </w:r>
      <w:r w:rsidR="00622222">
        <w:rPr>
          <w:sz w:val="22"/>
          <w:szCs w:val="22"/>
        </w:rPr>
        <w:t xml:space="preserve"> (στεγαστικά και καταναλωτικά δάνεια)</w:t>
      </w:r>
      <w:r w:rsidRPr="001769B4">
        <w:rPr>
          <w:sz w:val="22"/>
          <w:szCs w:val="22"/>
        </w:rPr>
        <w:t xml:space="preserve"> αυξήθηκε περαιτέρω την </w:t>
      </w:r>
      <w:r w:rsidR="00B1288B" w:rsidRPr="001769B4">
        <w:rPr>
          <w:sz w:val="22"/>
          <w:szCs w:val="22"/>
        </w:rPr>
        <w:t xml:space="preserve">υπό επισκόπηση </w:t>
      </w:r>
      <w:r w:rsidRPr="001769B4">
        <w:rPr>
          <w:sz w:val="22"/>
          <w:szCs w:val="22"/>
        </w:rPr>
        <w:t>περίοδο</w:t>
      </w:r>
      <w:r w:rsidR="00622222">
        <w:rPr>
          <w:sz w:val="22"/>
          <w:szCs w:val="22"/>
        </w:rPr>
        <w:t>.</w:t>
      </w:r>
      <w:r w:rsidRPr="001769B4">
        <w:rPr>
          <w:sz w:val="22"/>
          <w:szCs w:val="22"/>
        </w:rPr>
        <w:t xml:space="preserve"> Αναλυτικότερα, το μεσοσταθμικό επιτόκιο των δανείων προς τις μη χρηματοπιστωτικές επιχειρήσεις διαμορφώθηκε κατά μέσο όρο τους πρώτους </w:t>
      </w:r>
      <w:r w:rsidR="00385B19">
        <w:rPr>
          <w:sz w:val="22"/>
          <w:szCs w:val="22"/>
        </w:rPr>
        <w:t>εννέα μήνες του 2018 σε 4,07</w:t>
      </w:r>
      <w:r w:rsidRPr="001769B4">
        <w:rPr>
          <w:sz w:val="22"/>
          <w:szCs w:val="22"/>
        </w:rPr>
        <w:t>%, κατά 40 μονάδες βάσης χαμηλότερα έναντι του μέσου επιτοκίου του 2017. Το μεσο</w:t>
      </w:r>
      <w:r w:rsidRPr="001769B4">
        <w:rPr>
          <w:sz w:val="22"/>
          <w:szCs w:val="22"/>
        </w:rPr>
        <w:t>σ</w:t>
      </w:r>
      <w:r w:rsidRPr="001769B4">
        <w:rPr>
          <w:sz w:val="22"/>
          <w:szCs w:val="22"/>
        </w:rPr>
        <w:t>ταθμικό επιτόκιο των δανείων προς τα νοικοκυριά δι</w:t>
      </w:r>
      <w:r w:rsidR="00385B19">
        <w:rPr>
          <w:sz w:val="22"/>
          <w:szCs w:val="22"/>
        </w:rPr>
        <w:t>αμορφώθηκε κατά μέσο όρο σε 5,03</w:t>
      </w:r>
      <w:r w:rsidRPr="001769B4">
        <w:rPr>
          <w:sz w:val="22"/>
          <w:szCs w:val="22"/>
        </w:rPr>
        <w:t>%, δηλαδή κ</w:t>
      </w:r>
      <w:r w:rsidRPr="001769B4">
        <w:rPr>
          <w:sz w:val="22"/>
          <w:szCs w:val="22"/>
        </w:rPr>
        <w:t>α</w:t>
      </w:r>
      <w:r w:rsidRPr="001769B4">
        <w:rPr>
          <w:sz w:val="22"/>
          <w:szCs w:val="22"/>
        </w:rPr>
        <w:lastRenderedPageBreak/>
        <w:t>τά 1</w:t>
      </w:r>
      <w:r w:rsidR="00385B19">
        <w:rPr>
          <w:sz w:val="22"/>
          <w:szCs w:val="22"/>
        </w:rPr>
        <w:t>5</w:t>
      </w:r>
      <w:r w:rsidRPr="001769B4">
        <w:rPr>
          <w:sz w:val="22"/>
          <w:szCs w:val="22"/>
        </w:rPr>
        <w:t xml:space="preserve"> μονάδες βάσης υψηλότερα από το αντίστοιχο μέσο επιτόκιο του 2017. Η διαφορετική εξέλιξη στο κόστος δανεισμού μεταξύ των μη χρηματοπιστωτικών επιχειρήσεων και των νοικοκυριών είναι </w:t>
      </w:r>
      <w:r w:rsidR="00B1288B">
        <w:rPr>
          <w:sz w:val="22"/>
          <w:szCs w:val="22"/>
        </w:rPr>
        <w:t>συν</w:t>
      </w:r>
      <w:r w:rsidR="00B1288B">
        <w:rPr>
          <w:sz w:val="22"/>
          <w:szCs w:val="22"/>
        </w:rPr>
        <w:t>α</w:t>
      </w:r>
      <w:r w:rsidR="00B1288B">
        <w:rPr>
          <w:sz w:val="22"/>
          <w:szCs w:val="22"/>
        </w:rPr>
        <w:t>κόλουθη</w:t>
      </w:r>
      <w:r w:rsidRPr="001769B4">
        <w:rPr>
          <w:sz w:val="22"/>
          <w:szCs w:val="22"/>
        </w:rPr>
        <w:t xml:space="preserve"> με τη μετακίνηση χρηματοδοτικών πόρων προς τους πιο παραγωγικούς τομείς της οικονομίας.</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Σε πραγματικούς όρους, τα επιτόκια των τραπεζικών δανείων ενισχύθηκαν ως αποτέλεσμα της επιβρ</w:t>
      </w:r>
      <w:r w:rsidRPr="001769B4">
        <w:rPr>
          <w:sz w:val="22"/>
          <w:szCs w:val="22"/>
        </w:rPr>
        <w:t>ά</w:t>
      </w:r>
      <w:r w:rsidRPr="001769B4">
        <w:rPr>
          <w:sz w:val="22"/>
          <w:szCs w:val="22"/>
        </w:rPr>
        <w:t>δυνσης του πληθωρισμού. Κατά συνέπεια, το πραγματικό επιτόκιο των δανείων προς τις μη χρηματ</w:t>
      </w:r>
      <w:r w:rsidRPr="001769B4">
        <w:rPr>
          <w:sz w:val="22"/>
          <w:szCs w:val="22"/>
        </w:rPr>
        <w:t>ο</w:t>
      </w:r>
      <w:r w:rsidRPr="001769B4">
        <w:rPr>
          <w:sz w:val="22"/>
          <w:szCs w:val="22"/>
        </w:rPr>
        <w:t>πιστωτικές επιχειρήσεις και τα νοικοκυριά διαμορφώθηκε κατά μέσο όρο την περίοδο Ιανουαρίου-</w:t>
      </w:r>
      <w:r w:rsidR="00385B19">
        <w:rPr>
          <w:sz w:val="22"/>
          <w:szCs w:val="22"/>
        </w:rPr>
        <w:t xml:space="preserve">Σεπτεμβρίου </w:t>
      </w:r>
      <w:r w:rsidRPr="001769B4">
        <w:rPr>
          <w:sz w:val="22"/>
          <w:szCs w:val="22"/>
        </w:rPr>
        <w:t>του 2018 σε 3,4</w:t>
      </w:r>
      <w:r w:rsidR="00385B19">
        <w:rPr>
          <w:sz w:val="22"/>
          <w:szCs w:val="22"/>
        </w:rPr>
        <w:t>2</w:t>
      </w:r>
      <w:r w:rsidRPr="001769B4">
        <w:rPr>
          <w:sz w:val="22"/>
          <w:szCs w:val="22"/>
        </w:rPr>
        <w:t>% και 4,</w:t>
      </w:r>
      <w:r w:rsidR="00385B19">
        <w:rPr>
          <w:sz w:val="22"/>
          <w:szCs w:val="22"/>
        </w:rPr>
        <w:t>38</w:t>
      </w:r>
      <w:r w:rsidRPr="001769B4">
        <w:rPr>
          <w:sz w:val="22"/>
          <w:szCs w:val="22"/>
        </w:rPr>
        <w:t>% αντίστοιχα, δηλαδή υψηλότερα έναντι του μέσου όρου του 2017 κα</w:t>
      </w:r>
      <w:r w:rsidR="00385B19">
        <w:rPr>
          <w:sz w:val="22"/>
          <w:szCs w:val="22"/>
        </w:rPr>
        <w:t>τά 10</w:t>
      </w:r>
      <w:r w:rsidRPr="001769B4">
        <w:rPr>
          <w:sz w:val="22"/>
          <w:szCs w:val="22"/>
        </w:rPr>
        <w:t xml:space="preserve"> και 6</w:t>
      </w:r>
      <w:r w:rsidR="00385B19">
        <w:rPr>
          <w:sz w:val="22"/>
          <w:szCs w:val="22"/>
        </w:rPr>
        <w:t>5</w:t>
      </w:r>
      <w:r w:rsidRPr="001769B4">
        <w:rPr>
          <w:sz w:val="22"/>
          <w:szCs w:val="22"/>
        </w:rPr>
        <w:t xml:space="preserve"> μονάδες βάσης αντίστοιχα. </w:t>
      </w:r>
    </w:p>
    <w:p w:rsidR="00AB1CFE" w:rsidRPr="005E5421" w:rsidRDefault="00AB1CFE" w:rsidP="00780119">
      <w:pPr>
        <w:ind w:right="-144"/>
        <w:jc w:val="both"/>
        <w:rPr>
          <w:sz w:val="22"/>
          <w:szCs w:val="22"/>
        </w:rPr>
      </w:pPr>
    </w:p>
    <w:p w:rsidR="00360902" w:rsidRDefault="00360902" w:rsidP="00780119">
      <w:pPr>
        <w:pStyle w:val="2"/>
        <w:numPr>
          <w:ilvl w:val="1"/>
          <w:numId w:val="0"/>
        </w:numPr>
        <w:tabs>
          <w:tab w:val="num" w:pos="0"/>
        </w:tabs>
        <w:spacing w:before="0" w:after="0" w:line="360" w:lineRule="auto"/>
        <w:ind w:left="576" w:hanging="576"/>
        <w:jc w:val="both"/>
        <w:rPr>
          <w:i w:val="0"/>
          <w:color w:val="000080"/>
          <w:sz w:val="20"/>
          <w:szCs w:val="20"/>
        </w:rPr>
      </w:pPr>
      <w:r w:rsidRPr="00B315A2">
        <w:rPr>
          <w:i w:val="0"/>
          <w:color w:val="000080"/>
          <w:sz w:val="20"/>
          <w:szCs w:val="20"/>
        </w:rPr>
        <w:t>Ισοζύγιο τρεχουσών συναλλαγών</w:t>
      </w:r>
      <w:r w:rsidR="00160B8F">
        <w:rPr>
          <w:rStyle w:val="a9"/>
          <w:i w:val="0"/>
          <w:color w:val="000080"/>
          <w:sz w:val="20"/>
          <w:szCs w:val="20"/>
        </w:rPr>
        <w:footnoteReference w:id="29"/>
      </w:r>
    </w:p>
    <w:p w:rsidR="001949F9" w:rsidRPr="001949F9" w:rsidRDefault="001949F9" w:rsidP="001949F9">
      <w:pPr>
        <w:rPr>
          <w:sz w:val="16"/>
        </w:rPr>
      </w:pPr>
    </w:p>
    <w:p w:rsidR="00AB1CFE" w:rsidRDefault="001769B4" w:rsidP="001949F9">
      <w:pPr>
        <w:ind w:right="-144"/>
        <w:jc w:val="both"/>
        <w:rPr>
          <w:sz w:val="22"/>
          <w:szCs w:val="22"/>
        </w:rPr>
      </w:pPr>
      <w:r w:rsidRPr="001769B4">
        <w:rPr>
          <w:sz w:val="22"/>
          <w:szCs w:val="22"/>
        </w:rPr>
        <w:t>Το ισοζύγιο τρεχουσών συναλλαγών, την περίοδο Ιανουαρίου-</w:t>
      </w:r>
      <w:r w:rsidR="001E2541">
        <w:rPr>
          <w:sz w:val="22"/>
          <w:szCs w:val="22"/>
        </w:rPr>
        <w:t xml:space="preserve">Σεπτεμβρίου </w:t>
      </w:r>
      <w:r w:rsidRPr="001769B4">
        <w:rPr>
          <w:sz w:val="22"/>
          <w:szCs w:val="22"/>
        </w:rPr>
        <w:t xml:space="preserve">2018 εμφάνισε έλλειμμα </w:t>
      </w:r>
      <w:r w:rsidR="00B1288B">
        <w:rPr>
          <w:sz w:val="22"/>
          <w:szCs w:val="22"/>
        </w:rPr>
        <w:t>1,3</w:t>
      </w:r>
      <w:r w:rsidR="001E2541">
        <w:rPr>
          <w:sz w:val="22"/>
          <w:szCs w:val="22"/>
        </w:rPr>
        <w:t xml:space="preserve"> δισ.</w:t>
      </w:r>
      <w:r w:rsidRPr="001769B4">
        <w:rPr>
          <w:sz w:val="22"/>
          <w:szCs w:val="22"/>
        </w:rPr>
        <w:t xml:space="preserve"> ευρώ, </w:t>
      </w:r>
      <w:r w:rsidR="001E2541">
        <w:rPr>
          <w:sz w:val="22"/>
          <w:szCs w:val="22"/>
        </w:rPr>
        <w:t xml:space="preserve">έναντι πλεονάσματος 228 </w:t>
      </w:r>
      <w:r w:rsidRPr="001769B4">
        <w:rPr>
          <w:sz w:val="22"/>
          <w:szCs w:val="22"/>
        </w:rPr>
        <w:t xml:space="preserve">εκατ. ευρώ </w:t>
      </w:r>
      <w:r w:rsidR="001E2541">
        <w:rPr>
          <w:sz w:val="22"/>
          <w:szCs w:val="22"/>
        </w:rPr>
        <w:t xml:space="preserve">την ίδια περίοδο </w:t>
      </w:r>
      <w:r w:rsidRPr="001769B4">
        <w:rPr>
          <w:sz w:val="22"/>
          <w:szCs w:val="22"/>
        </w:rPr>
        <w:t>του 2017. Η άνοδος του πλεονά</w:t>
      </w:r>
      <w:r w:rsidRPr="001769B4">
        <w:rPr>
          <w:sz w:val="22"/>
          <w:szCs w:val="22"/>
        </w:rPr>
        <w:t>σ</w:t>
      </w:r>
      <w:r w:rsidRPr="001769B4">
        <w:rPr>
          <w:sz w:val="22"/>
          <w:szCs w:val="22"/>
        </w:rPr>
        <w:t>ματος του ισοζυγίου των υπηρεσιών αντιστάθμισε μερικώς την αύξηση του ελλείμματος του ισοζυγίου αγαθών</w:t>
      </w:r>
      <w:r w:rsidR="00B1288B">
        <w:rPr>
          <w:sz w:val="22"/>
          <w:szCs w:val="22"/>
        </w:rPr>
        <w:t>,</w:t>
      </w:r>
      <w:r w:rsidRPr="001769B4">
        <w:rPr>
          <w:sz w:val="22"/>
          <w:szCs w:val="22"/>
        </w:rPr>
        <w:t xml:space="preserve"> </w:t>
      </w:r>
      <w:r w:rsidR="001E2541">
        <w:rPr>
          <w:sz w:val="22"/>
          <w:szCs w:val="22"/>
        </w:rPr>
        <w:t xml:space="preserve">με αποτέλεσμα την επιδείνωση </w:t>
      </w:r>
      <w:r w:rsidRPr="001769B4">
        <w:rPr>
          <w:sz w:val="22"/>
          <w:szCs w:val="22"/>
        </w:rPr>
        <w:t xml:space="preserve">του ισοζυγίου </w:t>
      </w:r>
      <w:r w:rsidR="001E2541">
        <w:rPr>
          <w:sz w:val="22"/>
          <w:szCs w:val="22"/>
        </w:rPr>
        <w:t xml:space="preserve">αγαθών και υπηρεσιών, αφού </w:t>
      </w:r>
      <w:r w:rsidRPr="001769B4">
        <w:rPr>
          <w:sz w:val="22"/>
          <w:szCs w:val="22"/>
        </w:rPr>
        <w:t>οι εισαγωγές αγ</w:t>
      </w:r>
      <w:r w:rsidRPr="001769B4">
        <w:rPr>
          <w:sz w:val="22"/>
          <w:szCs w:val="22"/>
        </w:rPr>
        <w:t>α</w:t>
      </w:r>
      <w:r w:rsidRPr="001769B4">
        <w:rPr>
          <w:sz w:val="22"/>
          <w:szCs w:val="22"/>
        </w:rPr>
        <w:t xml:space="preserve">θών και υπηρεσιών αυξήθηκαν </w:t>
      </w:r>
      <w:r w:rsidR="001E2541">
        <w:rPr>
          <w:sz w:val="22"/>
          <w:szCs w:val="22"/>
        </w:rPr>
        <w:t xml:space="preserve">ταχύτερα </w:t>
      </w:r>
      <w:r w:rsidRPr="001769B4">
        <w:rPr>
          <w:sz w:val="22"/>
          <w:szCs w:val="22"/>
        </w:rPr>
        <w:t xml:space="preserve">από τις αντίστοιχες εξαγωγές. </w:t>
      </w:r>
    </w:p>
    <w:p w:rsidR="00AB1CFE" w:rsidRPr="001949F9" w:rsidRDefault="00AB1CFE" w:rsidP="001949F9">
      <w:pPr>
        <w:spacing w:before="120"/>
        <w:ind w:right="-144"/>
        <w:jc w:val="both"/>
        <w:rPr>
          <w:sz w:val="18"/>
          <w:szCs w:val="22"/>
        </w:rPr>
      </w:pPr>
    </w:p>
    <w:p w:rsidR="00AB1CFE" w:rsidRDefault="001769B4" w:rsidP="00780119">
      <w:pPr>
        <w:ind w:right="-144"/>
        <w:jc w:val="both"/>
        <w:rPr>
          <w:sz w:val="22"/>
          <w:szCs w:val="22"/>
        </w:rPr>
      </w:pPr>
      <w:r w:rsidRPr="001769B4">
        <w:rPr>
          <w:sz w:val="22"/>
          <w:szCs w:val="22"/>
        </w:rPr>
        <w:t>Το ισοζύγιο αγαθών</w:t>
      </w:r>
      <w:r>
        <w:rPr>
          <w:sz w:val="22"/>
          <w:szCs w:val="22"/>
        </w:rPr>
        <w:t xml:space="preserve"> εμφάνισε έλλειμμα 1</w:t>
      </w:r>
      <w:r w:rsidR="00F14B43">
        <w:rPr>
          <w:sz w:val="22"/>
          <w:szCs w:val="22"/>
        </w:rPr>
        <w:t>6,6</w:t>
      </w:r>
      <w:r>
        <w:rPr>
          <w:sz w:val="22"/>
          <w:szCs w:val="22"/>
        </w:rPr>
        <w:t xml:space="preserve"> δισ</w:t>
      </w:r>
      <w:r w:rsidRPr="001769B4">
        <w:rPr>
          <w:sz w:val="22"/>
          <w:szCs w:val="22"/>
        </w:rPr>
        <w:t>. ευρώ</w:t>
      </w:r>
      <w:r w:rsidR="00794063">
        <w:rPr>
          <w:sz w:val="22"/>
          <w:szCs w:val="22"/>
        </w:rPr>
        <w:t>,</w:t>
      </w:r>
      <w:r w:rsidRPr="001769B4">
        <w:rPr>
          <w:sz w:val="22"/>
          <w:szCs w:val="22"/>
        </w:rPr>
        <w:t xml:space="preserve"> κατά </w:t>
      </w:r>
      <w:r w:rsidR="00F14B43">
        <w:rPr>
          <w:sz w:val="22"/>
          <w:szCs w:val="22"/>
        </w:rPr>
        <w:t>1,8 δισ</w:t>
      </w:r>
      <w:r w:rsidRPr="001769B4">
        <w:rPr>
          <w:sz w:val="22"/>
          <w:szCs w:val="22"/>
        </w:rPr>
        <w:t xml:space="preserve">. ευρώ μεγαλύτερο εκείνου </w:t>
      </w:r>
      <w:r w:rsidR="00F14B43">
        <w:rPr>
          <w:sz w:val="22"/>
          <w:szCs w:val="22"/>
        </w:rPr>
        <w:t xml:space="preserve">της </w:t>
      </w:r>
      <w:r w:rsidR="00F14B43">
        <w:rPr>
          <w:sz w:val="22"/>
          <w:szCs w:val="22"/>
        </w:rPr>
        <w:t>ί</w:t>
      </w:r>
      <w:r w:rsidR="00F14B43">
        <w:rPr>
          <w:sz w:val="22"/>
          <w:szCs w:val="22"/>
        </w:rPr>
        <w:t xml:space="preserve">διας περιόδου </w:t>
      </w:r>
      <w:r w:rsidRPr="001769B4">
        <w:rPr>
          <w:sz w:val="22"/>
          <w:szCs w:val="22"/>
        </w:rPr>
        <w:t xml:space="preserve">του 2017. </w:t>
      </w:r>
      <w:r w:rsidR="00DA1881" w:rsidRPr="00DA1881">
        <w:rPr>
          <w:sz w:val="22"/>
          <w:szCs w:val="22"/>
        </w:rPr>
        <w:t xml:space="preserve">H εξέλιξη αυτή ήταν αποτέλεσμα κυρίως της αύξησης του ελλείμματος του </w:t>
      </w:r>
      <w:r w:rsidR="00DA1881" w:rsidRPr="00DA1881">
        <w:rPr>
          <w:sz w:val="22"/>
          <w:szCs w:val="22"/>
        </w:rPr>
        <w:t>ι</w:t>
      </w:r>
      <w:r w:rsidR="00DA1881" w:rsidRPr="00DA1881">
        <w:rPr>
          <w:sz w:val="22"/>
          <w:szCs w:val="22"/>
        </w:rPr>
        <w:t xml:space="preserve">σοζυγίου καυσίμων, λόγω της ανόδου </w:t>
      </w:r>
      <w:r w:rsidR="00F14B43">
        <w:rPr>
          <w:sz w:val="22"/>
          <w:szCs w:val="22"/>
        </w:rPr>
        <w:t xml:space="preserve">της τιμής </w:t>
      </w:r>
      <w:r w:rsidR="00DA1881" w:rsidRPr="00DA1881">
        <w:rPr>
          <w:sz w:val="22"/>
          <w:szCs w:val="22"/>
        </w:rPr>
        <w:t>του πετρελαίου</w:t>
      </w:r>
      <w:r w:rsidRPr="001769B4">
        <w:rPr>
          <w:sz w:val="22"/>
          <w:szCs w:val="22"/>
        </w:rPr>
        <w:t>. Επίσης, αυξήθηκε και το έλλειμμα του ισοζυγίου των αγαθών χωρίς καύσιμα καθώς οι σχετικές εισαγωγές αυξήθηκαν περισσότερο από τις α</w:t>
      </w:r>
      <w:r w:rsidRPr="001769B4">
        <w:rPr>
          <w:sz w:val="22"/>
          <w:szCs w:val="22"/>
        </w:rPr>
        <w:t>ν</w:t>
      </w:r>
      <w:r w:rsidRPr="001769B4">
        <w:rPr>
          <w:sz w:val="22"/>
          <w:szCs w:val="22"/>
        </w:rPr>
        <w:t xml:space="preserve">τίστοιχες εξαγωγές. Σημειώνεται ότι, σε σταθερές τιμές, οι συνολικές εξαγωγές αγαθών, σημείωσαν </w:t>
      </w:r>
      <w:r w:rsidRPr="001769B4">
        <w:rPr>
          <w:sz w:val="22"/>
          <w:szCs w:val="22"/>
        </w:rPr>
        <w:t>ά</w:t>
      </w:r>
      <w:r w:rsidRPr="001769B4">
        <w:rPr>
          <w:sz w:val="22"/>
          <w:szCs w:val="22"/>
        </w:rPr>
        <w:t xml:space="preserve">νοδο κατά </w:t>
      </w:r>
      <w:r w:rsidR="00F14B43">
        <w:rPr>
          <w:sz w:val="22"/>
          <w:szCs w:val="22"/>
        </w:rPr>
        <w:t>7</w:t>
      </w:r>
      <w:r w:rsidRPr="001769B4">
        <w:rPr>
          <w:sz w:val="22"/>
          <w:szCs w:val="22"/>
        </w:rPr>
        <w:t>,6</w:t>
      </w:r>
      <w:r w:rsidR="00B1288B">
        <w:rPr>
          <w:sz w:val="22"/>
          <w:szCs w:val="22"/>
        </w:rPr>
        <w:t>%</w:t>
      </w:r>
      <w:r w:rsidRPr="001769B4">
        <w:rPr>
          <w:sz w:val="22"/>
          <w:szCs w:val="22"/>
        </w:rPr>
        <w:t xml:space="preserve"> και ειδικότερα, οι εξαγωγές αγαθών χωρίς καύσιμα σημείωσαν άνοδο κατά 1</w:t>
      </w:r>
      <w:r w:rsidR="00F14B43">
        <w:rPr>
          <w:sz w:val="22"/>
          <w:szCs w:val="22"/>
        </w:rPr>
        <w:t>1</w:t>
      </w:r>
      <w:r w:rsidRPr="001769B4">
        <w:rPr>
          <w:sz w:val="22"/>
          <w:szCs w:val="22"/>
        </w:rPr>
        <w:t>,</w:t>
      </w:r>
      <w:r w:rsidR="00F14B43">
        <w:rPr>
          <w:sz w:val="22"/>
          <w:szCs w:val="22"/>
        </w:rPr>
        <w:t>0</w:t>
      </w:r>
      <w:r w:rsidRPr="001769B4">
        <w:rPr>
          <w:sz w:val="22"/>
          <w:szCs w:val="22"/>
        </w:rPr>
        <w:t>%.</w:t>
      </w:r>
      <w:r w:rsidR="00357716">
        <w:rPr>
          <w:sz w:val="22"/>
          <w:szCs w:val="22"/>
        </w:rPr>
        <w:t xml:space="preserve"> </w:t>
      </w:r>
    </w:p>
    <w:p w:rsidR="00AB1CFE" w:rsidRPr="001949F9" w:rsidRDefault="00AB1CFE" w:rsidP="00780119">
      <w:pPr>
        <w:ind w:right="-144"/>
        <w:jc w:val="both"/>
        <w:rPr>
          <w:sz w:val="20"/>
          <w:szCs w:val="22"/>
        </w:rPr>
      </w:pPr>
    </w:p>
    <w:p w:rsidR="001769B4" w:rsidRDefault="00F14B43" w:rsidP="00780119">
      <w:pPr>
        <w:ind w:right="-144"/>
        <w:jc w:val="both"/>
        <w:rPr>
          <w:sz w:val="22"/>
          <w:szCs w:val="22"/>
        </w:rPr>
      </w:pPr>
      <w:r>
        <w:rPr>
          <w:sz w:val="22"/>
          <w:szCs w:val="22"/>
        </w:rPr>
        <w:t xml:space="preserve">Στην άνοδο των εξαγωγών τη μεγαλύτερη </w:t>
      </w:r>
      <w:r w:rsidR="001769B4" w:rsidRPr="001769B4">
        <w:rPr>
          <w:sz w:val="22"/>
          <w:szCs w:val="22"/>
        </w:rPr>
        <w:t xml:space="preserve">συμβολή είχαν οι κλάδοι </w:t>
      </w:r>
      <w:r>
        <w:rPr>
          <w:sz w:val="22"/>
          <w:szCs w:val="22"/>
        </w:rPr>
        <w:t xml:space="preserve">των μετάλλων και </w:t>
      </w:r>
      <w:r w:rsidR="001769B4" w:rsidRPr="001769B4">
        <w:rPr>
          <w:sz w:val="22"/>
          <w:szCs w:val="22"/>
        </w:rPr>
        <w:t xml:space="preserve">των τροφίμων, </w:t>
      </w:r>
      <w:r>
        <w:rPr>
          <w:sz w:val="22"/>
          <w:szCs w:val="22"/>
        </w:rPr>
        <w:t xml:space="preserve">καθώς επίσης και οι κλάδοι </w:t>
      </w:r>
      <w:r w:rsidR="001769B4" w:rsidRPr="001769B4">
        <w:rPr>
          <w:sz w:val="22"/>
          <w:szCs w:val="22"/>
        </w:rPr>
        <w:t xml:space="preserve">των φαρμακευτικών προϊόντων, των μηχανημάτων και </w:t>
      </w:r>
      <w:r>
        <w:rPr>
          <w:sz w:val="22"/>
          <w:szCs w:val="22"/>
        </w:rPr>
        <w:t>των καυσίμων</w:t>
      </w:r>
      <w:r w:rsidR="001769B4" w:rsidRPr="001769B4">
        <w:rPr>
          <w:sz w:val="22"/>
          <w:szCs w:val="22"/>
        </w:rPr>
        <w:t xml:space="preserve">. </w:t>
      </w:r>
      <w:r w:rsidR="001769B4" w:rsidRPr="001769B4">
        <w:rPr>
          <w:sz w:val="22"/>
          <w:szCs w:val="22"/>
        </w:rPr>
        <w:t>Ό</w:t>
      </w:r>
      <w:r w:rsidR="001769B4" w:rsidRPr="001769B4">
        <w:rPr>
          <w:sz w:val="22"/>
          <w:szCs w:val="22"/>
        </w:rPr>
        <w:t>σον αφορά τη γεωγραφική κατανομή των ελληνικών εξαγωγών χωρίς καύσιμα, δεν παρατηρήθηκαν σημαντικές μεταβολές μέχρι τώρα.</w:t>
      </w:r>
      <w:r w:rsidR="001769B4" w:rsidRPr="001769B4">
        <w:rPr>
          <w:sz w:val="22"/>
          <w:szCs w:val="22"/>
          <w:vertAlign w:val="superscript"/>
        </w:rPr>
        <w:footnoteReference w:id="30"/>
      </w:r>
      <w:r w:rsidR="001769B4" w:rsidRPr="001769B4">
        <w:rPr>
          <w:sz w:val="22"/>
          <w:szCs w:val="22"/>
        </w:rPr>
        <w:t xml:space="preserve"> Η αύξηση των εισαγωγών οφείλεται κυρίως στις εισαγωγές ενδι</w:t>
      </w:r>
      <w:r w:rsidR="001769B4" w:rsidRPr="001769B4">
        <w:rPr>
          <w:sz w:val="22"/>
          <w:szCs w:val="22"/>
        </w:rPr>
        <w:t>α</w:t>
      </w:r>
      <w:r w:rsidR="001769B4" w:rsidRPr="001769B4">
        <w:rPr>
          <w:sz w:val="22"/>
          <w:szCs w:val="22"/>
        </w:rPr>
        <w:t xml:space="preserve">μέσων και κεφαλαιακών </w:t>
      </w:r>
      <w:r w:rsidR="00B1288B">
        <w:rPr>
          <w:sz w:val="22"/>
          <w:szCs w:val="22"/>
        </w:rPr>
        <w:t>αγαθών</w:t>
      </w:r>
      <w:r w:rsidR="00B1288B" w:rsidRPr="001769B4">
        <w:rPr>
          <w:sz w:val="22"/>
          <w:szCs w:val="22"/>
        </w:rPr>
        <w:t xml:space="preserve"> </w:t>
      </w:r>
      <w:r w:rsidR="001769B4" w:rsidRPr="001769B4">
        <w:rPr>
          <w:sz w:val="22"/>
          <w:szCs w:val="22"/>
        </w:rPr>
        <w:t xml:space="preserve">(εκτός των μεταφορικών μέσων). </w:t>
      </w:r>
    </w:p>
    <w:p w:rsidR="00360902" w:rsidRPr="001949F9" w:rsidRDefault="00360902" w:rsidP="00780119">
      <w:pPr>
        <w:ind w:right="-144"/>
        <w:jc w:val="both"/>
        <w:rPr>
          <w:i/>
          <w:sz w:val="20"/>
          <w:szCs w:val="22"/>
        </w:rPr>
      </w:pPr>
    </w:p>
    <w:p w:rsidR="001769B4" w:rsidRDefault="001769B4" w:rsidP="00780119">
      <w:pPr>
        <w:ind w:right="-144"/>
        <w:jc w:val="both"/>
        <w:rPr>
          <w:sz w:val="22"/>
          <w:szCs w:val="22"/>
        </w:rPr>
      </w:pPr>
      <w:r w:rsidRPr="001769B4">
        <w:rPr>
          <w:sz w:val="22"/>
          <w:szCs w:val="22"/>
        </w:rPr>
        <w:t xml:space="preserve">Το ισοζύγιο υπηρεσιών, παρουσίασε πλεόνασμα </w:t>
      </w:r>
      <w:r w:rsidR="007B1035">
        <w:rPr>
          <w:sz w:val="22"/>
          <w:szCs w:val="22"/>
        </w:rPr>
        <w:t>16</w:t>
      </w:r>
      <w:r>
        <w:rPr>
          <w:sz w:val="22"/>
          <w:szCs w:val="22"/>
        </w:rPr>
        <w:t>,</w:t>
      </w:r>
      <w:r w:rsidR="007B1035">
        <w:rPr>
          <w:sz w:val="22"/>
          <w:szCs w:val="22"/>
        </w:rPr>
        <w:t>5</w:t>
      </w:r>
      <w:r>
        <w:rPr>
          <w:sz w:val="22"/>
          <w:szCs w:val="22"/>
        </w:rPr>
        <w:t xml:space="preserve"> δισ</w:t>
      </w:r>
      <w:r w:rsidRPr="001769B4">
        <w:rPr>
          <w:sz w:val="22"/>
          <w:szCs w:val="22"/>
        </w:rPr>
        <w:t>. ευρώ</w:t>
      </w:r>
      <w:r w:rsidR="00794063">
        <w:rPr>
          <w:sz w:val="22"/>
          <w:szCs w:val="22"/>
        </w:rPr>
        <w:t>,</w:t>
      </w:r>
      <w:r w:rsidRPr="001769B4">
        <w:rPr>
          <w:sz w:val="22"/>
          <w:szCs w:val="22"/>
        </w:rPr>
        <w:t xml:space="preserve"> κατά 7</w:t>
      </w:r>
      <w:r w:rsidR="007B1035">
        <w:rPr>
          <w:sz w:val="22"/>
          <w:szCs w:val="22"/>
        </w:rPr>
        <w:t>75</w:t>
      </w:r>
      <w:r w:rsidRPr="001769B4">
        <w:rPr>
          <w:sz w:val="22"/>
          <w:szCs w:val="22"/>
        </w:rPr>
        <w:t xml:space="preserve"> εκατ. ευρώ μεγαλύτερο από εκείνο της αντίστοιχης περιόδου του 2017. Η εξέλιξη αυτή οφείλεται στην άνοδο του πλεονάσματος κυρίως του ταξιδιωτικού ισοζυγίου και δευτερευόντως του ισοζυγίου μεταφορών. Οι εισπράξεις από ταξιδιωτικές υπηρεσίες σημείωσαν άνοδο κατά</w:t>
      </w:r>
      <w:r w:rsidR="007B1035">
        <w:rPr>
          <w:sz w:val="22"/>
          <w:szCs w:val="22"/>
        </w:rPr>
        <w:t xml:space="preserve"> 9</w:t>
      </w:r>
      <w:r w:rsidRPr="001769B4">
        <w:rPr>
          <w:sz w:val="22"/>
          <w:szCs w:val="22"/>
        </w:rPr>
        <w:t>,1%, οι αφίξεις ξένων επισκεπτών κατά 1</w:t>
      </w:r>
      <w:r w:rsidR="007B1035">
        <w:rPr>
          <w:sz w:val="22"/>
          <w:szCs w:val="22"/>
        </w:rPr>
        <w:t>0</w:t>
      </w:r>
      <w:r w:rsidRPr="001769B4">
        <w:rPr>
          <w:sz w:val="22"/>
          <w:szCs w:val="22"/>
        </w:rPr>
        <w:t>,</w:t>
      </w:r>
      <w:r w:rsidR="007B1035">
        <w:rPr>
          <w:sz w:val="22"/>
          <w:szCs w:val="22"/>
        </w:rPr>
        <w:t>3</w:t>
      </w:r>
      <w:r w:rsidRPr="001769B4">
        <w:rPr>
          <w:sz w:val="22"/>
          <w:szCs w:val="22"/>
        </w:rPr>
        <w:t xml:space="preserve">%, ενώ η μέση δαπάνη ανά ταξίδι </w:t>
      </w:r>
      <w:r w:rsidR="007B1035">
        <w:rPr>
          <w:sz w:val="22"/>
          <w:szCs w:val="22"/>
        </w:rPr>
        <w:t>παρουσίασε μικρή πτώση</w:t>
      </w:r>
      <w:r w:rsidRPr="001769B4">
        <w:rPr>
          <w:sz w:val="22"/>
          <w:szCs w:val="22"/>
        </w:rPr>
        <w:t>. Οι εισπράξεις από υπηρεσίες μεταφορών κατέγρ</w:t>
      </w:r>
      <w:r w:rsidRPr="001769B4">
        <w:rPr>
          <w:sz w:val="22"/>
          <w:szCs w:val="22"/>
        </w:rPr>
        <w:t>α</w:t>
      </w:r>
      <w:r w:rsidRPr="001769B4">
        <w:rPr>
          <w:sz w:val="22"/>
          <w:szCs w:val="22"/>
        </w:rPr>
        <w:t>ψαν άνοδο κατά 1</w:t>
      </w:r>
      <w:r w:rsidR="007B1035">
        <w:rPr>
          <w:sz w:val="22"/>
          <w:szCs w:val="22"/>
        </w:rPr>
        <w:t>3</w:t>
      </w:r>
      <w:r w:rsidRPr="001769B4">
        <w:rPr>
          <w:sz w:val="22"/>
          <w:szCs w:val="22"/>
        </w:rPr>
        <w:t>,</w:t>
      </w:r>
      <w:r w:rsidR="007B1035">
        <w:rPr>
          <w:sz w:val="22"/>
          <w:szCs w:val="22"/>
        </w:rPr>
        <w:t>1</w:t>
      </w:r>
      <w:r w:rsidRPr="001769B4">
        <w:rPr>
          <w:sz w:val="22"/>
          <w:szCs w:val="22"/>
        </w:rPr>
        <w:t>% συγκριτικά με την αντίστοιχη περίοδο του 2017. Ειδικότερα, τα έσοδα από θ</w:t>
      </w:r>
      <w:r w:rsidRPr="001769B4">
        <w:rPr>
          <w:sz w:val="22"/>
          <w:szCs w:val="22"/>
        </w:rPr>
        <w:t>α</w:t>
      </w:r>
      <w:r w:rsidRPr="001769B4">
        <w:rPr>
          <w:sz w:val="22"/>
          <w:szCs w:val="22"/>
        </w:rPr>
        <w:t>λάσσιες μεταφορές αυξήθηκαν κατά 1</w:t>
      </w:r>
      <w:r w:rsidR="007B1035">
        <w:rPr>
          <w:sz w:val="22"/>
          <w:szCs w:val="22"/>
        </w:rPr>
        <w:t>2</w:t>
      </w:r>
      <w:r w:rsidRPr="001769B4">
        <w:rPr>
          <w:sz w:val="22"/>
          <w:szCs w:val="22"/>
        </w:rPr>
        <w:t>,</w:t>
      </w:r>
      <w:r w:rsidR="00B1288B">
        <w:rPr>
          <w:sz w:val="22"/>
          <w:szCs w:val="22"/>
        </w:rPr>
        <w:t>6</w:t>
      </w:r>
      <w:r w:rsidRPr="001769B4">
        <w:rPr>
          <w:sz w:val="22"/>
          <w:szCs w:val="22"/>
        </w:rPr>
        <w:t>%</w:t>
      </w:r>
      <w:r w:rsidR="007B1035">
        <w:rPr>
          <w:sz w:val="22"/>
          <w:szCs w:val="22"/>
        </w:rPr>
        <w:t>,</w:t>
      </w:r>
      <w:r w:rsidRPr="001769B4">
        <w:rPr>
          <w:sz w:val="22"/>
          <w:szCs w:val="22"/>
        </w:rPr>
        <w:t xml:space="preserve"> επηρεαζόμενα θετικά από την άνοδο των ναύλων κατά </w:t>
      </w:r>
      <w:r w:rsidR="007B1035">
        <w:rPr>
          <w:sz w:val="22"/>
          <w:szCs w:val="22"/>
        </w:rPr>
        <w:t>11,7</w:t>
      </w:r>
      <w:r w:rsidRPr="001769B4">
        <w:rPr>
          <w:sz w:val="22"/>
          <w:szCs w:val="22"/>
        </w:rPr>
        <w:t>%. Τ</w:t>
      </w:r>
      <w:r w:rsidR="00B1288B">
        <w:rPr>
          <w:sz w:val="22"/>
          <w:szCs w:val="22"/>
        </w:rPr>
        <w:t>έλος, το ισοζύγιο των λοιπών</w:t>
      </w:r>
      <w:r w:rsidRPr="001769B4">
        <w:rPr>
          <w:sz w:val="22"/>
          <w:szCs w:val="22"/>
        </w:rPr>
        <w:t xml:space="preserve"> υπηρεσιών επιδεινώθηκε</w:t>
      </w:r>
      <w:r w:rsidR="00360902">
        <w:rPr>
          <w:sz w:val="22"/>
          <w:szCs w:val="22"/>
        </w:rPr>
        <w:t>.</w:t>
      </w:r>
    </w:p>
    <w:p w:rsidR="00360902" w:rsidRPr="001949F9" w:rsidRDefault="00360902" w:rsidP="00780119">
      <w:pPr>
        <w:ind w:right="-144"/>
        <w:jc w:val="both"/>
        <w:rPr>
          <w:sz w:val="20"/>
          <w:szCs w:val="22"/>
        </w:rPr>
      </w:pPr>
    </w:p>
    <w:p w:rsidR="001769B4" w:rsidRPr="001769B4" w:rsidRDefault="001769B4" w:rsidP="00780119">
      <w:pPr>
        <w:ind w:right="-144"/>
        <w:jc w:val="both"/>
        <w:rPr>
          <w:sz w:val="22"/>
          <w:szCs w:val="22"/>
        </w:rPr>
      </w:pPr>
      <w:r w:rsidRPr="001769B4">
        <w:rPr>
          <w:sz w:val="22"/>
          <w:szCs w:val="22"/>
        </w:rPr>
        <w:t xml:space="preserve">Το ισοζύγιο πρωτογενών εισοδημάτων κατέγραψε έλλειμμα </w:t>
      </w:r>
      <w:r w:rsidR="007B1035">
        <w:rPr>
          <w:sz w:val="22"/>
          <w:szCs w:val="22"/>
        </w:rPr>
        <w:t>1,1 δισ.</w:t>
      </w:r>
      <w:r w:rsidRPr="001769B4">
        <w:rPr>
          <w:sz w:val="22"/>
          <w:szCs w:val="22"/>
        </w:rPr>
        <w:t xml:space="preserve"> ευρώ </w:t>
      </w:r>
      <w:r w:rsidR="007B1035">
        <w:rPr>
          <w:sz w:val="22"/>
          <w:szCs w:val="22"/>
        </w:rPr>
        <w:t xml:space="preserve">κατά 636 εκατ. </w:t>
      </w:r>
      <w:r w:rsidRPr="001769B4">
        <w:rPr>
          <w:sz w:val="22"/>
          <w:szCs w:val="22"/>
        </w:rPr>
        <w:t>ευρώ</w:t>
      </w:r>
      <w:r w:rsidR="007B1035">
        <w:rPr>
          <w:sz w:val="22"/>
          <w:szCs w:val="22"/>
        </w:rPr>
        <w:t xml:space="preserve"> μεγ</w:t>
      </w:r>
      <w:r w:rsidR="007B1035">
        <w:rPr>
          <w:sz w:val="22"/>
          <w:szCs w:val="22"/>
        </w:rPr>
        <w:t>α</w:t>
      </w:r>
      <w:r w:rsidR="007B1035">
        <w:rPr>
          <w:sz w:val="22"/>
          <w:szCs w:val="22"/>
        </w:rPr>
        <w:t xml:space="preserve">λύτερο από εκείνο της ίδιας περιόδου </w:t>
      </w:r>
      <w:r w:rsidRPr="001769B4">
        <w:rPr>
          <w:sz w:val="22"/>
          <w:szCs w:val="22"/>
        </w:rPr>
        <w:t>του 2017, κυρίως λόγω της αύξησης των καθαρών πληρωμών για τόκους</w:t>
      </w:r>
      <w:r w:rsidR="007B1035">
        <w:rPr>
          <w:sz w:val="22"/>
          <w:szCs w:val="22"/>
        </w:rPr>
        <w:t>,</w:t>
      </w:r>
      <w:r w:rsidRPr="001769B4">
        <w:rPr>
          <w:sz w:val="22"/>
          <w:szCs w:val="22"/>
        </w:rPr>
        <w:t xml:space="preserve"> μερίσματα και κέρδη. Το </w:t>
      </w:r>
      <w:r w:rsidR="007B1035">
        <w:rPr>
          <w:sz w:val="22"/>
          <w:szCs w:val="22"/>
        </w:rPr>
        <w:t xml:space="preserve">ισοζύγιο </w:t>
      </w:r>
      <w:r w:rsidRPr="001769B4">
        <w:rPr>
          <w:sz w:val="22"/>
          <w:szCs w:val="22"/>
        </w:rPr>
        <w:t xml:space="preserve">δευτερογενών εισοδημάτων παρουσίασε βελτίωση. Κατά την ίδια χρονική περίοδο το πλεόνασμα του ισοζυγίου κεφαλαίων </w:t>
      </w:r>
      <w:r w:rsidR="007B1035">
        <w:rPr>
          <w:sz w:val="22"/>
          <w:szCs w:val="22"/>
        </w:rPr>
        <w:t>περιορίστηκε</w:t>
      </w:r>
      <w:r w:rsidRPr="001769B4">
        <w:rPr>
          <w:sz w:val="22"/>
          <w:szCs w:val="22"/>
          <w:vertAlign w:val="superscript"/>
        </w:rPr>
        <w:footnoteReference w:id="31"/>
      </w:r>
      <w:r w:rsidR="007B1035">
        <w:rPr>
          <w:sz w:val="22"/>
          <w:szCs w:val="22"/>
        </w:rPr>
        <w:t>.</w:t>
      </w:r>
      <w:r w:rsidRPr="001769B4">
        <w:rPr>
          <w:sz w:val="22"/>
          <w:szCs w:val="22"/>
        </w:rPr>
        <w:t xml:space="preserve"> </w:t>
      </w:r>
    </w:p>
    <w:p w:rsidR="001769B4" w:rsidRPr="00E43B2E" w:rsidRDefault="001769B4" w:rsidP="00780119">
      <w:pPr>
        <w:pStyle w:val="2"/>
        <w:numPr>
          <w:ilvl w:val="1"/>
          <w:numId w:val="0"/>
        </w:numPr>
        <w:tabs>
          <w:tab w:val="num" w:pos="0"/>
        </w:tabs>
        <w:spacing w:before="0" w:after="0"/>
        <w:ind w:left="576" w:hanging="576"/>
        <w:jc w:val="both"/>
        <w:rPr>
          <w:sz w:val="22"/>
          <w:szCs w:val="22"/>
        </w:rPr>
      </w:pPr>
      <w:r w:rsidRPr="00E43B2E">
        <w:rPr>
          <w:rFonts w:ascii="Arial Narrow" w:hAnsi="Arial Narrow"/>
          <w:i w:val="0"/>
          <w:color w:val="000080"/>
          <w:sz w:val="24"/>
          <w:szCs w:val="24"/>
        </w:rPr>
        <w:lastRenderedPageBreak/>
        <w:t>Ισοζύγιο χρηματοοικονομικών συναλλαγών</w:t>
      </w:r>
    </w:p>
    <w:p w:rsidR="001769B4" w:rsidRPr="001769B4" w:rsidRDefault="001769B4" w:rsidP="00780119">
      <w:pPr>
        <w:ind w:right="-144"/>
        <w:jc w:val="both"/>
        <w:rPr>
          <w:b/>
          <w:sz w:val="22"/>
          <w:szCs w:val="22"/>
        </w:rPr>
      </w:pPr>
    </w:p>
    <w:p w:rsidR="001769B4" w:rsidRDefault="001769B4" w:rsidP="00780119">
      <w:pPr>
        <w:ind w:right="-144"/>
        <w:jc w:val="both"/>
        <w:rPr>
          <w:sz w:val="22"/>
          <w:szCs w:val="22"/>
        </w:rPr>
      </w:pPr>
      <w:r w:rsidRPr="001769B4">
        <w:rPr>
          <w:sz w:val="22"/>
          <w:szCs w:val="22"/>
        </w:rPr>
        <w:t>Την περίοδο Ιανουαρίου-</w:t>
      </w:r>
      <w:r w:rsidR="007B1035">
        <w:rPr>
          <w:sz w:val="22"/>
          <w:szCs w:val="22"/>
        </w:rPr>
        <w:t xml:space="preserve">Σεπτεμβρίου </w:t>
      </w:r>
      <w:r w:rsidRPr="001769B4">
        <w:rPr>
          <w:sz w:val="22"/>
          <w:szCs w:val="22"/>
        </w:rPr>
        <w:t>2018, στην κατηγορία των άμεσων επενδύσεων, οι καθαρές απ</w:t>
      </w:r>
      <w:r w:rsidRPr="001769B4">
        <w:rPr>
          <w:sz w:val="22"/>
          <w:szCs w:val="22"/>
        </w:rPr>
        <w:t>α</w:t>
      </w:r>
      <w:r w:rsidRPr="001769B4">
        <w:rPr>
          <w:sz w:val="22"/>
          <w:szCs w:val="22"/>
        </w:rPr>
        <w:t>ιτήσεις των κατοίκων έναντι του εξωτερικού</w:t>
      </w:r>
      <w:r w:rsidRPr="001769B4" w:rsidDel="007417B8">
        <w:rPr>
          <w:sz w:val="22"/>
          <w:szCs w:val="22"/>
        </w:rPr>
        <w:t xml:space="preserve"> </w:t>
      </w:r>
      <w:r w:rsidRPr="001769B4">
        <w:rPr>
          <w:sz w:val="22"/>
          <w:szCs w:val="22"/>
        </w:rPr>
        <w:t xml:space="preserve">σημείωσαν αύξηση κατά </w:t>
      </w:r>
      <w:r w:rsidR="007B1035">
        <w:rPr>
          <w:sz w:val="22"/>
          <w:szCs w:val="22"/>
        </w:rPr>
        <w:t xml:space="preserve">517 </w:t>
      </w:r>
      <w:r w:rsidRPr="001769B4">
        <w:rPr>
          <w:sz w:val="22"/>
          <w:szCs w:val="22"/>
        </w:rPr>
        <w:t>εκατ. ευρώ και οι καθαρές υποχρεώσεις των κατοίκων έναντι του εξωτερικού, που αντιστοιχούν σε άμεσες επενδύσεις μη κατο</w:t>
      </w:r>
      <w:r w:rsidRPr="001769B4">
        <w:rPr>
          <w:sz w:val="22"/>
          <w:szCs w:val="22"/>
        </w:rPr>
        <w:t>ί</w:t>
      </w:r>
      <w:r w:rsidRPr="001769B4">
        <w:rPr>
          <w:sz w:val="22"/>
          <w:szCs w:val="22"/>
        </w:rPr>
        <w:t>κων στην Ελλά</w:t>
      </w:r>
      <w:r w:rsidR="007B1035">
        <w:rPr>
          <w:sz w:val="22"/>
          <w:szCs w:val="22"/>
        </w:rPr>
        <w:t>δα, κατέγραψαν αύξηση κατά 2,8</w:t>
      </w:r>
      <w:r>
        <w:rPr>
          <w:sz w:val="22"/>
          <w:szCs w:val="22"/>
        </w:rPr>
        <w:t xml:space="preserve"> δισ</w:t>
      </w:r>
      <w:r w:rsidRPr="001769B4">
        <w:rPr>
          <w:sz w:val="22"/>
          <w:szCs w:val="22"/>
        </w:rPr>
        <w:t>. ευρώ.</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Στις επενδύσεις χαρτοφυλακίου, η καθαρή μείωση των απαιτήσεων των κατοίκων έναντι του εξωτερ</w:t>
      </w:r>
      <w:r w:rsidRPr="001769B4">
        <w:rPr>
          <w:sz w:val="22"/>
          <w:szCs w:val="22"/>
        </w:rPr>
        <w:t>ι</w:t>
      </w:r>
      <w:r w:rsidRPr="001769B4">
        <w:rPr>
          <w:sz w:val="22"/>
          <w:szCs w:val="22"/>
        </w:rPr>
        <w:t>κού οφείλεται κ</w:t>
      </w:r>
      <w:r>
        <w:rPr>
          <w:sz w:val="22"/>
          <w:szCs w:val="22"/>
        </w:rPr>
        <w:t xml:space="preserve">υρίως στη μείωση </w:t>
      </w:r>
      <w:r w:rsidRPr="001769B4">
        <w:rPr>
          <w:sz w:val="22"/>
          <w:szCs w:val="22"/>
        </w:rPr>
        <w:t xml:space="preserve">των τοποθετήσεων κατοίκων σε </w:t>
      </w:r>
      <w:r w:rsidR="007B1035">
        <w:rPr>
          <w:sz w:val="22"/>
          <w:szCs w:val="22"/>
        </w:rPr>
        <w:t xml:space="preserve">μετοχές (κατά 545 εκατ. ευρώ) και σε </w:t>
      </w:r>
      <w:r w:rsidRPr="001769B4">
        <w:rPr>
          <w:sz w:val="22"/>
          <w:szCs w:val="22"/>
        </w:rPr>
        <w:t>ομόλογα και έντοκα γραμμάτια του εξωτερικού</w:t>
      </w:r>
      <w:r w:rsidR="007B1035">
        <w:rPr>
          <w:sz w:val="22"/>
          <w:szCs w:val="22"/>
        </w:rPr>
        <w:t xml:space="preserve"> (κατά 346 εκατ. ευρώ)</w:t>
      </w:r>
      <w:r w:rsidRPr="001769B4">
        <w:rPr>
          <w:sz w:val="22"/>
          <w:szCs w:val="22"/>
        </w:rPr>
        <w:t>. Η καθαρή αύξηση των υπο</w:t>
      </w:r>
      <w:r w:rsidRPr="001769B4">
        <w:rPr>
          <w:sz w:val="22"/>
          <w:szCs w:val="22"/>
        </w:rPr>
        <w:t>χ</w:t>
      </w:r>
      <w:r w:rsidRPr="001769B4">
        <w:rPr>
          <w:sz w:val="22"/>
          <w:szCs w:val="22"/>
        </w:rPr>
        <w:t>ρεώσεών τους οφείλεται κυ</w:t>
      </w:r>
      <w:r>
        <w:rPr>
          <w:sz w:val="22"/>
          <w:szCs w:val="22"/>
        </w:rPr>
        <w:t xml:space="preserve">ρίως στην αύξηση (κατά </w:t>
      </w:r>
      <w:r w:rsidR="007B1035">
        <w:rPr>
          <w:sz w:val="22"/>
          <w:szCs w:val="22"/>
        </w:rPr>
        <w:t xml:space="preserve">3,4 </w:t>
      </w:r>
      <w:r>
        <w:rPr>
          <w:sz w:val="22"/>
          <w:szCs w:val="22"/>
        </w:rPr>
        <w:t>δισ</w:t>
      </w:r>
      <w:r w:rsidRPr="001769B4">
        <w:rPr>
          <w:sz w:val="22"/>
          <w:szCs w:val="22"/>
        </w:rPr>
        <w:t xml:space="preserve">. ευρώ) των τοποθετήσεων μη κατοίκων σε ομόλογα και έντοκα γραμμάτια του Ελληνικού Δημοσίου. </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Στην κατηγορία των λοιπών επενδύσεων, η καθαρή μείωση των απαιτήσεων των κατοίκων έναντι του εξωτερικού οφείλεται</w:t>
      </w:r>
      <w:r>
        <w:rPr>
          <w:sz w:val="22"/>
          <w:szCs w:val="22"/>
        </w:rPr>
        <w:t xml:space="preserve"> στη μείωση (κατά 2,</w:t>
      </w:r>
      <w:r w:rsidR="007B1035">
        <w:rPr>
          <w:sz w:val="22"/>
          <w:szCs w:val="22"/>
        </w:rPr>
        <w:t>5</w:t>
      </w:r>
      <w:r>
        <w:rPr>
          <w:sz w:val="22"/>
          <w:szCs w:val="22"/>
        </w:rPr>
        <w:t xml:space="preserve"> δισ</w:t>
      </w:r>
      <w:r w:rsidRPr="001769B4">
        <w:rPr>
          <w:sz w:val="22"/>
          <w:szCs w:val="22"/>
        </w:rPr>
        <w:t>. ευρώ) των τοποθετήσεων των κατοίκων σε καταθέσεις και repos στο εξωτερικό και στη στατιστική προσαρμογή που συνδέεται με τη διακράτηση τραπεζο</w:t>
      </w:r>
      <w:r w:rsidRPr="001769B4">
        <w:rPr>
          <w:sz w:val="22"/>
          <w:szCs w:val="22"/>
        </w:rPr>
        <w:t>γ</w:t>
      </w:r>
      <w:r w:rsidRPr="001769B4">
        <w:rPr>
          <w:sz w:val="22"/>
          <w:szCs w:val="22"/>
        </w:rPr>
        <w:t>ραμματίων</w:t>
      </w:r>
      <w:r w:rsidRPr="00293FF0">
        <w:rPr>
          <w:sz w:val="22"/>
          <w:szCs w:val="22"/>
          <w:vertAlign w:val="superscript"/>
        </w:rPr>
        <w:footnoteReference w:id="32"/>
      </w:r>
      <w:r w:rsidR="00293FF0">
        <w:rPr>
          <w:sz w:val="22"/>
          <w:szCs w:val="22"/>
        </w:rPr>
        <w:t>.</w:t>
      </w:r>
      <w:r w:rsidRPr="001769B4">
        <w:rPr>
          <w:sz w:val="22"/>
          <w:szCs w:val="22"/>
        </w:rPr>
        <w:t xml:space="preserve"> Η καθαρή μείωση των υποχρεώσεων έναντι του εξωτερικού αντανακλά </w:t>
      </w:r>
      <w:r>
        <w:rPr>
          <w:sz w:val="22"/>
          <w:szCs w:val="22"/>
        </w:rPr>
        <w:t xml:space="preserve">κυρίως τη μείωση (κατά </w:t>
      </w:r>
      <w:r w:rsidR="007B1035">
        <w:rPr>
          <w:sz w:val="22"/>
          <w:szCs w:val="22"/>
        </w:rPr>
        <w:t xml:space="preserve">25,4 </w:t>
      </w:r>
      <w:r>
        <w:rPr>
          <w:sz w:val="22"/>
          <w:szCs w:val="22"/>
        </w:rPr>
        <w:t>δισ</w:t>
      </w:r>
      <w:r w:rsidRPr="001769B4">
        <w:rPr>
          <w:sz w:val="22"/>
          <w:szCs w:val="22"/>
        </w:rPr>
        <w:t>. ευρώ) των τοποθετήσεων μη κατοίκων σε καταθέσεις και repos στην Ελλάδα (περιλα</w:t>
      </w:r>
      <w:r w:rsidRPr="001769B4">
        <w:rPr>
          <w:sz w:val="22"/>
          <w:szCs w:val="22"/>
        </w:rPr>
        <w:t>μ</w:t>
      </w:r>
      <w:r w:rsidRPr="001769B4">
        <w:rPr>
          <w:sz w:val="22"/>
          <w:szCs w:val="22"/>
        </w:rPr>
        <w:t>βάνεται και ο λογαριασμός TARGET), η οποία αντισταθμίστηκε σε μεγάλο βαθμό από την αύ</w:t>
      </w:r>
      <w:r>
        <w:rPr>
          <w:sz w:val="22"/>
          <w:szCs w:val="22"/>
        </w:rPr>
        <w:t>ξηση (κ</w:t>
      </w:r>
      <w:r>
        <w:rPr>
          <w:sz w:val="22"/>
          <w:szCs w:val="22"/>
        </w:rPr>
        <w:t>α</w:t>
      </w:r>
      <w:r>
        <w:rPr>
          <w:sz w:val="22"/>
          <w:szCs w:val="22"/>
        </w:rPr>
        <w:t>τά 20,2 δισ</w:t>
      </w:r>
      <w:r w:rsidRPr="001769B4">
        <w:rPr>
          <w:sz w:val="22"/>
          <w:szCs w:val="22"/>
        </w:rPr>
        <w:t>. ευρώ) των δανειακών υποχρεώσεων του δημόσιου και του ιδιωτικού τομέα προς μη κατο</w:t>
      </w:r>
      <w:r w:rsidRPr="001769B4">
        <w:rPr>
          <w:sz w:val="22"/>
          <w:szCs w:val="22"/>
        </w:rPr>
        <w:t>ί</w:t>
      </w:r>
      <w:r w:rsidRPr="001769B4">
        <w:rPr>
          <w:sz w:val="22"/>
          <w:szCs w:val="22"/>
        </w:rPr>
        <w:t xml:space="preserve">κους. </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 xml:space="preserve">Στο τέλος </w:t>
      </w:r>
      <w:r w:rsidR="007B1035">
        <w:rPr>
          <w:sz w:val="22"/>
          <w:szCs w:val="22"/>
        </w:rPr>
        <w:t>Σεπτεμβρίου</w:t>
      </w:r>
      <w:r w:rsidRPr="001769B4">
        <w:rPr>
          <w:sz w:val="22"/>
          <w:szCs w:val="22"/>
        </w:rPr>
        <w:t xml:space="preserve"> 2018, τα συναλλαγματικά διαθέσιμα της </w:t>
      </w:r>
      <w:r w:rsidR="007B1035">
        <w:rPr>
          <w:sz w:val="22"/>
          <w:szCs w:val="22"/>
        </w:rPr>
        <w:t>χώρας διαμορφώθηκαν σε 6,2</w:t>
      </w:r>
      <w:r>
        <w:rPr>
          <w:sz w:val="22"/>
          <w:szCs w:val="22"/>
        </w:rPr>
        <w:t xml:space="preserve"> δισ</w:t>
      </w:r>
      <w:r w:rsidRPr="001769B4">
        <w:rPr>
          <w:sz w:val="22"/>
          <w:szCs w:val="22"/>
        </w:rPr>
        <w:t>. ε</w:t>
      </w:r>
      <w:r w:rsidRPr="001769B4">
        <w:rPr>
          <w:sz w:val="22"/>
          <w:szCs w:val="22"/>
        </w:rPr>
        <w:t>υ</w:t>
      </w:r>
      <w:r>
        <w:rPr>
          <w:sz w:val="22"/>
          <w:szCs w:val="22"/>
        </w:rPr>
        <w:t>ρώ, έναντι 6,</w:t>
      </w:r>
      <w:r w:rsidR="007B1035">
        <w:rPr>
          <w:sz w:val="22"/>
          <w:szCs w:val="22"/>
        </w:rPr>
        <w:t>6</w:t>
      </w:r>
      <w:r>
        <w:rPr>
          <w:sz w:val="22"/>
          <w:szCs w:val="22"/>
        </w:rPr>
        <w:t xml:space="preserve"> δισ</w:t>
      </w:r>
      <w:r w:rsidRPr="001769B4">
        <w:rPr>
          <w:sz w:val="22"/>
          <w:szCs w:val="22"/>
        </w:rPr>
        <w:t xml:space="preserve">. ευρώ τον </w:t>
      </w:r>
      <w:r w:rsidR="007B1035">
        <w:rPr>
          <w:sz w:val="22"/>
          <w:szCs w:val="22"/>
        </w:rPr>
        <w:t xml:space="preserve">Σεπτέμβριο </w:t>
      </w:r>
      <w:r w:rsidRPr="001769B4">
        <w:rPr>
          <w:sz w:val="22"/>
          <w:szCs w:val="22"/>
        </w:rPr>
        <w:t xml:space="preserve">του 2017. </w:t>
      </w:r>
    </w:p>
    <w:p w:rsidR="001769B4" w:rsidRDefault="001769B4" w:rsidP="00780119">
      <w:pPr>
        <w:ind w:right="-144"/>
        <w:jc w:val="both"/>
        <w:rPr>
          <w:sz w:val="22"/>
          <w:szCs w:val="22"/>
        </w:rPr>
      </w:pPr>
    </w:p>
    <w:p w:rsidR="001769B4" w:rsidRDefault="001769B4" w:rsidP="00780119">
      <w:pPr>
        <w:rPr>
          <w:sz w:val="22"/>
          <w:szCs w:val="22"/>
        </w:rPr>
      </w:pPr>
      <w:r>
        <w:rPr>
          <w:sz w:val="22"/>
          <w:szCs w:val="22"/>
        </w:rPr>
        <w:br w:type="page"/>
      </w:r>
    </w:p>
    <w:tbl>
      <w:tblPr>
        <w:tblW w:w="9072"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4283"/>
        <w:gridCol w:w="802"/>
        <w:gridCol w:w="802"/>
        <w:gridCol w:w="802"/>
        <w:gridCol w:w="802"/>
        <w:gridCol w:w="802"/>
        <w:gridCol w:w="779"/>
      </w:tblGrid>
      <w:tr w:rsidR="001769B4" w:rsidRPr="00485FD7" w:rsidTr="00AB1CFE">
        <w:trPr>
          <w:cantSplit/>
          <w:jc w:val="center"/>
        </w:trPr>
        <w:tc>
          <w:tcPr>
            <w:tcW w:w="9072" w:type="dxa"/>
            <w:gridSpan w:val="7"/>
            <w:tcBorders>
              <w:top w:val="single" w:sz="6" w:space="0" w:color="auto"/>
              <w:bottom w:val="nil"/>
            </w:tcBorders>
            <w:shd w:val="clear" w:color="auto" w:fill="595959" w:themeFill="text1" w:themeFillTint="A6"/>
            <w:vAlign w:val="center"/>
          </w:tcPr>
          <w:p w:rsidR="001769B4" w:rsidRPr="00485FD7" w:rsidRDefault="001769B4" w:rsidP="00780119">
            <w:pPr>
              <w:pStyle w:val="3"/>
              <w:numPr>
                <w:ilvl w:val="2"/>
                <w:numId w:val="0"/>
              </w:numPr>
              <w:tabs>
                <w:tab w:val="num" w:pos="0"/>
              </w:tabs>
              <w:spacing w:before="0" w:after="0"/>
              <w:ind w:left="720" w:hanging="720"/>
              <w:jc w:val="center"/>
              <w:rPr>
                <w:rFonts w:ascii="Arial Narrow" w:hAnsi="Arial Narrow"/>
                <w:color w:val="FFFFFF"/>
                <w:sz w:val="24"/>
                <w:szCs w:val="24"/>
              </w:rPr>
            </w:pPr>
            <w:r>
              <w:rPr>
                <w:sz w:val="22"/>
              </w:rPr>
              <w:lastRenderedPageBreak/>
              <w:br w:type="page"/>
            </w:r>
            <w:r w:rsidRPr="00485FD7">
              <w:rPr>
                <w:rFonts w:ascii="Arial Narrow" w:hAnsi="Arial Narrow"/>
                <w:color w:val="FFFFFF"/>
                <w:sz w:val="24"/>
                <w:szCs w:val="24"/>
              </w:rPr>
              <w:t>Πίνακας 1.2</w:t>
            </w:r>
            <w:r>
              <w:rPr>
                <w:rFonts w:ascii="Arial Narrow" w:hAnsi="Arial Narrow"/>
                <w:color w:val="FFFFFF"/>
                <w:sz w:val="24"/>
                <w:szCs w:val="24"/>
              </w:rPr>
              <w:t xml:space="preserve"> </w:t>
            </w:r>
            <w:r w:rsidRPr="00485FD7">
              <w:rPr>
                <w:rFonts w:ascii="Arial Narrow" w:hAnsi="Arial Narrow"/>
                <w:color w:val="FFFFFF"/>
                <w:sz w:val="24"/>
                <w:szCs w:val="24"/>
              </w:rPr>
              <w:t xml:space="preserve">Ισοζύγιο </w:t>
            </w:r>
            <w:r>
              <w:rPr>
                <w:rFonts w:ascii="Arial Narrow" w:hAnsi="Arial Narrow"/>
                <w:color w:val="FFFFFF"/>
                <w:sz w:val="24"/>
                <w:szCs w:val="24"/>
              </w:rPr>
              <w:t xml:space="preserve">πληρωμών </w:t>
            </w:r>
          </w:p>
          <w:p w:rsidR="001769B4" w:rsidRPr="00485FD7" w:rsidRDefault="001769B4" w:rsidP="00780119">
            <w:pPr>
              <w:spacing w:after="60"/>
              <w:jc w:val="center"/>
              <w:rPr>
                <w:b/>
                <w:snapToGrid w:val="0"/>
                <w:color w:val="FFFFFF"/>
                <w:sz w:val="16"/>
              </w:rPr>
            </w:pPr>
            <w:r w:rsidRPr="00485FD7">
              <w:rPr>
                <w:rFonts w:ascii="Arial Narrow" w:hAnsi="Arial Narrow"/>
                <w:b/>
                <w:color w:val="FFFFFF"/>
              </w:rPr>
              <w:t>(σε εκατ. ευρώ)</w:t>
            </w:r>
          </w:p>
        </w:tc>
      </w:tr>
      <w:tr w:rsidR="001769B4" w:rsidRPr="000D16BD" w:rsidTr="00AB1CFE">
        <w:trPr>
          <w:cantSplit/>
          <w:trHeight w:val="20"/>
          <w:jc w:val="center"/>
        </w:trPr>
        <w:tc>
          <w:tcPr>
            <w:tcW w:w="9072" w:type="dxa"/>
            <w:gridSpan w:val="7"/>
            <w:tcBorders>
              <w:top w:val="single" w:sz="6" w:space="0" w:color="auto"/>
              <w:bottom w:val="nil"/>
            </w:tcBorders>
            <w:shd w:val="clear" w:color="auto" w:fill="auto"/>
            <w:vAlign w:val="center"/>
          </w:tcPr>
          <w:p w:rsidR="001769B4" w:rsidRPr="000D16BD" w:rsidRDefault="001769B4" w:rsidP="00780119">
            <w:pPr>
              <w:pStyle w:val="3"/>
              <w:numPr>
                <w:ilvl w:val="2"/>
                <w:numId w:val="0"/>
              </w:numPr>
              <w:tabs>
                <w:tab w:val="num" w:pos="0"/>
              </w:tabs>
              <w:spacing w:before="0" w:after="0"/>
              <w:ind w:left="720" w:hanging="720"/>
              <w:jc w:val="center"/>
              <w:rPr>
                <w:sz w:val="8"/>
              </w:rPr>
            </w:pPr>
          </w:p>
        </w:tc>
      </w:tr>
      <w:tr w:rsidR="001769B4" w:rsidRPr="00472EC7" w:rsidTr="00AB1CFE">
        <w:trPr>
          <w:cantSplit/>
          <w:jc w:val="center"/>
        </w:trPr>
        <w:tc>
          <w:tcPr>
            <w:tcW w:w="4283" w:type="dxa"/>
            <w:vMerge w:val="restart"/>
            <w:tcBorders>
              <w:top w:val="single" w:sz="4" w:space="0" w:color="auto"/>
            </w:tcBorders>
            <w:shd w:val="clear" w:color="auto" w:fill="FFFFFF"/>
            <w:vAlign w:val="center"/>
          </w:tcPr>
          <w:p w:rsidR="001769B4" w:rsidRPr="00472EC7" w:rsidRDefault="001769B4" w:rsidP="00780119">
            <w:pPr>
              <w:tabs>
                <w:tab w:val="left" w:pos="426"/>
              </w:tabs>
              <w:jc w:val="center"/>
              <w:rPr>
                <w:rFonts w:ascii="Arial Narrow" w:hAnsi="Arial Narrow"/>
                <w:b/>
                <w:snapToGrid w:val="0"/>
                <w:color w:val="000000"/>
                <w:sz w:val="16"/>
              </w:rPr>
            </w:pPr>
          </w:p>
        </w:tc>
        <w:tc>
          <w:tcPr>
            <w:tcW w:w="2406" w:type="dxa"/>
            <w:gridSpan w:val="3"/>
            <w:tcBorders>
              <w:top w:val="single" w:sz="4" w:space="0" w:color="auto"/>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sidRPr="00472EC7">
              <w:rPr>
                <w:rFonts w:ascii="Arial Narrow" w:hAnsi="Arial Narrow"/>
                <w:b/>
                <w:snapToGrid w:val="0"/>
                <w:color w:val="000000"/>
                <w:sz w:val="16"/>
              </w:rPr>
              <w:t>Ιανουάριος-</w:t>
            </w:r>
            <w:r>
              <w:rPr>
                <w:rFonts w:ascii="Arial Narrow" w:hAnsi="Arial Narrow"/>
                <w:b/>
                <w:snapToGrid w:val="0"/>
                <w:color w:val="000000"/>
                <w:sz w:val="16"/>
              </w:rPr>
              <w:t>Δεκέμβριος</w:t>
            </w:r>
          </w:p>
        </w:tc>
        <w:tc>
          <w:tcPr>
            <w:tcW w:w="2383" w:type="dxa"/>
            <w:gridSpan w:val="3"/>
            <w:tcBorders>
              <w:top w:val="single" w:sz="4" w:space="0" w:color="auto"/>
              <w:bottom w:val="single" w:sz="4" w:space="0" w:color="auto"/>
            </w:tcBorders>
            <w:shd w:val="clear" w:color="auto" w:fill="FFFFFF"/>
          </w:tcPr>
          <w:p w:rsidR="001769B4" w:rsidRPr="00472EC7" w:rsidRDefault="001769B4" w:rsidP="007607CF">
            <w:pPr>
              <w:jc w:val="center"/>
              <w:rPr>
                <w:rFonts w:ascii="Arial Narrow" w:hAnsi="Arial Narrow"/>
                <w:b/>
                <w:snapToGrid w:val="0"/>
                <w:color w:val="000000"/>
                <w:sz w:val="16"/>
              </w:rPr>
            </w:pPr>
            <w:r w:rsidRPr="00472EC7">
              <w:rPr>
                <w:rFonts w:ascii="Arial Narrow" w:hAnsi="Arial Narrow"/>
                <w:b/>
                <w:snapToGrid w:val="0"/>
                <w:color w:val="000000"/>
                <w:sz w:val="16"/>
              </w:rPr>
              <w:t>Ιανουάριος-</w:t>
            </w:r>
            <w:r w:rsidR="007607CF">
              <w:rPr>
                <w:rFonts w:ascii="Arial Narrow" w:hAnsi="Arial Narrow"/>
                <w:b/>
                <w:snapToGrid w:val="0"/>
                <w:color w:val="000000"/>
                <w:sz w:val="16"/>
              </w:rPr>
              <w:t>Σεπτέμβριος</w:t>
            </w:r>
          </w:p>
        </w:tc>
      </w:tr>
      <w:tr w:rsidR="001769B4" w:rsidRPr="00472EC7" w:rsidTr="00AB1CFE">
        <w:trPr>
          <w:cantSplit/>
          <w:jc w:val="center"/>
        </w:trPr>
        <w:tc>
          <w:tcPr>
            <w:tcW w:w="4283" w:type="dxa"/>
            <w:vMerge/>
            <w:tcBorders>
              <w:bottom w:val="single" w:sz="4" w:space="0" w:color="auto"/>
            </w:tcBorders>
          </w:tcPr>
          <w:p w:rsidR="001769B4" w:rsidRPr="00472EC7" w:rsidRDefault="001769B4" w:rsidP="00780119">
            <w:pPr>
              <w:tabs>
                <w:tab w:val="left" w:pos="426"/>
              </w:tabs>
              <w:jc w:val="center"/>
              <w:rPr>
                <w:rFonts w:ascii="Arial Narrow" w:hAnsi="Arial Narrow"/>
                <w:b/>
                <w:snapToGrid w:val="0"/>
                <w:color w:val="000000"/>
                <w:sz w:val="16"/>
              </w:rPr>
            </w:pPr>
          </w:p>
        </w:tc>
        <w:tc>
          <w:tcPr>
            <w:tcW w:w="802" w:type="dxa"/>
            <w:tcBorders>
              <w:top w:val="nil"/>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Pr>
                <w:rFonts w:ascii="Arial Narrow" w:hAnsi="Arial Narrow"/>
                <w:b/>
                <w:snapToGrid w:val="0"/>
                <w:color w:val="000000"/>
                <w:sz w:val="16"/>
              </w:rPr>
              <w:t>2015</w:t>
            </w:r>
          </w:p>
        </w:tc>
        <w:tc>
          <w:tcPr>
            <w:tcW w:w="802" w:type="dxa"/>
            <w:tcBorders>
              <w:top w:val="nil"/>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Pr>
                <w:rFonts w:ascii="Arial Narrow" w:hAnsi="Arial Narrow"/>
                <w:b/>
                <w:snapToGrid w:val="0"/>
                <w:color w:val="000000"/>
                <w:sz w:val="16"/>
              </w:rPr>
              <w:t>2016</w:t>
            </w:r>
          </w:p>
        </w:tc>
        <w:tc>
          <w:tcPr>
            <w:tcW w:w="802" w:type="dxa"/>
            <w:tcBorders>
              <w:top w:val="nil"/>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Pr>
                <w:rFonts w:ascii="Arial Narrow" w:hAnsi="Arial Narrow"/>
                <w:b/>
                <w:snapToGrid w:val="0"/>
                <w:color w:val="000000"/>
                <w:sz w:val="16"/>
              </w:rPr>
              <w:t>2017</w:t>
            </w:r>
          </w:p>
        </w:tc>
        <w:tc>
          <w:tcPr>
            <w:tcW w:w="802" w:type="dxa"/>
            <w:tcBorders>
              <w:top w:val="nil"/>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sidRPr="00472EC7">
              <w:rPr>
                <w:rFonts w:ascii="Arial Narrow" w:hAnsi="Arial Narrow"/>
                <w:b/>
                <w:snapToGrid w:val="0"/>
                <w:color w:val="000000"/>
                <w:sz w:val="16"/>
              </w:rPr>
              <w:t>20</w:t>
            </w:r>
            <w:r>
              <w:rPr>
                <w:rFonts w:ascii="Arial Narrow" w:hAnsi="Arial Narrow"/>
                <w:b/>
                <w:snapToGrid w:val="0"/>
                <w:color w:val="000000"/>
                <w:sz w:val="16"/>
              </w:rPr>
              <w:t>16</w:t>
            </w:r>
          </w:p>
        </w:tc>
        <w:tc>
          <w:tcPr>
            <w:tcW w:w="802" w:type="dxa"/>
            <w:tcBorders>
              <w:top w:val="nil"/>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sidRPr="00472EC7">
              <w:rPr>
                <w:rFonts w:ascii="Arial Narrow" w:hAnsi="Arial Narrow"/>
                <w:b/>
                <w:snapToGrid w:val="0"/>
                <w:color w:val="000000"/>
                <w:sz w:val="16"/>
              </w:rPr>
              <w:t>201</w:t>
            </w:r>
            <w:r>
              <w:rPr>
                <w:rFonts w:ascii="Arial Narrow" w:hAnsi="Arial Narrow"/>
                <w:b/>
                <w:snapToGrid w:val="0"/>
                <w:color w:val="000000"/>
                <w:sz w:val="16"/>
              </w:rPr>
              <w:t>7</w:t>
            </w:r>
          </w:p>
        </w:tc>
        <w:tc>
          <w:tcPr>
            <w:tcW w:w="779" w:type="dxa"/>
            <w:tcBorders>
              <w:top w:val="nil"/>
              <w:bottom w:val="single" w:sz="4" w:space="0" w:color="auto"/>
            </w:tcBorders>
            <w:shd w:val="clear" w:color="auto" w:fill="FFFFFF"/>
          </w:tcPr>
          <w:p w:rsidR="001769B4" w:rsidRPr="00472EC7" w:rsidRDefault="001769B4" w:rsidP="00780119">
            <w:pPr>
              <w:jc w:val="center"/>
              <w:rPr>
                <w:rFonts w:ascii="Arial Narrow" w:hAnsi="Arial Narrow"/>
                <w:b/>
                <w:snapToGrid w:val="0"/>
                <w:color w:val="000000"/>
                <w:sz w:val="16"/>
              </w:rPr>
            </w:pPr>
            <w:r>
              <w:rPr>
                <w:rFonts w:ascii="Arial Narrow" w:hAnsi="Arial Narrow"/>
                <w:b/>
                <w:snapToGrid w:val="0"/>
                <w:color w:val="000000"/>
                <w:sz w:val="16"/>
              </w:rPr>
              <w:t>2018</w:t>
            </w:r>
          </w:p>
        </w:tc>
      </w:tr>
      <w:tr w:rsidR="007607CF" w:rsidTr="002836FE">
        <w:trPr>
          <w:cantSplit/>
          <w:jc w:val="center"/>
        </w:trPr>
        <w:tc>
          <w:tcPr>
            <w:tcW w:w="4283" w:type="dxa"/>
            <w:tcBorders>
              <w:top w:val="single" w:sz="4" w:space="0" w:color="auto"/>
              <w:bottom w:val="nil"/>
              <w:right w:val="nil"/>
            </w:tcBorders>
            <w:shd w:val="clear" w:color="auto" w:fill="D9D9D9" w:themeFill="background1" w:themeFillShade="D9"/>
          </w:tcPr>
          <w:p w:rsidR="007607CF" w:rsidRPr="00472EC7" w:rsidRDefault="007607CF" w:rsidP="00780119">
            <w:pPr>
              <w:tabs>
                <w:tab w:val="left" w:pos="426"/>
              </w:tabs>
              <w:rPr>
                <w:rFonts w:ascii="Arial Narrow" w:hAnsi="Arial Narrow"/>
                <w:b/>
                <w:i/>
                <w:snapToGrid w:val="0"/>
                <w:color w:val="000000"/>
                <w:sz w:val="16"/>
                <w:szCs w:val="16"/>
              </w:rPr>
            </w:pPr>
            <w:r w:rsidRPr="00472EC7">
              <w:rPr>
                <w:rFonts w:ascii="Arial Narrow" w:hAnsi="Arial Narrow"/>
                <w:b/>
                <w:snapToGrid w:val="0"/>
                <w:color w:val="000000"/>
                <w:sz w:val="16"/>
                <w:szCs w:val="16"/>
              </w:rPr>
              <w:t>I.</w:t>
            </w:r>
            <w:r w:rsidRPr="00472EC7">
              <w:rPr>
                <w:rFonts w:ascii="Arial Narrow" w:hAnsi="Arial Narrow"/>
                <w:b/>
                <w:snapToGrid w:val="0"/>
                <w:color w:val="000000"/>
                <w:sz w:val="16"/>
                <w:szCs w:val="16"/>
              </w:rPr>
              <w:tab/>
              <w:t>Ισοζύγιο τρεχουσών συναλλαγών (Ι.Α+Ι.Β+Ι.Γ+Ι.Δ</w:t>
            </w:r>
            <w:r w:rsidRPr="00472EC7">
              <w:rPr>
                <w:rFonts w:ascii="Arial Narrow" w:hAnsi="Arial Narrow"/>
                <w:b/>
                <w:i/>
                <w:snapToGrid w:val="0"/>
                <w:color w:val="000000"/>
                <w:sz w:val="16"/>
                <w:szCs w:val="16"/>
              </w:rPr>
              <w:t>)</w:t>
            </w:r>
          </w:p>
        </w:tc>
        <w:tc>
          <w:tcPr>
            <w:tcW w:w="802" w:type="dxa"/>
            <w:tcBorders>
              <w:top w:val="single" w:sz="4" w:space="0" w:color="auto"/>
              <w:left w:val="nil"/>
              <w:bottom w:val="nil"/>
              <w:right w:val="nil"/>
            </w:tcBorders>
            <w:shd w:val="clear" w:color="auto" w:fill="D9D9D9" w:themeFill="background1" w:themeFillShade="D9"/>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-1.438,4</w:t>
            </w:r>
          </w:p>
        </w:tc>
        <w:tc>
          <w:tcPr>
            <w:tcW w:w="802" w:type="dxa"/>
            <w:tcBorders>
              <w:top w:val="single" w:sz="4" w:space="0" w:color="auto"/>
              <w:left w:val="nil"/>
              <w:bottom w:val="nil"/>
              <w:right w:val="nil"/>
            </w:tcBorders>
            <w:shd w:val="clear" w:color="auto" w:fill="D9D9D9" w:themeFill="background1" w:themeFillShade="D9"/>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-3.050,0</w:t>
            </w:r>
          </w:p>
        </w:tc>
        <w:tc>
          <w:tcPr>
            <w:tcW w:w="802" w:type="dxa"/>
            <w:tcBorders>
              <w:top w:val="single" w:sz="4" w:space="0" w:color="auto"/>
              <w:left w:val="nil"/>
              <w:bottom w:val="nil"/>
              <w:right w:val="nil"/>
            </w:tcBorders>
            <w:shd w:val="clear" w:color="auto" w:fill="D9D9D9" w:themeFill="background1" w:themeFillShade="D9"/>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-3.159,3</w:t>
            </w:r>
          </w:p>
        </w:tc>
        <w:tc>
          <w:tcPr>
            <w:tcW w:w="802" w:type="dxa"/>
            <w:tcBorders>
              <w:top w:val="single" w:sz="4" w:space="0" w:color="auto"/>
              <w:left w:val="nil"/>
              <w:bottom w:val="nil"/>
              <w:right w:val="nil"/>
            </w:tcBorders>
            <w:shd w:val="clear" w:color="auto" w:fill="D9D9D9" w:themeFill="background1" w:themeFillShade="D9"/>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-5,6</w:t>
            </w:r>
          </w:p>
        </w:tc>
        <w:tc>
          <w:tcPr>
            <w:tcW w:w="802" w:type="dxa"/>
            <w:tcBorders>
              <w:top w:val="single" w:sz="4" w:space="0" w:color="auto"/>
              <w:left w:val="nil"/>
              <w:bottom w:val="nil"/>
              <w:right w:val="nil"/>
            </w:tcBorders>
            <w:shd w:val="clear" w:color="auto" w:fill="D9D9D9" w:themeFill="background1" w:themeFillShade="D9"/>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227,9</w:t>
            </w:r>
          </w:p>
        </w:tc>
        <w:tc>
          <w:tcPr>
            <w:tcW w:w="779" w:type="dxa"/>
            <w:tcBorders>
              <w:top w:val="single" w:sz="4" w:space="0" w:color="auto"/>
              <w:left w:val="nil"/>
              <w:bottom w:val="nil"/>
            </w:tcBorders>
            <w:shd w:val="clear" w:color="auto" w:fill="D9D9D9" w:themeFill="background1" w:themeFillShade="D9"/>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-1.256,0</w:t>
            </w:r>
          </w:p>
        </w:tc>
      </w:tr>
      <w:tr w:rsidR="007607CF" w:rsidTr="00B51B70">
        <w:trPr>
          <w:cantSplit/>
          <w:jc w:val="center"/>
        </w:trPr>
        <w:tc>
          <w:tcPr>
            <w:tcW w:w="4283" w:type="dxa"/>
            <w:tcBorders>
              <w:top w:val="nil"/>
              <w:bottom w:val="nil"/>
              <w:right w:val="nil"/>
            </w:tcBorders>
            <w:shd w:val="clear" w:color="auto" w:fill="FFFFFF"/>
          </w:tcPr>
          <w:p w:rsidR="007607CF" w:rsidRPr="00243770" w:rsidRDefault="007607CF" w:rsidP="00780119">
            <w:pPr>
              <w:tabs>
                <w:tab w:val="left" w:pos="426"/>
              </w:tabs>
              <w:spacing w:before="40"/>
              <w:jc w:val="both"/>
              <w:rPr>
                <w:rFonts w:ascii="Arial Narrow" w:hAnsi="Arial Narrow"/>
                <w:b/>
                <w:snapToGrid w:val="0"/>
                <w:color w:val="000000"/>
                <w:sz w:val="16"/>
                <w:szCs w:val="16"/>
              </w:rPr>
            </w:pPr>
            <w:r>
              <w:rPr>
                <w:rFonts w:ascii="Arial Narrow" w:hAnsi="Arial Narrow"/>
                <w:b/>
                <w:snapToGrid w:val="0"/>
                <w:color w:val="000000"/>
                <w:sz w:val="16"/>
                <w:szCs w:val="16"/>
              </w:rPr>
              <w:tab/>
            </w:r>
            <w:r w:rsidRPr="00243770">
              <w:rPr>
                <w:rFonts w:ascii="Arial Narrow" w:hAnsi="Arial Narrow"/>
                <w:b/>
                <w:snapToGrid w:val="0"/>
                <w:color w:val="000000"/>
                <w:sz w:val="16"/>
                <w:szCs w:val="16"/>
              </w:rPr>
              <w:t xml:space="preserve">Ισοζύγιο </w:t>
            </w:r>
            <w:r>
              <w:rPr>
                <w:rFonts w:ascii="Arial Narrow" w:hAnsi="Arial Narrow"/>
                <w:b/>
                <w:snapToGrid w:val="0"/>
                <w:color w:val="000000"/>
                <w:sz w:val="16"/>
                <w:szCs w:val="16"/>
              </w:rPr>
              <w:t>αγαθών και υπηρεσιών (Ι.Α+Ι.Β)</w:t>
            </w:r>
            <w:r w:rsidRPr="00243770">
              <w:rPr>
                <w:rFonts w:ascii="Arial Narrow" w:hAnsi="Arial Narrow"/>
                <w:b/>
                <w:snapToGrid w:val="0"/>
                <w:color w:val="000000"/>
                <w:sz w:val="16"/>
                <w:szCs w:val="16"/>
              </w:rPr>
              <w:tab/>
            </w:r>
          </w:p>
        </w:tc>
        <w:tc>
          <w:tcPr>
            <w:tcW w:w="802" w:type="dxa"/>
            <w:tcBorders>
              <w:top w:val="nil"/>
              <w:left w:val="nil"/>
              <w:bottom w:val="nil"/>
              <w:right w:val="nil"/>
            </w:tcBorders>
            <w:shd w:val="clear" w:color="auto" w:fill="FFFFFF"/>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-1.084,8</w:t>
            </w:r>
          </w:p>
        </w:tc>
        <w:tc>
          <w:tcPr>
            <w:tcW w:w="802" w:type="dxa"/>
            <w:tcBorders>
              <w:top w:val="nil"/>
              <w:left w:val="nil"/>
              <w:bottom w:val="nil"/>
              <w:right w:val="nil"/>
            </w:tcBorders>
            <w:shd w:val="clear" w:color="auto" w:fill="FFFFFF"/>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-1.662,7</w:t>
            </w:r>
          </w:p>
        </w:tc>
        <w:tc>
          <w:tcPr>
            <w:tcW w:w="802" w:type="dxa"/>
            <w:tcBorders>
              <w:top w:val="nil"/>
              <w:left w:val="nil"/>
              <w:bottom w:val="nil"/>
              <w:right w:val="nil"/>
            </w:tcBorders>
            <w:shd w:val="clear" w:color="auto" w:fill="FFFFFF"/>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-1.790,2</w:t>
            </w:r>
          </w:p>
        </w:tc>
        <w:tc>
          <w:tcPr>
            <w:tcW w:w="802" w:type="dxa"/>
            <w:tcBorders>
              <w:top w:val="nil"/>
              <w:left w:val="nil"/>
              <w:bottom w:val="nil"/>
              <w:right w:val="nil"/>
            </w:tcBorders>
            <w:shd w:val="clear" w:color="auto" w:fill="FFFFFF"/>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947,5</w:t>
            </w:r>
          </w:p>
        </w:tc>
        <w:tc>
          <w:tcPr>
            <w:tcW w:w="802" w:type="dxa"/>
            <w:tcBorders>
              <w:top w:val="nil"/>
              <w:left w:val="nil"/>
              <w:bottom w:val="nil"/>
              <w:right w:val="nil"/>
            </w:tcBorders>
            <w:shd w:val="clear" w:color="auto" w:fill="FFFFFF"/>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922,5</w:t>
            </w:r>
          </w:p>
        </w:tc>
        <w:tc>
          <w:tcPr>
            <w:tcW w:w="779" w:type="dxa"/>
            <w:tcBorders>
              <w:top w:val="nil"/>
              <w:left w:val="nil"/>
              <w:bottom w:val="nil"/>
            </w:tcBorders>
            <w:shd w:val="clear" w:color="auto" w:fill="FFFFFF"/>
            <w:vAlign w:val="bottom"/>
          </w:tcPr>
          <w:p w:rsidR="007607CF" w:rsidRDefault="007607CF" w:rsidP="00B51B70">
            <w:pPr>
              <w:tabs>
                <w:tab w:val="decimal" w:pos="508"/>
              </w:tabs>
              <w:jc w:val="both"/>
              <w:rPr>
                <w:rFonts w:ascii="Arial Narrow" w:hAnsi="Arial Narrow" w:cs="Arial"/>
                <w:b/>
                <w:bCs/>
                <w:sz w:val="16"/>
                <w:szCs w:val="16"/>
              </w:rPr>
            </w:pPr>
            <w:r>
              <w:rPr>
                <w:rFonts w:ascii="Arial Narrow" w:hAnsi="Arial Narrow" w:cs="Arial"/>
                <w:b/>
                <w:bCs/>
                <w:sz w:val="16"/>
                <w:szCs w:val="16"/>
              </w:rPr>
              <w:t>-53,1</w:t>
            </w:r>
          </w:p>
        </w:tc>
      </w:tr>
      <w:tr w:rsidR="001769B4" w:rsidRPr="00E94162" w:rsidTr="00B51B70">
        <w:trPr>
          <w:cantSplit/>
          <w:jc w:val="center"/>
        </w:trPr>
        <w:tc>
          <w:tcPr>
            <w:tcW w:w="4283" w:type="dxa"/>
            <w:tcBorders>
              <w:top w:val="nil"/>
              <w:bottom w:val="nil"/>
              <w:right w:val="nil"/>
            </w:tcBorders>
            <w:shd w:val="clear" w:color="auto" w:fill="FFFFFF"/>
          </w:tcPr>
          <w:p w:rsidR="001769B4" w:rsidRPr="00E94162" w:rsidRDefault="001769B4" w:rsidP="00780119">
            <w:pPr>
              <w:tabs>
                <w:tab w:val="left" w:pos="426"/>
              </w:tabs>
              <w:jc w:val="both"/>
              <w:rPr>
                <w:rFonts w:ascii="Arial Narrow" w:hAnsi="Arial Narrow"/>
                <w:b/>
                <w:snapToGrid w:val="0"/>
                <w:color w:val="000000"/>
                <w:sz w:val="4"/>
                <w:szCs w:val="16"/>
              </w:rPr>
            </w:pPr>
          </w:p>
        </w:tc>
        <w:tc>
          <w:tcPr>
            <w:tcW w:w="802" w:type="dxa"/>
            <w:tcBorders>
              <w:top w:val="nil"/>
              <w:left w:val="nil"/>
              <w:bottom w:val="nil"/>
              <w:right w:val="nil"/>
            </w:tcBorders>
            <w:shd w:val="clear" w:color="auto" w:fill="FFFFFF"/>
            <w:vAlign w:val="bottom"/>
          </w:tcPr>
          <w:p w:rsidR="001769B4" w:rsidRPr="00E94162" w:rsidRDefault="001769B4" w:rsidP="00B51B70">
            <w:pPr>
              <w:tabs>
                <w:tab w:val="decimal" w:pos="508"/>
              </w:tabs>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1769B4" w:rsidRPr="00E94162" w:rsidRDefault="001769B4" w:rsidP="00B51B70">
            <w:pPr>
              <w:tabs>
                <w:tab w:val="decimal" w:pos="477"/>
                <w:tab w:val="decimal" w:pos="508"/>
              </w:tabs>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1769B4" w:rsidRPr="00E94162" w:rsidRDefault="001769B4" w:rsidP="00B51B70">
            <w:pPr>
              <w:tabs>
                <w:tab w:val="decimal" w:pos="477"/>
                <w:tab w:val="decimal" w:pos="508"/>
              </w:tabs>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1769B4" w:rsidRPr="00E94162" w:rsidRDefault="001769B4" w:rsidP="00B51B70">
            <w:pPr>
              <w:tabs>
                <w:tab w:val="decimal" w:pos="475"/>
                <w:tab w:val="decimal" w:pos="508"/>
              </w:tabs>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1769B4" w:rsidRPr="00E94162" w:rsidRDefault="001769B4" w:rsidP="00B51B70">
            <w:pPr>
              <w:tabs>
                <w:tab w:val="decimal" w:pos="453"/>
                <w:tab w:val="decimal" w:pos="508"/>
              </w:tabs>
              <w:jc w:val="both"/>
              <w:rPr>
                <w:rFonts w:ascii="Arial Narrow" w:hAnsi="Arial Narrow" w:cs="Calibri"/>
                <w:b/>
                <w:bCs/>
                <w:i/>
                <w:sz w:val="4"/>
                <w:szCs w:val="16"/>
              </w:rPr>
            </w:pPr>
          </w:p>
        </w:tc>
        <w:tc>
          <w:tcPr>
            <w:tcW w:w="779" w:type="dxa"/>
            <w:tcBorders>
              <w:top w:val="nil"/>
              <w:left w:val="nil"/>
              <w:bottom w:val="nil"/>
            </w:tcBorders>
            <w:shd w:val="clear" w:color="auto" w:fill="FFFFFF"/>
            <w:vAlign w:val="bottom"/>
          </w:tcPr>
          <w:p w:rsidR="001769B4" w:rsidRPr="00E94162" w:rsidRDefault="001769B4" w:rsidP="00B51B70">
            <w:pPr>
              <w:tabs>
                <w:tab w:val="decimal" w:pos="444"/>
                <w:tab w:val="decimal" w:pos="471"/>
                <w:tab w:val="decimal" w:pos="508"/>
              </w:tabs>
              <w:jc w:val="both"/>
              <w:rPr>
                <w:rFonts w:ascii="Arial Narrow" w:hAnsi="Arial Narrow" w:cs="Calibri"/>
                <w:b/>
                <w:bCs/>
                <w:i/>
                <w:sz w:val="4"/>
                <w:szCs w:val="16"/>
              </w:rPr>
            </w:pP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b/>
                <w:snapToGrid w:val="0"/>
                <w:color w:val="000000"/>
                <w:sz w:val="16"/>
                <w:szCs w:val="16"/>
              </w:rPr>
              <w:t>Ι.A</w:t>
            </w:r>
            <w:r w:rsidRPr="00472EC7">
              <w:rPr>
                <w:rFonts w:ascii="Arial Narrow" w:hAnsi="Arial Narrow"/>
                <w:b/>
                <w:snapToGrid w:val="0"/>
                <w:color w:val="000000"/>
                <w:sz w:val="16"/>
                <w:szCs w:val="16"/>
              </w:rPr>
              <w:tab/>
            </w:r>
            <w:r>
              <w:rPr>
                <w:rFonts w:ascii="Arial Narrow" w:hAnsi="Arial Narrow"/>
                <w:b/>
                <w:snapToGrid w:val="0"/>
                <w:color w:val="000000"/>
                <w:sz w:val="16"/>
                <w:szCs w:val="16"/>
              </w:rPr>
              <w:t>Ι</w:t>
            </w:r>
            <w:r w:rsidRPr="00472EC7">
              <w:rPr>
                <w:rFonts w:ascii="Arial Narrow" w:hAnsi="Arial Narrow"/>
                <w:b/>
                <w:snapToGrid w:val="0"/>
                <w:color w:val="000000"/>
                <w:sz w:val="16"/>
                <w:szCs w:val="16"/>
              </w:rPr>
              <w:t xml:space="preserve">σοζύγιο </w:t>
            </w:r>
            <w:r>
              <w:rPr>
                <w:rFonts w:ascii="Arial Narrow" w:hAnsi="Arial Narrow"/>
                <w:b/>
                <w:snapToGrid w:val="0"/>
                <w:color w:val="000000"/>
                <w:sz w:val="16"/>
                <w:szCs w:val="16"/>
              </w:rPr>
              <w:t xml:space="preserve">αγαθών </w:t>
            </w:r>
            <w:r w:rsidRPr="00472EC7">
              <w:rPr>
                <w:rFonts w:ascii="Arial Narrow" w:hAnsi="Arial Narrow"/>
                <w:b/>
                <w:snapToGrid w:val="0"/>
                <w:color w:val="000000"/>
                <w:sz w:val="16"/>
                <w:szCs w:val="16"/>
              </w:rPr>
              <w:t>( I.Α.1 -</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I.Α.2)</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-17.666,1</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-17.960,3</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-19.833,9</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-12.946,3</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-14.816,5</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-16.568,0</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Ισοζύγιο καυσίμων</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-4.134,3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-2.985,5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-3.717,6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-1.856,8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-2.819,7</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-3.850,0</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Ισοζύγιο αγαθών χωρίς καύσιμα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-13.531,8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-14.974,7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-16.116,3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-11.089,5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-11.996,8</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-12.718,0</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Ισοζύγιο πλοίων</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-84,8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-39,9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18,3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-13,5</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-47,9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Ισοζύγιο αγαθών χωρίς πλοία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-17.581,3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-17.991,7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-19.794,0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-12.964,6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-14.803,0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-16.520,1</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Ισοζύγιο αγαθών χωρίς καύσιμα και πλοία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-13.447,0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-15.006,2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-16.076,3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-11.107,8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-11.983,4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-12.670,1</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I.A.1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Εξαγωγές</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αγαθών</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24.805,1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24.613,2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28.040,5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17.977,2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20.519,6</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23.908,9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Καύσιμα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6.643,3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6.162,5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7.887,8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4.355,8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5.717,4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7.343,8</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Πλοία (</w:t>
            </w:r>
            <w:r>
              <w:rPr>
                <w:rFonts w:ascii="Arial Narrow" w:hAnsi="Arial Narrow"/>
                <w:snapToGrid w:val="0"/>
                <w:color w:val="000000"/>
                <w:sz w:val="16"/>
                <w:szCs w:val="16"/>
              </w:rPr>
              <w:t>πωλήσεις</w:t>
            </w:r>
            <w:r w:rsidRPr="00472EC7">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144,4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119,8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102,0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95,2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80,0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123,6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w:t>
            </w:r>
            <w:r w:rsidRPr="00472EC7">
              <w:rPr>
                <w:rFonts w:ascii="Arial Narrow" w:hAnsi="Arial Narrow"/>
                <w:snapToGrid w:val="0"/>
                <w:color w:val="000000"/>
                <w:sz w:val="16"/>
                <w:szCs w:val="16"/>
              </w:rPr>
              <w:t>γαθά</w:t>
            </w:r>
            <w:r>
              <w:rPr>
                <w:rFonts w:ascii="Arial Narrow" w:hAnsi="Arial Narrow"/>
                <w:snapToGrid w:val="0"/>
                <w:color w:val="000000"/>
                <w:sz w:val="16"/>
                <w:szCs w:val="16"/>
              </w:rPr>
              <w:t xml:space="preserve"> χωρίς καύσιμα και πλοία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18.017,4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18.330,9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20.050,7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13.526,2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14.722,3</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16.441,5</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I.A.2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Εισαγωγές</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αγαθών</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42.471,2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42.573,5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47.874,4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30.923,5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35.336,1</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40.476,9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Καύσιμα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10.777,6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9.148,0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11.605,4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6.212,6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8.537,1</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11.193,8</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Πλοία (</w:t>
            </w:r>
            <w:r>
              <w:rPr>
                <w:rFonts w:ascii="Arial Narrow" w:hAnsi="Arial Narrow"/>
                <w:snapToGrid w:val="0"/>
                <w:color w:val="000000"/>
                <w:sz w:val="16"/>
                <w:szCs w:val="16"/>
              </w:rPr>
              <w:t>αγορές</w:t>
            </w:r>
            <w:r w:rsidRPr="00472EC7">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229,2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88,4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141,9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77,0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93,4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171,5</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w:t>
            </w:r>
            <w:r w:rsidRPr="00472EC7">
              <w:rPr>
                <w:rFonts w:ascii="Arial Narrow" w:hAnsi="Arial Narrow"/>
                <w:snapToGrid w:val="0"/>
                <w:color w:val="000000"/>
                <w:sz w:val="16"/>
                <w:szCs w:val="16"/>
              </w:rPr>
              <w:t>γαθά</w:t>
            </w:r>
            <w:r>
              <w:rPr>
                <w:rFonts w:ascii="Arial Narrow" w:hAnsi="Arial Narrow"/>
                <w:snapToGrid w:val="0"/>
                <w:color w:val="000000"/>
                <w:sz w:val="16"/>
                <w:szCs w:val="16"/>
              </w:rPr>
              <w:t xml:space="preserve"> χωρίς καύσιμα και πλοία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31.464,4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33.337,1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36.127,0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24.633,9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26.705,6</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29.111,6</w:t>
            </w: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b/>
                <w:snapToGrid w:val="0"/>
                <w:color w:val="000000"/>
                <w:sz w:val="16"/>
                <w:szCs w:val="16"/>
              </w:rPr>
              <w:t>Ι.Β</w:t>
            </w:r>
            <w:r w:rsidRPr="00472EC7">
              <w:rPr>
                <w:rFonts w:ascii="Arial Narrow" w:hAnsi="Arial Narrow"/>
                <w:b/>
                <w:snapToGrid w:val="0"/>
                <w:color w:val="000000"/>
                <w:sz w:val="16"/>
                <w:szCs w:val="16"/>
              </w:rPr>
              <w:tab/>
              <w:t>Ισοζύγιο υπηρεσιών ( I.Β.1 -</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I.Β.2)</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16.581,3</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16.297,6</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18.043,7</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13.893,8</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15.739,0</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16.514,9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I.B.1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31.650,0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29.795,0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33.661,3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23.859,5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27.223,3</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29.618,5</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Ταξιδιωτικό</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14.125,8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13.206,7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14.630,1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11.781,1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13.021,0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14.205,3</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Μεταφορές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13.663,7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12.574,4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14.473,8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9.288,0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10.797,1</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12.178,8</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Λοιπές υπηρεσίες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3.860,5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4.013,9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4.557,3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2.790,3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3.405,2</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3.234,4</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I.B.2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15.068,7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13.497,5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15.617,6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9.965,7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11.484,2</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13.103,6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Ταξιδιωτικό</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2.037,4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2.005,3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1.904,7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1.523,4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1.449,6</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1.580,6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Μεταφορές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9.374,8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7.988,9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9.520,6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5.919,7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6.980,8</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8.059,7</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Λοιπές υπηρεσίες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3.656,5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3.503,2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4.192,3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2.522,5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3.053,8</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3.463,3</w:t>
            </w: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b/>
                <w:snapToGrid w:val="0"/>
                <w:color w:val="000000"/>
                <w:sz w:val="16"/>
                <w:szCs w:val="16"/>
              </w:rPr>
              <w:t>Ι.Γ</w:t>
            </w:r>
            <w:r w:rsidRPr="00472EC7">
              <w:rPr>
                <w:rFonts w:ascii="Arial Narrow" w:hAnsi="Arial Narrow"/>
                <w:b/>
                <w:snapToGrid w:val="0"/>
                <w:color w:val="000000"/>
                <w:sz w:val="16"/>
                <w:szCs w:val="16"/>
              </w:rPr>
              <w:tab/>
              <w:t xml:space="preserve">Ισοζύγιο </w:t>
            </w:r>
            <w:r>
              <w:rPr>
                <w:rFonts w:ascii="Arial Narrow" w:hAnsi="Arial Narrow"/>
                <w:b/>
                <w:snapToGrid w:val="0"/>
                <w:color w:val="000000"/>
                <w:sz w:val="16"/>
                <w:szCs w:val="16"/>
              </w:rPr>
              <w:t xml:space="preserve">πρωτογενών </w:t>
            </w:r>
            <w:r w:rsidRPr="00472EC7">
              <w:rPr>
                <w:rFonts w:ascii="Arial Narrow" w:hAnsi="Arial Narrow"/>
                <w:b/>
                <w:snapToGrid w:val="0"/>
                <w:color w:val="000000"/>
                <w:sz w:val="16"/>
                <w:szCs w:val="16"/>
              </w:rPr>
              <w:t>εισοδημάτων</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(I.Γ.1 -</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I.Γ.2)</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153,7</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-798,9</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-810,4</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-645,9</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-422,4</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-1.058,2</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 xml:space="preserve">I.Γ.1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7.539,9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6.217,5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6.550,1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4.930,8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5.314,0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5.033,2</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εργασία (α</w:t>
            </w:r>
            <w:r w:rsidRPr="00472EC7">
              <w:rPr>
                <w:rFonts w:ascii="Arial Narrow" w:hAnsi="Arial Narrow"/>
                <w:snapToGrid w:val="0"/>
                <w:color w:val="000000"/>
                <w:sz w:val="16"/>
                <w:szCs w:val="16"/>
              </w:rPr>
              <w:t>μοιβές, μισθοί</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226,2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211,4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216,6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156,0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166,1</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157,3</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επενδύσεις (τ</w:t>
            </w:r>
            <w:r w:rsidRPr="00472EC7">
              <w:rPr>
                <w:rFonts w:ascii="Arial Narrow" w:hAnsi="Arial Narrow"/>
                <w:snapToGrid w:val="0"/>
                <w:color w:val="000000"/>
                <w:sz w:val="16"/>
                <w:szCs w:val="16"/>
              </w:rPr>
              <w:t>όκοι, μερίσματα, κέρδη</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4.033,3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2.828,0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3.514,0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2.121,0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2.775,1</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2.154,3</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Λοιπά πρωτογενή εισοδήματα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3.280,3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3.178,2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2.819,5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2.653,8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2.372,9</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2.721,6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 xml:space="preserve">I.Γ.2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7.386,2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7.016,5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7.360,5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5.576,7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5.736,4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6.091,4</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εργασία (α</w:t>
            </w:r>
            <w:r w:rsidRPr="00472EC7">
              <w:rPr>
                <w:rFonts w:ascii="Arial Narrow" w:hAnsi="Arial Narrow"/>
                <w:snapToGrid w:val="0"/>
                <w:color w:val="000000"/>
                <w:sz w:val="16"/>
                <w:szCs w:val="16"/>
              </w:rPr>
              <w:t>μοιβές, μισθοί</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1.187,3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1.211,6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1.343,7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886,7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1.016,8</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1.007,3</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επενδύσεις (τ</w:t>
            </w:r>
            <w:r w:rsidRPr="00472EC7">
              <w:rPr>
                <w:rFonts w:ascii="Arial Narrow" w:hAnsi="Arial Narrow"/>
                <w:snapToGrid w:val="0"/>
                <w:color w:val="000000"/>
                <w:sz w:val="16"/>
                <w:szCs w:val="16"/>
              </w:rPr>
              <w:t>όκοι, μερίσματα, κέρδη</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5.895,8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5.380,4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5.611,5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4.361,1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4.403,3</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4.771,6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Λοιπά πρωτογενή εισοδήματα</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303,1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424,5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405,4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328,9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316,4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312,5</w:t>
            </w: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b/>
                <w:snapToGrid w:val="0"/>
                <w:color w:val="000000"/>
                <w:sz w:val="16"/>
                <w:szCs w:val="16"/>
              </w:rPr>
              <w:t>Ι.Δ</w:t>
            </w:r>
            <w:r w:rsidRPr="00472EC7">
              <w:rPr>
                <w:rFonts w:ascii="Arial Narrow" w:hAnsi="Arial Narrow"/>
                <w:b/>
                <w:snapToGrid w:val="0"/>
                <w:color w:val="000000"/>
                <w:sz w:val="16"/>
                <w:szCs w:val="16"/>
              </w:rPr>
              <w:tab/>
              <w:t xml:space="preserve">Ισοζύγιο </w:t>
            </w:r>
            <w:r>
              <w:rPr>
                <w:rFonts w:ascii="Arial Narrow" w:hAnsi="Arial Narrow"/>
                <w:b/>
                <w:snapToGrid w:val="0"/>
                <w:color w:val="000000"/>
                <w:sz w:val="16"/>
                <w:szCs w:val="16"/>
              </w:rPr>
              <w:t xml:space="preserve">δευτερογενών εισοδημάτων </w:t>
            </w:r>
            <w:r w:rsidRPr="00472EC7">
              <w:rPr>
                <w:rFonts w:ascii="Arial Narrow" w:hAnsi="Arial Narrow"/>
                <w:b/>
                <w:snapToGrid w:val="0"/>
                <w:color w:val="000000"/>
                <w:sz w:val="16"/>
                <w:szCs w:val="16"/>
              </w:rPr>
              <w:t>(I.Δ.1 - I.Δ.2)</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-507,3</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-588,4</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-558,7</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-307,2</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-272,2</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-144,6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I.Δ.1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1.946,5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1.838,0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1.949,9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1.430,2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1.550,4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1.572,0</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1.093,4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1.059,4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939,8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884,6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791,0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907,2</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Λοιποί τομείς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853,0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778,6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1.010,1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545,6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759,4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664,8</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I.Δ.2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2.453,8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2.426,4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2.508,6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1.737,4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1.822,6</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1.716,6</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1.717,7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1.850,7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1.792,7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1.308,9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1.288,3</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1.195,2</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Λοιποί τομείς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736,1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575,7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715,9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428,5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534,2</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521,4</w:t>
            </w: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rPr>
                <w:rFonts w:ascii="Arial Narrow" w:hAnsi="Arial Narrow"/>
                <w:b/>
                <w:i/>
                <w:snapToGrid w:val="0"/>
                <w:color w:val="000000"/>
                <w:sz w:val="16"/>
                <w:szCs w:val="16"/>
              </w:rPr>
            </w:pPr>
            <w:r w:rsidRPr="00472EC7">
              <w:rPr>
                <w:rFonts w:ascii="Arial Narrow" w:hAnsi="Arial Narrow"/>
                <w:b/>
                <w:snapToGrid w:val="0"/>
                <w:color w:val="000000"/>
                <w:sz w:val="16"/>
                <w:szCs w:val="16"/>
              </w:rPr>
              <w:t>IΙ.</w:t>
            </w:r>
            <w:r w:rsidRPr="00472EC7">
              <w:rPr>
                <w:rFonts w:ascii="Arial Narrow" w:hAnsi="Arial Narrow"/>
                <w:b/>
                <w:snapToGrid w:val="0"/>
                <w:color w:val="000000"/>
                <w:sz w:val="16"/>
                <w:szCs w:val="16"/>
              </w:rPr>
              <w:tab/>
              <w:t>Ισοζύγιο κεφαλα</w:t>
            </w:r>
            <w:r>
              <w:rPr>
                <w:rFonts w:ascii="Arial Narrow" w:hAnsi="Arial Narrow"/>
                <w:b/>
                <w:snapToGrid w:val="0"/>
                <w:color w:val="000000"/>
                <w:sz w:val="16"/>
                <w:szCs w:val="16"/>
              </w:rPr>
              <w:t xml:space="preserve">ίων </w:t>
            </w:r>
            <w:r w:rsidRPr="00472EC7">
              <w:rPr>
                <w:rFonts w:ascii="Arial Narrow" w:hAnsi="Arial Narrow"/>
                <w:b/>
                <w:snapToGrid w:val="0"/>
                <w:color w:val="000000"/>
                <w:sz w:val="16"/>
                <w:szCs w:val="16"/>
              </w:rPr>
              <w:t>(ΙΙ.1-ΙΙ.2)</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1.988,6</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1.035,7</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914,5</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612,6</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353,4</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166,3</w:t>
            </w:r>
          </w:p>
        </w:tc>
      </w:tr>
      <w:tr w:rsidR="005F1692" w:rsidTr="00B51B70">
        <w:trPr>
          <w:cantSplit/>
          <w:jc w:val="center"/>
        </w:trPr>
        <w:tc>
          <w:tcPr>
            <w:tcW w:w="4283" w:type="dxa"/>
            <w:tcBorders>
              <w:top w:val="nil"/>
              <w:bottom w:val="nil"/>
              <w:right w:val="nil"/>
            </w:tcBorders>
            <w:shd w:val="clear" w:color="auto" w:fill="auto"/>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IΙ.1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2.369,5</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1.278,4</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1.133,8</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803,3</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496,4</w:t>
            </w:r>
          </w:p>
        </w:tc>
        <w:tc>
          <w:tcPr>
            <w:tcW w:w="779" w:type="dxa"/>
            <w:tcBorders>
              <w:top w:val="nil"/>
              <w:left w:val="nil"/>
              <w:bottom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511,9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2.319,3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1.198,2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1.040,2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764,8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425,2</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302,7</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Λοιποί τομείς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50,2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80,2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93,6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38,5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71,2</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209,1</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snapToGrid w:val="0"/>
                <w:color w:val="000000"/>
                <w:sz w:val="16"/>
                <w:szCs w:val="16"/>
              </w:rPr>
              <w:t>IΙ.2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Πληρωμές</w:t>
            </w:r>
            <w:r>
              <w:rPr>
                <w:rFonts w:ascii="Arial Narrow" w:hAnsi="Arial Narrow"/>
                <w:b/>
                <w:snapToGrid w:val="0"/>
                <w:color w:val="000000"/>
                <w:sz w:val="16"/>
                <w:szCs w:val="16"/>
              </w:rPr>
              <w:t xml:space="preserve">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380,9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242,7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219,3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190,7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143,0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345,5</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Γ</w:t>
            </w:r>
            <w:r>
              <w:rPr>
                <w:rFonts w:ascii="Arial Narrow" w:hAnsi="Arial Narrow"/>
                <w:snapToGrid w:val="0"/>
                <w:color w:val="000000"/>
                <w:sz w:val="16"/>
                <w:szCs w:val="16"/>
              </w:rPr>
              <w:t>ενική 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28,5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28,1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ab/>
              <w:t>Λοιποί τομείς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376,8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214,2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216,3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162,7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141,0</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343,4</w:t>
            </w: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ind w:left="426" w:hanging="426"/>
              <w:rPr>
                <w:rFonts w:ascii="Arial Narrow" w:hAnsi="Arial Narrow"/>
                <w:b/>
                <w:i/>
                <w:snapToGrid w:val="0"/>
                <w:color w:val="000000"/>
                <w:sz w:val="16"/>
                <w:szCs w:val="16"/>
              </w:rPr>
            </w:pPr>
            <w:r w:rsidRPr="00472EC7">
              <w:rPr>
                <w:rFonts w:ascii="Arial Narrow" w:hAnsi="Arial Narrow"/>
                <w:b/>
                <w:snapToGrid w:val="0"/>
                <w:color w:val="000000"/>
                <w:sz w:val="16"/>
                <w:szCs w:val="16"/>
              </w:rPr>
              <w:tab/>
              <w:t>Ισοζύγιο τρεχουσών συναλλαγών και κεφαλα</w:t>
            </w:r>
            <w:r>
              <w:rPr>
                <w:rFonts w:ascii="Arial Narrow" w:hAnsi="Arial Narrow"/>
                <w:b/>
                <w:snapToGrid w:val="0"/>
                <w:color w:val="000000"/>
                <w:sz w:val="16"/>
                <w:szCs w:val="16"/>
              </w:rPr>
              <w:t>ίων</w:t>
            </w:r>
            <w:r w:rsidRPr="00472EC7">
              <w:rPr>
                <w:rFonts w:ascii="Arial Narrow" w:hAnsi="Arial Narrow"/>
                <w:b/>
                <w:snapToGrid w:val="0"/>
                <w:color w:val="000000"/>
                <w:sz w:val="16"/>
                <w:szCs w:val="16"/>
              </w:rPr>
              <w:t xml:space="preserve"> (Ι + ΙΙ)</w:t>
            </w:r>
          </w:p>
        </w:tc>
        <w:tc>
          <w:tcPr>
            <w:tcW w:w="802" w:type="dxa"/>
            <w:tcBorders>
              <w:top w:val="nil"/>
              <w:left w:val="nil"/>
              <w:bottom w:val="nil"/>
              <w:right w:val="nil"/>
            </w:tcBorders>
            <w:shd w:val="clear" w:color="auto" w:fill="D9D9D9" w:themeFill="background1" w:themeFillShade="D9"/>
            <w:vAlign w:val="bottom"/>
          </w:tcPr>
          <w:p w:rsidR="005F1692" w:rsidRPr="005F1692" w:rsidRDefault="005F1692" w:rsidP="00B51B70">
            <w:pPr>
              <w:tabs>
                <w:tab w:val="decimal" w:pos="508"/>
              </w:tabs>
              <w:jc w:val="both"/>
              <w:rPr>
                <w:rFonts w:ascii="Arial Narrow" w:hAnsi="Arial Narrow" w:cs="Arial"/>
                <w:b/>
                <w:bCs/>
                <w:iCs/>
                <w:sz w:val="16"/>
                <w:szCs w:val="16"/>
              </w:rPr>
            </w:pPr>
            <w:r w:rsidRPr="005F1692">
              <w:rPr>
                <w:rFonts w:ascii="Arial Narrow" w:hAnsi="Arial Narrow" w:cs="Arial"/>
                <w:b/>
                <w:bCs/>
                <w:iCs/>
                <w:sz w:val="16"/>
                <w:szCs w:val="16"/>
              </w:rPr>
              <w:t>550,2</w:t>
            </w:r>
          </w:p>
        </w:tc>
        <w:tc>
          <w:tcPr>
            <w:tcW w:w="802" w:type="dxa"/>
            <w:tcBorders>
              <w:top w:val="nil"/>
              <w:left w:val="nil"/>
              <w:bottom w:val="nil"/>
              <w:right w:val="nil"/>
            </w:tcBorders>
            <w:shd w:val="clear" w:color="auto" w:fill="D9D9D9" w:themeFill="background1" w:themeFillShade="D9"/>
            <w:vAlign w:val="bottom"/>
          </w:tcPr>
          <w:p w:rsidR="005F1692" w:rsidRPr="005F1692" w:rsidRDefault="005F1692" w:rsidP="00B51B70">
            <w:pPr>
              <w:tabs>
                <w:tab w:val="decimal" w:pos="508"/>
              </w:tabs>
              <w:jc w:val="both"/>
              <w:rPr>
                <w:rFonts w:ascii="Arial Narrow" w:hAnsi="Arial Narrow" w:cs="Arial"/>
                <w:b/>
                <w:bCs/>
                <w:iCs/>
                <w:sz w:val="16"/>
                <w:szCs w:val="16"/>
              </w:rPr>
            </w:pPr>
            <w:r w:rsidRPr="005F1692">
              <w:rPr>
                <w:rFonts w:ascii="Arial Narrow" w:hAnsi="Arial Narrow" w:cs="Arial"/>
                <w:b/>
                <w:bCs/>
                <w:iCs/>
                <w:sz w:val="16"/>
                <w:szCs w:val="16"/>
              </w:rPr>
              <w:t>-2.014,3</w:t>
            </w:r>
          </w:p>
        </w:tc>
        <w:tc>
          <w:tcPr>
            <w:tcW w:w="802" w:type="dxa"/>
            <w:tcBorders>
              <w:top w:val="nil"/>
              <w:left w:val="nil"/>
              <w:bottom w:val="nil"/>
              <w:right w:val="nil"/>
            </w:tcBorders>
            <w:shd w:val="clear" w:color="auto" w:fill="D9D9D9" w:themeFill="background1" w:themeFillShade="D9"/>
            <w:vAlign w:val="bottom"/>
          </w:tcPr>
          <w:p w:rsidR="005F1692" w:rsidRPr="005F1692" w:rsidRDefault="005F1692" w:rsidP="00B51B70">
            <w:pPr>
              <w:tabs>
                <w:tab w:val="decimal" w:pos="508"/>
              </w:tabs>
              <w:jc w:val="both"/>
              <w:rPr>
                <w:rFonts w:ascii="Arial Narrow" w:hAnsi="Arial Narrow" w:cs="Arial"/>
                <w:b/>
                <w:bCs/>
                <w:iCs/>
                <w:sz w:val="16"/>
                <w:szCs w:val="16"/>
              </w:rPr>
            </w:pPr>
            <w:r w:rsidRPr="005F1692">
              <w:rPr>
                <w:rFonts w:ascii="Arial Narrow" w:hAnsi="Arial Narrow" w:cs="Arial"/>
                <w:b/>
                <w:bCs/>
                <w:iCs/>
                <w:sz w:val="16"/>
                <w:szCs w:val="16"/>
              </w:rPr>
              <w:t>-2.244,8</w:t>
            </w:r>
          </w:p>
        </w:tc>
        <w:tc>
          <w:tcPr>
            <w:tcW w:w="802" w:type="dxa"/>
            <w:tcBorders>
              <w:top w:val="nil"/>
              <w:left w:val="nil"/>
              <w:bottom w:val="nil"/>
              <w:right w:val="nil"/>
            </w:tcBorders>
            <w:shd w:val="clear" w:color="auto" w:fill="D9D9D9" w:themeFill="background1" w:themeFillShade="D9"/>
            <w:vAlign w:val="bottom"/>
          </w:tcPr>
          <w:p w:rsidR="005F1692" w:rsidRPr="005F1692" w:rsidRDefault="005F1692" w:rsidP="00B51B70">
            <w:pPr>
              <w:tabs>
                <w:tab w:val="decimal" w:pos="508"/>
              </w:tabs>
              <w:jc w:val="both"/>
              <w:rPr>
                <w:rFonts w:ascii="Arial Narrow" w:hAnsi="Arial Narrow" w:cs="Arial"/>
                <w:b/>
                <w:bCs/>
                <w:iCs/>
                <w:sz w:val="16"/>
                <w:szCs w:val="16"/>
              </w:rPr>
            </w:pPr>
            <w:r w:rsidRPr="005F1692">
              <w:rPr>
                <w:rFonts w:ascii="Arial Narrow" w:hAnsi="Arial Narrow" w:cs="Arial"/>
                <w:b/>
                <w:bCs/>
                <w:iCs/>
                <w:sz w:val="16"/>
                <w:szCs w:val="16"/>
              </w:rPr>
              <w:t>607,1</w:t>
            </w:r>
          </w:p>
        </w:tc>
        <w:tc>
          <w:tcPr>
            <w:tcW w:w="802" w:type="dxa"/>
            <w:tcBorders>
              <w:top w:val="nil"/>
              <w:left w:val="nil"/>
              <w:bottom w:val="nil"/>
              <w:right w:val="nil"/>
            </w:tcBorders>
            <w:shd w:val="clear" w:color="auto" w:fill="D9D9D9" w:themeFill="background1" w:themeFillShade="D9"/>
            <w:vAlign w:val="bottom"/>
          </w:tcPr>
          <w:p w:rsidR="005F1692" w:rsidRPr="005F1692" w:rsidRDefault="005F1692" w:rsidP="00B51B70">
            <w:pPr>
              <w:tabs>
                <w:tab w:val="decimal" w:pos="508"/>
              </w:tabs>
              <w:jc w:val="both"/>
              <w:rPr>
                <w:rFonts w:ascii="Arial Narrow" w:hAnsi="Arial Narrow" w:cs="Arial"/>
                <w:b/>
                <w:bCs/>
                <w:iCs/>
                <w:sz w:val="16"/>
                <w:szCs w:val="16"/>
              </w:rPr>
            </w:pPr>
            <w:r w:rsidRPr="005F1692">
              <w:rPr>
                <w:rFonts w:ascii="Arial Narrow" w:hAnsi="Arial Narrow" w:cs="Arial"/>
                <w:b/>
                <w:bCs/>
                <w:iCs/>
                <w:sz w:val="16"/>
                <w:szCs w:val="16"/>
              </w:rPr>
              <w:t>581,3</w:t>
            </w:r>
          </w:p>
        </w:tc>
        <w:tc>
          <w:tcPr>
            <w:tcW w:w="779" w:type="dxa"/>
            <w:tcBorders>
              <w:top w:val="nil"/>
              <w:left w:val="nil"/>
              <w:bottom w:val="nil"/>
            </w:tcBorders>
            <w:shd w:val="clear" w:color="auto" w:fill="D9D9D9" w:themeFill="background1" w:themeFillShade="D9"/>
            <w:vAlign w:val="bottom"/>
          </w:tcPr>
          <w:p w:rsidR="005F1692" w:rsidRPr="005F1692" w:rsidRDefault="005F1692" w:rsidP="00B51B70">
            <w:pPr>
              <w:tabs>
                <w:tab w:val="decimal" w:pos="508"/>
              </w:tabs>
              <w:jc w:val="both"/>
              <w:rPr>
                <w:rFonts w:ascii="Arial Narrow" w:hAnsi="Arial Narrow" w:cs="Arial"/>
                <w:b/>
                <w:bCs/>
                <w:iCs/>
                <w:sz w:val="16"/>
                <w:szCs w:val="16"/>
              </w:rPr>
            </w:pPr>
            <w:r w:rsidRPr="005F1692">
              <w:rPr>
                <w:rFonts w:ascii="Arial Narrow" w:hAnsi="Arial Narrow" w:cs="Arial"/>
                <w:b/>
                <w:bCs/>
                <w:iCs/>
                <w:sz w:val="16"/>
                <w:szCs w:val="16"/>
              </w:rPr>
              <w:t>-1.089,6</w:t>
            </w:r>
          </w:p>
        </w:tc>
      </w:tr>
      <w:tr w:rsidR="005F1692" w:rsidTr="002836FE">
        <w:trPr>
          <w:cantSplit/>
          <w:jc w:val="center"/>
        </w:trPr>
        <w:tc>
          <w:tcPr>
            <w:tcW w:w="4283" w:type="dxa"/>
            <w:tcBorders>
              <w:top w:val="nil"/>
              <w:bottom w:val="nil"/>
              <w:right w:val="nil"/>
            </w:tcBorders>
            <w:shd w:val="clear" w:color="auto" w:fill="D9D9D9" w:themeFill="background1" w:themeFillShade="D9"/>
          </w:tcPr>
          <w:p w:rsidR="005F1692" w:rsidRPr="00472EC7" w:rsidRDefault="005F1692" w:rsidP="00780119">
            <w:pPr>
              <w:tabs>
                <w:tab w:val="left" w:pos="426"/>
              </w:tabs>
              <w:rPr>
                <w:rFonts w:ascii="Arial Narrow" w:hAnsi="Arial Narrow"/>
                <w:b/>
                <w:snapToGrid w:val="0"/>
                <w:color w:val="000000"/>
                <w:sz w:val="16"/>
                <w:szCs w:val="16"/>
              </w:rPr>
            </w:pPr>
            <w:r w:rsidRPr="00472EC7">
              <w:rPr>
                <w:rFonts w:ascii="Arial Narrow" w:hAnsi="Arial Narrow"/>
                <w:b/>
                <w:snapToGrid w:val="0"/>
                <w:color w:val="000000"/>
                <w:sz w:val="16"/>
                <w:szCs w:val="16"/>
              </w:rPr>
              <w:t>IΙΙ.</w:t>
            </w:r>
            <w:r w:rsidRPr="00472EC7">
              <w:rPr>
                <w:rFonts w:ascii="Arial Narrow" w:hAnsi="Arial Narrow"/>
                <w:b/>
                <w:snapToGrid w:val="0"/>
                <w:color w:val="000000"/>
                <w:sz w:val="16"/>
                <w:szCs w:val="16"/>
              </w:rPr>
              <w:tab/>
              <w:t>Ισοζύγιο χρηματοοικον</w:t>
            </w:r>
            <w:r>
              <w:rPr>
                <w:rFonts w:ascii="Arial Narrow" w:hAnsi="Arial Narrow"/>
                <w:b/>
                <w:snapToGrid w:val="0"/>
                <w:color w:val="000000"/>
                <w:sz w:val="16"/>
                <w:szCs w:val="16"/>
              </w:rPr>
              <w:t>ομικ</w:t>
            </w:r>
            <w:r w:rsidRPr="00472EC7">
              <w:rPr>
                <w:rFonts w:ascii="Arial Narrow" w:hAnsi="Arial Narrow"/>
                <w:b/>
                <w:snapToGrid w:val="0"/>
                <w:color w:val="000000"/>
                <w:sz w:val="16"/>
                <w:szCs w:val="16"/>
              </w:rPr>
              <w:t>. συν/γών (I</w:t>
            </w:r>
            <w:r>
              <w:rPr>
                <w:rFonts w:ascii="Arial Narrow" w:hAnsi="Arial Narrow"/>
                <w:b/>
                <w:snapToGrid w:val="0"/>
                <w:color w:val="000000"/>
                <w:sz w:val="16"/>
                <w:szCs w:val="16"/>
              </w:rPr>
              <w:t>ΙΙ</w:t>
            </w:r>
            <w:r w:rsidRPr="00472EC7">
              <w:rPr>
                <w:rFonts w:ascii="Arial Narrow" w:hAnsi="Arial Narrow"/>
                <w:b/>
                <w:snapToGrid w:val="0"/>
                <w:color w:val="000000"/>
                <w:sz w:val="16"/>
                <w:szCs w:val="16"/>
              </w:rPr>
              <w:t>.Α+Ι</w:t>
            </w:r>
            <w:r>
              <w:rPr>
                <w:rFonts w:ascii="Arial Narrow" w:hAnsi="Arial Narrow"/>
                <w:b/>
                <w:snapToGrid w:val="0"/>
                <w:color w:val="000000"/>
                <w:sz w:val="16"/>
                <w:szCs w:val="16"/>
              </w:rPr>
              <w:t>ΙΙ.Β+ΙΙΙ.Γ+ΙΙΙ</w:t>
            </w:r>
            <w:r w:rsidRPr="00472EC7">
              <w:rPr>
                <w:rFonts w:ascii="Arial Narrow" w:hAnsi="Arial Narrow"/>
                <w:b/>
                <w:snapToGrid w:val="0"/>
                <w:color w:val="000000"/>
                <w:sz w:val="16"/>
                <w:szCs w:val="16"/>
              </w:rPr>
              <w:t>.Δ)</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1.582,1</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-873,6</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-1.702,3</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776,5</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792,2</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-663,7</w:t>
            </w:r>
          </w:p>
        </w:tc>
      </w:tr>
      <w:tr w:rsidR="005F1692" w:rsidTr="00B51B70">
        <w:trPr>
          <w:cantSplit/>
          <w:jc w:val="center"/>
        </w:trPr>
        <w:tc>
          <w:tcPr>
            <w:tcW w:w="4283" w:type="dxa"/>
            <w:tcBorders>
              <w:top w:val="nil"/>
              <w:bottom w:val="nil"/>
              <w:right w:val="nil"/>
            </w:tcBorders>
            <w:shd w:val="clear" w:color="auto" w:fill="auto"/>
          </w:tcPr>
          <w:p w:rsidR="005F1692" w:rsidRPr="00472EC7" w:rsidRDefault="005F1692" w:rsidP="00780119">
            <w:pPr>
              <w:tabs>
                <w:tab w:val="left" w:pos="426"/>
              </w:tabs>
              <w:rPr>
                <w:rFonts w:ascii="Arial Narrow" w:hAnsi="Arial Narrow"/>
                <w:b/>
                <w:snapToGrid w:val="0"/>
                <w:color w:val="000000"/>
                <w:sz w:val="16"/>
                <w:szCs w:val="16"/>
              </w:rPr>
            </w:pPr>
            <w:r w:rsidRPr="005F7CB3">
              <w:rPr>
                <w:rFonts w:ascii="Arial Narrow" w:hAnsi="Arial Narrow"/>
                <w:snapToGrid w:val="0"/>
                <w:color w:val="000000"/>
                <w:sz w:val="16"/>
                <w:szCs w:val="16"/>
              </w:rPr>
              <w:t>IΙΙ.Α</w:t>
            </w: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Pr>
                <w:rFonts w:ascii="Arial Narrow" w:hAnsi="Arial Narrow"/>
                <w:b/>
                <w:snapToGrid w:val="0"/>
                <w:color w:val="000000"/>
                <w:sz w:val="16"/>
                <w:szCs w:val="16"/>
              </w:rPr>
              <w:t>Άμεσες επενδύσεις</w:t>
            </w:r>
            <w:r w:rsidRPr="00472EC7">
              <w:rPr>
                <w:rFonts w:ascii="Arial Narrow" w:hAnsi="Arial Narrow"/>
                <w:b/>
                <w:snapToGrid w:val="0"/>
                <w:color w:val="000000"/>
                <w:sz w:val="16"/>
                <w:szCs w:val="16"/>
              </w:rPr>
              <w:t>*</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279,4</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-4.004,1</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-2.688,9</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-2.917,2</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-2.187,5</w:t>
            </w:r>
          </w:p>
        </w:tc>
        <w:tc>
          <w:tcPr>
            <w:tcW w:w="779" w:type="dxa"/>
            <w:tcBorders>
              <w:top w:val="nil"/>
              <w:left w:val="nil"/>
              <w:bottom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-2.241,9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Pr>
                <w:rFonts w:ascii="Arial Narrow" w:hAnsi="Arial Narrow"/>
                <w:snapToGrid w:val="0"/>
                <w:color w:val="000000"/>
                <w:sz w:val="16"/>
                <w:szCs w:val="16"/>
              </w:rPr>
              <w:t>Απαιτήσεις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1.426,2</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-1.551,3</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509,0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-1.505,9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315,4</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517,3</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1.146,8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2.452,8</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3.197,9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1.411,4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2.502,9</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2.759,1</w:t>
            </w:r>
          </w:p>
        </w:tc>
      </w:tr>
      <w:tr w:rsidR="005F1692" w:rsidTr="00B51B70">
        <w:trPr>
          <w:cantSplit/>
          <w:jc w:val="center"/>
        </w:trPr>
        <w:tc>
          <w:tcPr>
            <w:tcW w:w="4283" w:type="dxa"/>
            <w:tcBorders>
              <w:top w:val="nil"/>
              <w:bottom w:val="nil"/>
              <w:right w:val="nil"/>
            </w:tcBorders>
            <w:shd w:val="clear" w:color="auto" w:fill="auto"/>
          </w:tcPr>
          <w:p w:rsidR="005F1692" w:rsidRPr="00472EC7" w:rsidRDefault="005F1692" w:rsidP="00780119">
            <w:pPr>
              <w:tabs>
                <w:tab w:val="left" w:pos="426"/>
              </w:tabs>
              <w:rPr>
                <w:rFonts w:ascii="Arial Narrow" w:hAnsi="Arial Narrow"/>
                <w:b/>
                <w:snapToGrid w:val="0"/>
                <w:color w:val="000000"/>
                <w:sz w:val="16"/>
                <w:szCs w:val="16"/>
              </w:rPr>
            </w:pPr>
            <w:r w:rsidRPr="005F7CB3">
              <w:rPr>
                <w:rFonts w:ascii="Arial Narrow" w:hAnsi="Arial Narrow"/>
                <w:snapToGrid w:val="0"/>
                <w:color w:val="000000"/>
                <w:sz w:val="16"/>
                <w:szCs w:val="16"/>
              </w:rPr>
              <w:t>IΙΙ.Β</w:t>
            </w: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Επενδύσεις χαρτοφυλακίου*</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8.348,3</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9.622,6</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-20.117,7</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7.795,0</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-6.824,2</w:t>
            </w:r>
          </w:p>
        </w:tc>
        <w:tc>
          <w:tcPr>
            <w:tcW w:w="779" w:type="dxa"/>
            <w:tcBorders>
              <w:top w:val="nil"/>
              <w:left w:val="nil"/>
              <w:bottom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-3.780,3</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Απαιτήσεις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6.996,0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7.059,0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-19.392,1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5.318,0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-9.418,7</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-501,7</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-1.352,4</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-2.563,6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725,7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-2.477,1</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-2.594,6</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3.278,6</w:t>
            </w:r>
          </w:p>
        </w:tc>
      </w:tr>
      <w:tr w:rsidR="005F1692" w:rsidTr="00B51B70">
        <w:trPr>
          <w:cantSplit/>
          <w:jc w:val="center"/>
        </w:trPr>
        <w:tc>
          <w:tcPr>
            <w:tcW w:w="4283" w:type="dxa"/>
            <w:tcBorders>
              <w:top w:val="nil"/>
              <w:bottom w:val="nil"/>
              <w:right w:val="nil"/>
            </w:tcBorders>
            <w:shd w:val="clear" w:color="auto" w:fill="auto"/>
          </w:tcPr>
          <w:p w:rsidR="005F1692" w:rsidRPr="00472EC7" w:rsidRDefault="005F1692" w:rsidP="00780119">
            <w:pPr>
              <w:tabs>
                <w:tab w:val="left" w:pos="426"/>
              </w:tabs>
              <w:rPr>
                <w:rFonts w:ascii="Arial Narrow" w:hAnsi="Arial Narrow"/>
                <w:b/>
                <w:snapToGrid w:val="0"/>
                <w:color w:val="000000"/>
                <w:sz w:val="16"/>
                <w:szCs w:val="16"/>
              </w:rPr>
            </w:pPr>
            <w:r>
              <w:rPr>
                <w:rFonts w:ascii="Arial Narrow" w:hAnsi="Arial Narrow"/>
                <w:snapToGrid w:val="0"/>
                <w:color w:val="000000"/>
                <w:sz w:val="16"/>
                <w:szCs w:val="16"/>
              </w:rPr>
              <w:t>ΙΙΙ</w:t>
            </w:r>
            <w:r w:rsidRPr="00472EC7">
              <w:rPr>
                <w:rFonts w:ascii="Arial Narrow" w:hAnsi="Arial Narrow"/>
                <w:snapToGrid w:val="0"/>
                <w:color w:val="000000"/>
                <w:sz w:val="16"/>
                <w:szCs w:val="16"/>
              </w:rPr>
              <w:t>.Γ</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Λοιπές επενδύσεις*</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-7.400,1</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-7.073,6</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20.986,4</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-4.732,8</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9.679,9</w:t>
            </w:r>
          </w:p>
        </w:tc>
        <w:tc>
          <w:tcPr>
            <w:tcW w:w="779" w:type="dxa"/>
            <w:tcBorders>
              <w:top w:val="nil"/>
              <w:left w:val="nil"/>
              <w:bottom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5.511,5</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Απαιτήσεις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12.402,6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-15.512,5</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-11.744,7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-11.432,7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-8.120,8</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-4.479,9</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19.802,6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-8.438,9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-32.731,0</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-6.699,9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-17.800,6</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-9.991,4</w:t>
            </w:r>
          </w:p>
        </w:tc>
      </w:tr>
      <w:tr w:rsidR="005F1692" w:rsidTr="00B51B70">
        <w:trPr>
          <w:cantSplit/>
          <w:jc w:val="center"/>
        </w:trPr>
        <w:tc>
          <w:tcPr>
            <w:tcW w:w="4283" w:type="dxa"/>
            <w:tcBorders>
              <w:top w:val="nil"/>
              <w:bottom w:val="nil"/>
              <w:right w:val="nil"/>
            </w:tcBorders>
            <w:shd w:val="clear" w:color="auto" w:fill="FFFFFF"/>
          </w:tcPr>
          <w:p w:rsidR="005F1692" w:rsidRPr="00472EC7" w:rsidRDefault="005F1692" w:rsidP="00780119">
            <w:pPr>
              <w:tabs>
                <w:tab w:val="left" w:pos="426"/>
              </w:tabs>
              <w:rPr>
                <w:rFonts w:ascii="Arial Narrow" w:hAnsi="Arial Narrow"/>
                <w:i/>
                <w:snapToGrid w:val="0"/>
                <w:color w:val="000000"/>
                <w:sz w:val="16"/>
                <w:szCs w:val="16"/>
              </w:rPr>
            </w:pPr>
            <w:r>
              <w:rPr>
                <w:rFonts w:ascii="Arial Narrow" w:hAnsi="Arial Narrow"/>
                <w:i/>
                <w:snapToGrid w:val="0"/>
                <w:color w:val="000000"/>
                <w:sz w:val="16"/>
                <w:szCs w:val="16"/>
              </w:rPr>
              <w:t xml:space="preserve">  </w:t>
            </w:r>
            <w:r w:rsidRPr="00472EC7">
              <w:rPr>
                <w:rFonts w:ascii="Arial Narrow" w:hAnsi="Arial Narrow"/>
                <w:i/>
                <w:snapToGrid w:val="0"/>
                <w:color w:val="000000"/>
                <w:sz w:val="16"/>
                <w:szCs w:val="16"/>
              </w:rPr>
              <w:tab/>
            </w:r>
            <w:r w:rsidRPr="00472EC7">
              <w:rPr>
                <w:rFonts w:ascii="Arial Narrow" w:hAnsi="Arial Narrow"/>
                <w:i/>
                <w:snapToGrid w:val="0"/>
                <w:color w:val="000000"/>
                <w:sz w:val="16"/>
                <w:szCs w:val="16"/>
              </w:rPr>
              <w:tab/>
              <w:t>( Δάνεια γενικής κυβέρνησης )</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11.921,6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6.492,9</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5.693,7</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3.722,6</w:t>
            </w:r>
          </w:p>
        </w:tc>
        <w:tc>
          <w:tcPr>
            <w:tcW w:w="802" w:type="dxa"/>
            <w:tcBorders>
              <w:top w:val="nil"/>
              <w:left w:val="nil"/>
              <w:bottom w:val="nil"/>
              <w:right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4.426,7</w:t>
            </w:r>
          </w:p>
        </w:tc>
        <w:tc>
          <w:tcPr>
            <w:tcW w:w="779" w:type="dxa"/>
            <w:tcBorders>
              <w:top w:val="nil"/>
              <w:left w:val="nil"/>
              <w:bottom w:val="nil"/>
            </w:tcBorders>
            <w:shd w:val="clear" w:color="auto" w:fill="FFFFFF"/>
            <w:vAlign w:val="bottom"/>
          </w:tcPr>
          <w:p w:rsidR="005F1692" w:rsidRDefault="005F1692" w:rsidP="00B51B70">
            <w:pPr>
              <w:tabs>
                <w:tab w:val="decimal" w:pos="508"/>
              </w:tabs>
              <w:jc w:val="both"/>
              <w:rPr>
                <w:rFonts w:ascii="Arial Narrow" w:hAnsi="Arial Narrow" w:cs="Arial"/>
                <w:sz w:val="16"/>
                <w:szCs w:val="16"/>
              </w:rPr>
            </w:pPr>
            <w:r>
              <w:rPr>
                <w:rFonts w:ascii="Arial Narrow" w:hAnsi="Arial Narrow" w:cs="Arial"/>
                <w:sz w:val="16"/>
                <w:szCs w:val="16"/>
              </w:rPr>
              <w:t>20.001,4</w:t>
            </w:r>
          </w:p>
        </w:tc>
      </w:tr>
      <w:tr w:rsidR="005F1692" w:rsidTr="00B51B70">
        <w:trPr>
          <w:cantSplit/>
          <w:jc w:val="center"/>
        </w:trPr>
        <w:tc>
          <w:tcPr>
            <w:tcW w:w="4283" w:type="dxa"/>
            <w:tcBorders>
              <w:top w:val="nil"/>
              <w:bottom w:val="nil"/>
              <w:right w:val="nil"/>
            </w:tcBorders>
            <w:shd w:val="clear" w:color="auto" w:fill="auto"/>
          </w:tcPr>
          <w:p w:rsidR="005F1692" w:rsidRPr="00472EC7" w:rsidRDefault="005F1692" w:rsidP="00780119">
            <w:pPr>
              <w:tabs>
                <w:tab w:val="left" w:pos="426"/>
              </w:tabs>
              <w:rPr>
                <w:rFonts w:ascii="Arial Narrow" w:hAnsi="Arial Narrow"/>
                <w:b/>
                <w:snapToGrid w:val="0"/>
                <w:color w:val="000000"/>
                <w:sz w:val="16"/>
                <w:szCs w:val="16"/>
              </w:rPr>
            </w:pPr>
            <w:r>
              <w:rPr>
                <w:rFonts w:ascii="Arial Narrow" w:hAnsi="Arial Narrow"/>
                <w:snapToGrid w:val="0"/>
                <w:color w:val="000000"/>
                <w:sz w:val="16"/>
                <w:szCs w:val="16"/>
              </w:rPr>
              <w:t>ΙΙΙ</w:t>
            </w:r>
            <w:r w:rsidRPr="00472EC7">
              <w:rPr>
                <w:rFonts w:ascii="Arial Narrow" w:hAnsi="Arial Narrow"/>
                <w:snapToGrid w:val="0"/>
                <w:color w:val="000000"/>
                <w:sz w:val="16"/>
                <w:szCs w:val="16"/>
              </w:rPr>
              <w:t>.Δ</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Μεταβο</w:t>
            </w:r>
            <w:r>
              <w:rPr>
                <w:rFonts w:ascii="Arial Narrow" w:hAnsi="Arial Narrow"/>
                <w:b/>
                <w:snapToGrid w:val="0"/>
                <w:color w:val="000000"/>
                <w:sz w:val="16"/>
                <w:szCs w:val="16"/>
              </w:rPr>
              <w:t>λή συναλλαγματικών διαθεσίμων*</w:t>
            </w:r>
            <w:r w:rsidR="0067450B">
              <w:rPr>
                <w:rFonts w:ascii="Arial Narrow" w:hAnsi="Arial Narrow"/>
                <w:b/>
                <w:snapToGrid w:val="0"/>
                <w:color w:val="000000"/>
                <w:sz w:val="16"/>
                <w:szCs w:val="16"/>
              </w:rPr>
              <w:t>*</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354,4</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581,5</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118,0</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631,5</w:t>
            </w:r>
          </w:p>
        </w:tc>
        <w:tc>
          <w:tcPr>
            <w:tcW w:w="802" w:type="dxa"/>
            <w:tcBorders>
              <w:top w:val="nil"/>
              <w:left w:val="nil"/>
              <w:bottom w:val="nil"/>
              <w:right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124,0</w:t>
            </w:r>
          </w:p>
        </w:tc>
        <w:tc>
          <w:tcPr>
            <w:tcW w:w="779" w:type="dxa"/>
            <w:tcBorders>
              <w:top w:val="nil"/>
              <w:left w:val="nil"/>
              <w:bottom w:val="nil"/>
            </w:tcBorders>
            <w:shd w:val="clear" w:color="auto" w:fill="auto"/>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-153,0</w:t>
            </w:r>
          </w:p>
        </w:tc>
      </w:tr>
      <w:tr w:rsidR="005F1692" w:rsidTr="002836FE">
        <w:trPr>
          <w:cantSplit/>
          <w:trHeight w:val="20"/>
          <w:jc w:val="center"/>
        </w:trPr>
        <w:tc>
          <w:tcPr>
            <w:tcW w:w="4283" w:type="dxa"/>
            <w:tcBorders>
              <w:top w:val="nil"/>
              <w:bottom w:val="nil"/>
              <w:right w:val="nil"/>
            </w:tcBorders>
            <w:shd w:val="clear" w:color="auto" w:fill="D9D9D9" w:themeFill="background1" w:themeFillShade="D9"/>
            <w:vAlign w:val="center"/>
          </w:tcPr>
          <w:p w:rsidR="005F1692" w:rsidRPr="00472EC7" w:rsidRDefault="005F1692" w:rsidP="00780119">
            <w:pPr>
              <w:tabs>
                <w:tab w:val="left" w:pos="426"/>
              </w:tabs>
              <w:rPr>
                <w:rFonts w:ascii="Arial Narrow" w:hAnsi="Arial Narrow"/>
                <w:b/>
                <w:snapToGrid w:val="0"/>
                <w:color w:val="000000"/>
                <w:sz w:val="16"/>
                <w:szCs w:val="16"/>
              </w:rPr>
            </w:pPr>
            <w:r>
              <w:rPr>
                <w:rFonts w:ascii="Arial Narrow" w:hAnsi="Arial Narrow"/>
                <w:b/>
                <w:snapToGrid w:val="0"/>
                <w:color w:val="000000"/>
                <w:sz w:val="16"/>
                <w:szCs w:val="16"/>
              </w:rPr>
              <w:t>Ι</w:t>
            </w:r>
            <w:r w:rsidRPr="00472EC7">
              <w:rPr>
                <w:rFonts w:ascii="Arial Narrow" w:hAnsi="Arial Narrow"/>
                <w:b/>
                <w:snapToGrid w:val="0"/>
                <w:color w:val="000000"/>
                <w:sz w:val="16"/>
                <w:szCs w:val="16"/>
              </w:rPr>
              <w:t>V.</w:t>
            </w:r>
            <w:r w:rsidRPr="00472EC7">
              <w:rPr>
                <w:rFonts w:ascii="Arial Narrow" w:hAnsi="Arial Narrow"/>
                <w:b/>
                <w:snapToGrid w:val="0"/>
                <w:color w:val="000000"/>
                <w:sz w:val="16"/>
                <w:szCs w:val="16"/>
              </w:rPr>
              <w:tab/>
              <w:t>Τακτοποιητέα στοιχεία</w:t>
            </w:r>
            <w:r>
              <w:rPr>
                <w:rFonts w:ascii="Arial Narrow" w:hAnsi="Arial Narrow"/>
                <w:b/>
                <w:snapToGrid w:val="0"/>
                <w:color w:val="000000"/>
                <w:sz w:val="16"/>
                <w:szCs w:val="16"/>
              </w:rPr>
              <w:t xml:space="preserve"> (Ι+ΙΙ-</w:t>
            </w:r>
            <w:r w:rsidRPr="00472EC7">
              <w:rPr>
                <w:rFonts w:ascii="Arial Narrow" w:hAnsi="Arial Narrow"/>
                <w:b/>
                <w:snapToGrid w:val="0"/>
                <w:color w:val="000000"/>
                <w:sz w:val="16"/>
                <w:szCs w:val="16"/>
              </w:rPr>
              <w:t>Ι</w:t>
            </w:r>
            <w:r>
              <w:rPr>
                <w:rFonts w:ascii="Arial Narrow" w:hAnsi="Arial Narrow"/>
                <w:b/>
                <w:snapToGrid w:val="0"/>
                <w:color w:val="000000"/>
                <w:sz w:val="16"/>
                <w:szCs w:val="16"/>
              </w:rPr>
              <w:t>ΙΙ</w:t>
            </w:r>
            <w:r w:rsidRPr="00472EC7">
              <w:rPr>
                <w:rFonts w:ascii="Arial Narrow" w:hAnsi="Arial Narrow"/>
                <w:b/>
                <w:snapToGrid w:val="0"/>
                <w:color w:val="000000"/>
                <w:sz w:val="16"/>
                <w:szCs w:val="16"/>
              </w:rPr>
              <w:t>+</w:t>
            </w:r>
            <w:r>
              <w:rPr>
                <w:rFonts w:ascii="Arial Narrow" w:hAnsi="Arial Narrow"/>
                <w:b/>
                <w:snapToGrid w:val="0"/>
                <w:color w:val="000000"/>
                <w:sz w:val="16"/>
                <w:szCs w:val="16"/>
              </w:rPr>
              <w:t>Ι</w:t>
            </w:r>
            <w:r w:rsidRPr="00472EC7">
              <w:rPr>
                <w:rFonts w:ascii="Arial Narrow" w:hAnsi="Arial Narrow"/>
                <w:b/>
                <w:snapToGrid w:val="0"/>
                <w:color w:val="000000"/>
                <w:sz w:val="16"/>
                <w:szCs w:val="16"/>
              </w:rPr>
              <w:t>V=0)</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1.031,9</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1.140,7</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542,5</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169,4</w:t>
            </w:r>
          </w:p>
        </w:tc>
        <w:tc>
          <w:tcPr>
            <w:tcW w:w="802" w:type="dxa"/>
            <w:tcBorders>
              <w:top w:val="nil"/>
              <w:left w:val="nil"/>
              <w:bottom w:val="nil"/>
              <w:right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210,9</w:t>
            </w:r>
          </w:p>
        </w:tc>
        <w:tc>
          <w:tcPr>
            <w:tcW w:w="779" w:type="dxa"/>
            <w:tcBorders>
              <w:top w:val="nil"/>
              <w:left w:val="nil"/>
              <w:bottom w:val="nil"/>
            </w:tcBorders>
            <w:shd w:val="clear" w:color="auto" w:fill="D9D9D9" w:themeFill="background1" w:themeFillShade="D9"/>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425,9</w:t>
            </w:r>
          </w:p>
        </w:tc>
      </w:tr>
      <w:tr w:rsidR="005F1692" w:rsidTr="00B51B70">
        <w:trPr>
          <w:cantSplit/>
          <w:trHeight w:val="20"/>
          <w:jc w:val="center"/>
        </w:trPr>
        <w:tc>
          <w:tcPr>
            <w:tcW w:w="4283" w:type="dxa"/>
            <w:tcBorders>
              <w:top w:val="nil"/>
              <w:bottom w:val="single" w:sz="6" w:space="0" w:color="auto"/>
              <w:right w:val="nil"/>
            </w:tcBorders>
            <w:shd w:val="clear" w:color="auto" w:fill="FFFFFF"/>
            <w:vAlign w:val="center"/>
          </w:tcPr>
          <w:p w:rsidR="005F1692" w:rsidRPr="00472EC7" w:rsidRDefault="005F1692" w:rsidP="00780119">
            <w:pPr>
              <w:tabs>
                <w:tab w:val="left" w:pos="426"/>
              </w:tabs>
              <w:rPr>
                <w:rFonts w:ascii="Arial Narrow" w:hAnsi="Arial Narrow"/>
                <w:snapToGrid w:val="0"/>
                <w:color w:val="000000"/>
                <w:sz w:val="16"/>
                <w:szCs w:val="16"/>
              </w:rPr>
            </w:pPr>
            <w:r w:rsidRPr="00472EC7">
              <w:rPr>
                <w:rFonts w:ascii="Arial Narrow" w:hAnsi="Arial Narrow"/>
                <w:snapToGrid w:val="0"/>
                <w:color w:val="000000"/>
                <w:sz w:val="16"/>
                <w:szCs w:val="16"/>
              </w:rPr>
              <w:t>Ύψο</w:t>
            </w:r>
            <w:r>
              <w:rPr>
                <w:rFonts w:ascii="Arial Narrow" w:hAnsi="Arial Narrow"/>
                <w:snapToGrid w:val="0"/>
                <w:color w:val="000000"/>
                <w:sz w:val="16"/>
                <w:szCs w:val="16"/>
              </w:rPr>
              <w:t xml:space="preserve">ς συναλλαγματικών διαθεσίμων </w:t>
            </w:r>
            <w:r w:rsidRPr="00472EC7">
              <w:rPr>
                <w:rFonts w:ascii="Arial Narrow" w:hAnsi="Arial Narrow"/>
                <w:snapToGrid w:val="0"/>
                <w:color w:val="000000"/>
                <w:sz w:val="16"/>
                <w:szCs w:val="16"/>
              </w:rPr>
              <w:t>**</w:t>
            </w:r>
            <w:r w:rsidR="0067450B">
              <w:rPr>
                <w:rFonts w:ascii="Arial Narrow" w:hAnsi="Arial Narrow"/>
                <w:snapToGrid w:val="0"/>
                <w:color w:val="000000"/>
                <w:sz w:val="16"/>
                <w:szCs w:val="16"/>
              </w:rPr>
              <w:t>*</w:t>
            </w:r>
          </w:p>
        </w:tc>
        <w:tc>
          <w:tcPr>
            <w:tcW w:w="802" w:type="dxa"/>
            <w:tcBorders>
              <w:top w:val="nil"/>
              <w:left w:val="nil"/>
              <w:bottom w:val="single" w:sz="6" w:space="0" w:color="auto"/>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5.535</w:t>
            </w:r>
          </w:p>
        </w:tc>
        <w:tc>
          <w:tcPr>
            <w:tcW w:w="802" w:type="dxa"/>
            <w:tcBorders>
              <w:top w:val="nil"/>
              <w:left w:val="nil"/>
              <w:bottom w:val="single" w:sz="6" w:space="0" w:color="auto"/>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6.539</w:t>
            </w:r>
          </w:p>
        </w:tc>
        <w:tc>
          <w:tcPr>
            <w:tcW w:w="802" w:type="dxa"/>
            <w:tcBorders>
              <w:top w:val="nil"/>
              <w:left w:val="nil"/>
              <w:bottom w:val="single" w:sz="6" w:space="0" w:color="auto"/>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6.509</w:t>
            </w:r>
          </w:p>
        </w:tc>
        <w:tc>
          <w:tcPr>
            <w:tcW w:w="802" w:type="dxa"/>
            <w:tcBorders>
              <w:top w:val="nil"/>
              <w:left w:val="nil"/>
              <w:bottom w:val="single" w:sz="6" w:space="0" w:color="auto"/>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6.833</w:t>
            </w:r>
          </w:p>
        </w:tc>
        <w:tc>
          <w:tcPr>
            <w:tcW w:w="802" w:type="dxa"/>
            <w:tcBorders>
              <w:top w:val="nil"/>
              <w:left w:val="nil"/>
              <w:bottom w:val="single" w:sz="6" w:space="0" w:color="auto"/>
              <w:right w:val="nil"/>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6.563</w:t>
            </w:r>
          </w:p>
        </w:tc>
        <w:tc>
          <w:tcPr>
            <w:tcW w:w="779" w:type="dxa"/>
            <w:tcBorders>
              <w:top w:val="nil"/>
              <w:left w:val="nil"/>
              <w:bottom w:val="single" w:sz="6" w:space="0" w:color="auto"/>
            </w:tcBorders>
            <w:shd w:val="clear" w:color="auto" w:fill="FFFFFF"/>
            <w:vAlign w:val="bottom"/>
          </w:tcPr>
          <w:p w:rsidR="005F1692" w:rsidRDefault="005F1692" w:rsidP="00B51B70">
            <w:pPr>
              <w:tabs>
                <w:tab w:val="decimal" w:pos="508"/>
              </w:tabs>
              <w:jc w:val="both"/>
              <w:rPr>
                <w:rFonts w:ascii="Arial Narrow" w:hAnsi="Arial Narrow" w:cs="Arial"/>
                <w:b/>
                <w:bCs/>
                <w:sz w:val="16"/>
                <w:szCs w:val="16"/>
              </w:rPr>
            </w:pPr>
            <w:r>
              <w:rPr>
                <w:rFonts w:ascii="Arial Narrow" w:hAnsi="Arial Narrow" w:cs="Arial"/>
                <w:b/>
                <w:bCs/>
                <w:sz w:val="16"/>
                <w:szCs w:val="16"/>
              </w:rPr>
              <w:t>6.169</w:t>
            </w:r>
          </w:p>
        </w:tc>
      </w:tr>
    </w:tbl>
    <w:p w:rsidR="001769B4" w:rsidRDefault="001769B4" w:rsidP="00780119">
      <w:pPr>
        <w:spacing w:line="120" w:lineRule="exact"/>
        <w:jc w:val="both"/>
        <w:rPr>
          <w:rFonts w:ascii="Arial Narrow" w:hAnsi="Arial Narrow" w:cs="Arial"/>
          <w:sz w:val="12"/>
          <w:szCs w:val="12"/>
        </w:rPr>
      </w:pPr>
      <w:r w:rsidRPr="000D16BD">
        <w:rPr>
          <w:rFonts w:ascii="Arial Narrow" w:hAnsi="Arial Narrow" w:cs="Arial"/>
          <w:sz w:val="12"/>
          <w:szCs w:val="12"/>
        </w:rPr>
        <w:t>ΣΗΜΕΙΩΣΗ: Η κατάρτιση του ισοζυγίου αγαθών βασίζεται στα στοιχεία εξωτερικού εμπορίου της Ελληνικής Στατιστικής Υπηρεσίας (ΕΛΣΤΑΤ) στη θέση των *(+) αύξηση</w:t>
      </w:r>
      <w:r>
        <w:rPr>
          <w:rFonts w:ascii="Arial Narrow" w:hAnsi="Arial Narrow" w:cs="Arial"/>
          <w:sz w:val="12"/>
          <w:szCs w:val="12"/>
        </w:rPr>
        <w:t xml:space="preserve"> </w:t>
      </w:r>
      <w:r w:rsidRPr="000D16BD">
        <w:rPr>
          <w:rFonts w:ascii="Arial Narrow" w:hAnsi="Arial Narrow" w:cs="Arial"/>
          <w:sz w:val="12"/>
          <w:szCs w:val="12"/>
        </w:rPr>
        <w:t xml:space="preserve">(-) μείωση. </w:t>
      </w:r>
    </w:p>
    <w:p w:rsidR="001769B4" w:rsidRPr="000D16BD" w:rsidRDefault="001769B4" w:rsidP="00780119">
      <w:pPr>
        <w:spacing w:line="120" w:lineRule="exact"/>
        <w:jc w:val="both"/>
        <w:rPr>
          <w:rFonts w:ascii="Arial Narrow" w:hAnsi="Arial Narrow" w:cs="Arial"/>
          <w:sz w:val="12"/>
          <w:szCs w:val="12"/>
        </w:rPr>
      </w:pPr>
      <w:r w:rsidRPr="000D16BD">
        <w:rPr>
          <w:rFonts w:ascii="Arial Narrow" w:hAnsi="Arial Narrow" w:cs="Arial"/>
          <w:sz w:val="12"/>
          <w:szCs w:val="12"/>
        </w:rPr>
        <w:t>Σύμφωνα με τη νέα μεθοδολογία κατάρτισης του ισοζυγίου πληρωμών</w:t>
      </w:r>
      <w:r>
        <w:rPr>
          <w:rFonts w:ascii="Arial Narrow" w:hAnsi="Arial Narrow" w:cs="Arial"/>
          <w:sz w:val="12"/>
          <w:szCs w:val="12"/>
        </w:rPr>
        <w:t xml:space="preserve"> </w:t>
      </w:r>
      <w:r w:rsidRPr="000D16BD">
        <w:rPr>
          <w:rFonts w:ascii="Arial Narrow" w:hAnsi="Arial Narrow" w:cs="Arial"/>
          <w:sz w:val="12"/>
          <w:szCs w:val="12"/>
          <w:lang w:val="en-GB"/>
        </w:rPr>
        <w:t>BPM</w:t>
      </w:r>
      <w:r w:rsidRPr="000D16BD">
        <w:rPr>
          <w:rFonts w:ascii="Arial Narrow" w:hAnsi="Arial Narrow" w:cs="Arial"/>
          <w:sz w:val="12"/>
          <w:szCs w:val="12"/>
        </w:rPr>
        <w:t>6, η αύξηση των απαιτήσεων παρουσιάζεται με θετικό πρόσημο, ενώ η μείωση των απαιτήσεων με αρνητικό πρόσημο. Αντίστο</w:t>
      </w:r>
      <w:r w:rsidRPr="000D16BD">
        <w:rPr>
          <w:rFonts w:ascii="Arial Narrow" w:hAnsi="Arial Narrow" w:cs="Arial"/>
          <w:sz w:val="12"/>
          <w:szCs w:val="12"/>
        </w:rPr>
        <w:t>ι</w:t>
      </w:r>
      <w:r w:rsidRPr="000D16BD">
        <w:rPr>
          <w:rFonts w:ascii="Arial Narrow" w:hAnsi="Arial Narrow" w:cs="Arial"/>
          <w:sz w:val="12"/>
          <w:szCs w:val="12"/>
        </w:rPr>
        <w:t>χα, η αύξηση των υποχρεώσεων εμφανίζεται με θετικό πρόσημο, ενώ η μείωση των υποχρεώσεων με αρνητικό πρόσημο.</w:t>
      </w:r>
    </w:p>
    <w:p w:rsidR="001769B4" w:rsidRPr="000D16BD" w:rsidRDefault="001769B4" w:rsidP="00780119">
      <w:pPr>
        <w:spacing w:line="120" w:lineRule="exact"/>
        <w:jc w:val="both"/>
        <w:rPr>
          <w:rFonts w:ascii="Arial Narrow" w:hAnsi="Arial Narrow" w:cs="Arial"/>
          <w:sz w:val="12"/>
          <w:szCs w:val="12"/>
        </w:rPr>
      </w:pPr>
      <w:r w:rsidRPr="000D16BD">
        <w:rPr>
          <w:rFonts w:ascii="Arial Narrow" w:hAnsi="Arial Narrow" w:cs="Arial"/>
          <w:sz w:val="12"/>
          <w:szCs w:val="12"/>
        </w:rPr>
        <w:t>** (+) αύξηση</w:t>
      </w:r>
      <w:r>
        <w:rPr>
          <w:rFonts w:ascii="Arial Narrow" w:hAnsi="Arial Narrow" w:cs="Arial"/>
          <w:sz w:val="12"/>
          <w:szCs w:val="12"/>
        </w:rPr>
        <w:t xml:space="preserve"> </w:t>
      </w:r>
      <w:r w:rsidRPr="000D16BD">
        <w:rPr>
          <w:rFonts w:ascii="Arial Narrow" w:hAnsi="Arial Narrow" w:cs="Arial"/>
          <w:sz w:val="12"/>
          <w:szCs w:val="12"/>
        </w:rPr>
        <w:t>(-) μείωση.</w:t>
      </w:r>
      <w:r>
        <w:rPr>
          <w:rFonts w:ascii="Arial Narrow" w:hAnsi="Arial Narrow" w:cs="Arial"/>
          <w:sz w:val="12"/>
          <w:szCs w:val="12"/>
        </w:rPr>
        <w:t xml:space="preserve"> </w:t>
      </w:r>
      <w:r w:rsidRPr="000D16BD">
        <w:rPr>
          <w:rFonts w:ascii="Arial Narrow" w:hAnsi="Arial Narrow" w:cs="Arial"/>
          <w:sz w:val="12"/>
          <w:szCs w:val="12"/>
        </w:rPr>
        <w:t xml:space="preserve">Σύμφωνα με τη νέα μεθοδολογία κατάρτισης του ισοζυγίου πληρωμών </w:t>
      </w:r>
      <w:r w:rsidRPr="000D16BD">
        <w:rPr>
          <w:rFonts w:ascii="Arial Narrow" w:hAnsi="Arial Narrow" w:cs="Arial"/>
          <w:sz w:val="12"/>
          <w:szCs w:val="12"/>
          <w:lang w:val="en-GB"/>
        </w:rPr>
        <w:t>BPM</w:t>
      </w:r>
      <w:r w:rsidRPr="000D16BD">
        <w:rPr>
          <w:rFonts w:ascii="Arial Narrow" w:hAnsi="Arial Narrow" w:cs="Arial"/>
          <w:sz w:val="12"/>
          <w:szCs w:val="12"/>
        </w:rPr>
        <w:t>6, η αύξηση των συν/κών διαθεσίμων παρουσιάζεται πλέον με θετικό πρόσημο, ενώ η μείωση των συν/κών διαθεσίμων με αρνητικό πρόσημο.</w:t>
      </w:r>
    </w:p>
    <w:p w:rsidR="001769B4" w:rsidRPr="000D16BD" w:rsidRDefault="001769B4" w:rsidP="00780119">
      <w:pPr>
        <w:spacing w:line="120" w:lineRule="exact"/>
        <w:jc w:val="both"/>
        <w:rPr>
          <w:rFonts w:ascii="Arial Narrow" w:hAnsi="Arial Narrow" w:cs="Arial"/>
          <w:sz w:val="12"/>
          <w:szCs w:val="12"/>
        </w:rPr>
      </w:pPr>
      <w:r w:rsidRPr="000D16BD">
        <w:rPr>
          <w:rFonts w:ascii="Arial Narrow" w:hAnsi="Arial Narrow" w:cs="Arial"/>
          <w:sz w:val="12"/>
          <w:szCs w:val="12"/>
        </w:rPr>
        <w:t>*** Τα</w:t>
      </w:r>
      <w:r>
        <w:rPr>
          <w:rFonts w:ascii="Arial Narrow" w:hAnsi="Arial Narrow" w:cs="Arial"/>
          <w:sz w:val="12"/>
          <w:szCs w:val="12"/>
        </w:rPr>
        <w:t xml:space="preserve"> </w:t>
      </w:r>
      <w:r w:rsidRPr="000D16BD">
        <w:rPr>
          <w:rFonts w:ascii="Arial Narrow" w:hAnsi="Arial Narrow" w:cs="Arial"/>
          <w:sz w:val="12"/>
          <w:szCs w:val="12"/>
        </w:rPr>
        <w:t>συναλλαγματικά διαθέσιμα, σύμφωνα με τον ορισμό της Ευρωπαϊκής Κεντρικής Τράπεζας, περιλαμβάνουν μόνο το νομισματικό χρυσό, τη "συναλλαγματική θέση" στο Διεθνές Νομισματικό Ταμείο, τα "ειδικά τραβηκτικά δικαιώματα" και</w:t>
      </w:r>
      <w:r>
        <w:rPr>
          <w:rFonts w:ascii="Arial Narrow" w:hAnsi="Arial Narrow" w:cs="Arial"/>
          <w:sz w:val="12"/>
          <w:szCs w:val="12"/>
        </w:rPr>
        <w:t xml:space="preserve"> </w:t>
      </w:r>
      <w:r w:rsidRPr="000D16BD">
        <w:rPr>
          <w:rFonts w:ascii="Arial Narrow" w:hAnsi="Arial Narrow" w:cs="Arial"/>
          <w:sz w:val="12"/>
          <w:szCs w:val="12"/>
        </w:rPr>
        <w:t>τις απαιτήσεις της Τράπεζας της Ελλάδος σε ξένο νόμισμα έναντι κατοίκων χωρών εκτός της ζώνης του ευρώ. Αντίθετα, δεν περιλαμβάνουν τις απαιτήσεις σε ευρώ έναντι κατοίκων χωρών εκτός της ζώνης του ευρώ, τις απαιτήσεις σε</w:t>
      </w:r>
      <w:r>
        <w:rPr>
          <w:rFonts w:ascii="Arial Narrow" w:hAnsi="Arial Narrow" w:cs="Arial"/>
          <w:sz w:val="12"/>
          <w:szCs w:val="12"/>
        </w:rPr>
        <w:t xml:space="preserve"> </w:t>
      </w:r>
      <w:r w:rsidRPr="000D16BD">
        <w:rPr>
          <w:rFonts w:ascii="Arial Narrow" w:hAnsi="Arial Narrow" w:cs="Arial"/>
          <w:sz w:val="12"/>
          <w:szCs w:val="12"/>
        </w:rPr>
        <w:t>συνάλλαγμα και σε</w:t>
      </w:r>
      <w:r>
        <w:rPr>
          <w:rFonts w:ascii="Arial Narrow" w:hAnsi="Arial Narrow" w:cs="Arial"/>
          <w:sz w:val="12"/>
          <w:szCs w:val="12"/>
        </w:rPr>
        <w:t xml:space="preserve"> </w:t>
      </w:r>
      <w:r w:rsidRPr="000D16BD">
        <w:rPr>
          <w:rFonts w:ascii="Arial Narrow" w:hAnsi="Arial Narrow" w:cs="Arial"/>
          <w:sz w:val="12"/>
          <w:szCs w:val="12"/>
        </w:rPr>
        <w:t>ευρώ έναντι κατοίκων</w:t>
      </w:r>
      <w:r>
        <w:rPr>
          <w:rFonts w:ascii="Arial Narrow" w:hAnsi="Arial Narrow" w:cs="Arial"/>
          <w:sz w:val="12"/>
          <w:szCs w:val="12"/>
        </w:rPr>
        <w:t xml:space="preserve"> </w:t>
      </w:r>
      <w:r w:rsidRPr="000D16BD">
        <w:rPr>
          <w:rFonts w:ascii="Arial Narrow" w:hAnsi="Arial Narrow" w:cs="Arial"/>
          <w:sz w:val="12"/>
          <w:szCs w:val="12"/>
        </w:rPr>
        <w:t>χωρών της ζώνης του ευρώ, και τη συμμετοχή</w:t>
      </w:r>
      <w:r>
        <w:rPr>
          <w:rFonts w:ascii="Arial Narrow" w:hAnsi="Arial Narrow" w:cs="Arial"/>
          <w:sz w:val="12"/>
          <w:szCs w:val="12"/>
        </w:rPr>
        <w:t xml:space="preserve"> </w:t>
      </w:r>
      <w:r w:rsidRPr="000D16BD">
        <w:rPr>
          <w:rFonts w:ascii="Arial Narrow" w:hAnsi="Arial Narrow" w:cs="Arial"/>
          <w:sz w:val="12"/>
          <w:szCs w:val="12"/>
        </w:rPr>
        <w:t>της Τράπεζας της Ελλάδος στο κεφάλαιο και στα συναλλαγματικά διαθέσιμα της ΕΚΤ.</w:t>
      </w:r>
    </w:p>
    <w:p w:rsidR="001769B4" w:rsidRPr="00F96944" w:rsidRDefault="001769B4" w:rsidP="00780119">
      <w:pPr>
        <w:spacing w:line="120" w:lineRule="exact"/>
        <w:jc w:val="both"/>
        <w:rPr>
          <w:rFonts w:ascii="Arial" w:hAnsi="Arial" w:cs="Arial"/>
          <w:sz w:val="18"/>
          <w:szCs w:val="20"/>
        </w:rPr>
      </w:pPr>
      <w:r w:rsidRPr="000D16BD">
        <w:rPr>
          <w:rFonts w:ascii="Arial Narrow" w:hAnsi="Arial Narrow" w:cs="Arial"/>
          <w:sz w:val="12"/>
          <w:szCs w:val="12"/>
        </w:rPr>
        <w:t>Πηγή: Τράπεζα της Ελλάδος</w:t>
      </w:r>
    </w:p>
    <w:p w:rsidR="001769B4" w:rsidRPr="00605312" w:rsidRDefault="001769B4" w:rsidP="00780119">
      <w:pPr>
        <w:jc w:val="both"/>
        <w:rPr>
          <w:rFonts w:ascii="Arial Narrow" w:hAnsi="Arial Narrow"/>
          <w:b/>
          <w:color w:val="000080"/>
          <w:szCs w:val="22"/>
        </w:rPr>
      </w:pPr>
      <w:r w:rsidRPr="001C42B5">
        <w:rPr>
          <w:rFonts w:ascii="Arial Narrow" w:hAnsi="Arial Narrow"/>
          <w:b/>
          <w:color w:val="000080"/>
          <w:szCs w:val="22"/>
        </w:rPr>
        <w:lastRenderedPageBreak/>
        <w:t>Οι προοπτικές το 201</w:t>
      </w:r>
      <w:r w:rsidRPr="00605312">
        <w:rPr>
          <w:rFonts w:ascii="Arial Narrow" w:hAnsi="Arial Narrow"/>
          <w:b/>
          <w:color w:val="000080"/>
          <w:szCs w:val="22"/>
        </w:rPr>
        <w:t>9</w:t>
      </w:r>
    </w:p>
    <w:p w:rsidR="001769B4" w:rsidRDefault="001769B4" w:rsidP="00780119">
      <w:pPr>
        <w:ind w:right="-144"/>
        <w:jc w:val="both"/>
        <w:rPr>
          <w:sz w:val="22"/>
          <w:szCs w:val="22"/>
        </w:rPr>
      </w:pPr>
    </w:p>
    <w:p w:rsidR="001769B4" w:rsidRDefault="001769B4" w:rsidP="00780119">
      <w:pPr>
        <w:ind w:right="-144"/>
        <w:jc w:val="both"/>
        <w:rPr>
          <w:sz w:val="22"/>
          <w:szCs w:val="22"/>
        </w:rPr>
      </w:pPr>
      <w:r w:rsidRPr="001769B4">
        <w:rPr>
          <w:sz w:val="22"/>
          <w:szCs w:val="22"/>
        </w:rPr>
        <w:t xml:space="preserve">Το 2019 θα είναι το πρώτο </w:t>
      </w:r>
      <w:r w:rsidR="00622222">
        <w:rPr>
          <w:sz w:val="22"/>
          <w:szCs w:val="22"/>
        </w:rPr>
        <w:t xml:space="preserve">πλήρες </w:t>
      </w:r>
      <w:r w:rsidRPr="001769B4">
        <w:rPr>
          <w:sz w:val="22"/>
          <w:szCs w:val="22"/>
        </w:rPr>
        <w:t xml:space="preserve">έτος άσκησης της οικονομικής πολιτικής εκτός </w:t>
      </w:r>
      <w:r w:rsidR="004D6DA5">
        <w:rPr>
          <w:sz w:val="22"/>
          <w:szCs w:val="22"/>
        </w:rPr>
        <w:t xml:space="preserve">του πλαισίου </w:t>
      </w:r>
      <w:r w:rsidRPr="001769B4">
        <w:rPr>
          <w:sz w:val="22"/>
          <w:szCs w:val="22"/>
        </w:rPr>
        <w:t>προ</w:t>
      </w:r>
      <w:r w:rsidRPr="001769B4">
        <w:rPr>
          <w:sz w:val="22"/>
          <w:szCs w:val="22"/>
        </w:rPr>
        <w:t>γ</w:t>
      </w:r>
      <w:r w:rsidRPr="001769B4">
        <w:rPr>
          <w:sz w:val="22"/>
          <w:szCs w:val="22"/>
        </w:rPr>
        <w:t xml:space="preserve">ράμματος </w:t>
      </w:r>
      <w:r w:rsidR="004D6DA5">
        <w:rPr>
          <w:sz w:val="22"/>
          <w:szCs w:val="22"/>
        </w:rPr>
        <w:t xml:space="preserve">οικονομικής </w:t>
      </w:r>
      <w:r w:rsidRPr="001769B4">
        <w:rPr>
          <w:sz w:val="22"/>
          <w:szCs w:val="22"/>
        </w:rPr>
        <w:t xml:space="preserve">προσαρμογής από το 2010. </w:t>
      </w:r>
      <w:r w:rsidR="00622222">
        <w:rPr>
          <w:sz w:val="22"/>
          <w:szCs w:val="22"/>
        </w:rPr>
        <w:t>Η</w:t>
      </w:r>
      <w:r w:rsidRPr="001769B4">
        <w:rPr>
          <w:sz w:val="22"/>
          <w:szCs w:val="22"/>
        </w:rPr>
        <w:t xml:space="preserve"> αξιοπιστία </w:t>
      </w:r>
      <w:r w:rsidR="004D6DA5">
        <w:rPr>
          <w:sz w:val="22"/>
          <w:szCs w:val="22"/>
        </w:rPr>
        <w:t xml:space="preserve">στην άσκηση </w:t>
      </w:r>
      <w:r w:rsidRPr="001769B4">
        <w:rPr>
          <w:sz w:val="22"/>
          <w:szCs w:val="22"/>
        </w:rPr>
        <w:t>της δημοσιονομικής π</w:t>
      </w:r>
      <w:r w:rsidRPr="001769B4">
        <w:rPr>
          <w:sz w:val="22"/>
          <w:szCs w:val="22"/>
        </w:rPr>
        <w:t>ο</w:t>
      </w:r>
      <w:r w:rsidRPr="001769B4">
        <w:rPr>
          <w:sz w:val="22"/>
          <w:szCs w:val="22"/>
        </w:rPr>
        <w:t>λιτικής και ο μεταρρυθμιστικός προσανατολισμός της οικονομικής πολιτικής αναμένεται να συνεχιστ</w:t>
      </w:r>
      <w:r w:rsidRPr="001769B4">
        <w:rPr>
          <w:sz w:val="22"/>
          <w:szCs w:val="22"/>
        </w:rPr>
        <w:t>ο</w:t>
      </w:r>
      <w:r w:rsidRPr="001769B4">
        <w:rPr>
          <w:sz w:val="22"/>
          <w:szCs w:val="22"/>
        </w:rPr>
        <w:t>ύν, ενισχύοντας τ</w:t>
      </w:r>
      <w:r w:rsidR="00622222">
        <w:rPr>
          <w:sz w:val="22"/>
          <w:szCs w:val="22"/>
        </w:rPr>
        <w:t>ις</w:t>
      </w:r>
      <w:r w:rsidRPr="001769B4">
        <w:rPr>
          <w:sz w:val="22"/>
          <w:szCs w:val="22"/>
        </w:rPr>
        <w:t xml:space="preserve"> θετι</w:t>
      </w:r>
      <w:r w:rsidR="00622222">
        <w:rPr>
          <w:sz w:val="22"/>
          <w:szCs w:val="22"/>
        </w:rPr>
        <w:t>κές</w:t>
      </w:r>
      <w:r w:rsidRPr="001769B4">
        <w:rPr>
          <w:sz w:val="22"/>
          <w:szCs w:val="22"/>
        </w:rPr>
        <w:t xml:space="preserve"> </w:t>
      </w:r>
      <w:r w:rsidR="00622222">
        <w:rPr>
          <w:sz w:val="22"/>
          <w:szCs w:val="22"/>
        </w:rPr>
        <w:t xml:space="preserve">τάσεις </w:t>
      </w:r>
      <w:r w:rsidRPr="001769B4">
        <w:rPr>
          <w:sz w:val="22"/>
          <w:szCs w:val="22"/>
        </w:rPr>
        <w:t xml:space="preserve">της οικονομικής δραστηριότητας. </w:t>
      </w:r>
    </w:p>
    <w:p w:rsidR="00360902" w:rsidRPr="001769B4" w:rsidRDefault="00360902"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Συγκεκριμένα, το πραγματικό ΑΕΠ προβλέπεται ότι θα αυξηθεί κατά 2,5% σε ετήσια βάση, έναντι 2,1% το 2018. Στον πίνακα 1.2 παρουσιάζονται αναλυτικά οι σχετικές προβλέψεις των μακροοικονομ</w:t>
      </w:r>
      <w:r w:rsidRPr="001769B4">
        <w:rPr>
          <w:sz w:val="22"/>
          <w:szCs w:val="22"/>
        </w:rPr>
        <w:t>ι</w:t>
      </w:r>
      <w:r w:rsidRPr="001769B4">
        <w:rPr>
          <w:sz w:val="22"/>
          <w:szCs w:val="22"/>
        </w:rPr>
        <w:t>κών μεγεθών για το 2019.</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899"/>
        <w:gridCol w:w="1018"/>
        <w:gridCol w:w="1080"/>
        <w:gridCol w:w="1026"/>
      </w:tblGrid>
      <w:tr w:rsidR="001769B4" w:rsidRPr="003F4E46" w:rsidTr="00AB1CFE">
        <w:trPr>
          <w:jc w:val="center"/>
        </w:trPr>
        <w:tc>
          <w:tcPr>
            <w:tcW w:w="7023" w:type="dxa"/>
            <w:gridSpan w:val="4"/>
            <w:tcBorders>
              <w:bottom w:val="single" w:sz="4" w:space="0" w:color="auto"/>
              <w:right w:val="single" w:sz="4" w:space="0" w:color="auto"/>
            </w:tcBorders>
            <w:shd w:val="clear" w:color="auto" w:fill="595959" w:themeFill="text1" w:themeFillTint="A6"/>
            <w:vAlign w:val="center"/>
          </w:tcPr>
          <w:p w:rsidR="001769B4" w:rsidRPr="003F4E46" w:rsidRDefault="001769B4" w:rsidP="00780119">
            <w:pPr>
              <w:spacing w:before="120"/>
              <w:jc w:val="center"/>
              <w:rPr>
                <w:rFonts w:ascii="Arial Narrow" w:hAnsi="Arial Narrow" w:cs="Arial Narrow"/>
                <w:b/>
                <w:bCs/>
                <w:color w:val="FFFFFF"/>
              </w:rPr>
            </w:pPr>
            <w:r w:rsidRPr="003F4E46">
              <w:rPr>
                <w:rFonts w:ascii="Arial Narrow" w:hAnsi="Arial Narrow" w:cs="Arial Narrow"/>
                <w:b/>
                <w:bCs/>
                <w:color w:val="FFFFFF"/>
              </w:rPr>
              <w:t>Πίνακας 1.3</w:t>
            </w:r>
            <w:r>
              <w:rPr>
                <w:rFonts w:ascii="Arial Narrow" w:hAnsi="Arial Narrow" w:cs="Arial Narrow"/>
                <w:b/>
                <w:bCs/>
                <w:color w:val="FFFFFF"/>
              </w:rPr>
              <w:t xml:space="preserve"> </w:t>
            </w:r>
            <w:r w:rsidRPr="003F4E46">
              <w:rPr>
                <w:rFonts w:ascii="Arial Narrow" w:hAnsi="Arial Narrow" w:cs="Arial Narrow"/>
                <w:b/>
                <w:bCs/>
                <w:color w:val="FFFFFF"/>
              </w:rPr>
              <w:t>Βασικά μεγέθη της Ελληνικής οικονομίας</w:t>
            </w:r>
          </w:p>
          <w:p w:rsidR="001769B4" w:rsidRPr="003F4E46" w:rsidRDefault="001769B4" w:rsidP="00780119">
            <w:pPr>
              <w:spacing w:after="120"/>
              <w:jc w:val="center"/>
              <w:rPr>
                <w:b/>
                <w:sz w:val="22"/>
              </w:rPr>
            </w:pPr>
            <w:r w:rsidRPr="003F4E46">
              <w:rPr>
                <w:rFonts w:ascii="Arial Narrow" w:hAnsi="Arial Narrow" w:cs="Arial Narrow"/>
                <w:b/>
                <w:bCs/>
                <w:color w:val="FFFFFF"/>
              </w:rPr>
              <w:t>(% ετήσιες μεταβολές, σταθερές τιμές)</w:t>
            </w:r>
          </w:p>
        </w:tc>
      </w:tr>
      <w:tr w:rsidR="001769B4" w:rsidRPr="003F4E46" w:rsidTr="00AB1CFE">
        <w:trPr>
          <w:jc w:val="center"/>
        </w:trPr>
        <w:tc>
          <w:tcPr>
            <w:tcW w:w="7023" w:type="dxa"/>
            <w:gridSpan w:val="4"/>
            <w:tcBorders>
              <w:bottom w:val="single" w:sz="4" w:space="0" w:color="auto"/>
              <w:right w:val="single" w:sz="4" w:space="0" w:color="auto"/>
            </w:tcBorders>
            <w:vAlign w:val="center"/>
          </w:tcPr>
          <w:p w:rsidR="001769B4" w:rsidRPr="003F4E46" w:rsidRDefault="001769B4" w:rsidP="00780119">
            <w:pPr>
              <w:jc w:val="center"/>
              <w:rPr>
                <w:rFonts w:ascii="Arial Narrow" w:hAnsi="Arial Narrow"/>
                <w:b/>
                <w:sz w:val="16"/>
                <w:szCs w:val="16"/>
              </w:rPr>
            </w:pPr>
          </w:p>
        </w:tc>
      </w:tr>
      <w:tr w:rsidR="001769B4" w:rsidRPr="003F4E46" w:rsidTr="00AB1CFE">
        <w:trPr>
          <w:jc w:val="center"/>
        </w:trPr>
        <w:tc>
          <w:tcPr>
            <w:tcW w:w="3899" w:type="dxa"/>
            <w:tcBorders>
              <w:bottom w:val="single" w:sz="4" w:space="0" w:color="auto"/>
              <w:right w:val="single" w:sz="4" w:space="0" w:color="auto"/>
            </w:tcBorders>
            <w:vAlign w:val="center"/>
          </w:tcPr>
          <w:p w:rsidR="001769B4" w:rsidRPr="003F4E46" w:rsidRDefault="001769B4" w:rsidP="00780119">
            <w:pPr>
              <w:spacing w:before="60" w:after="60"/>
              <w:jc w:val="both"/>
              <w:rPr>
                <w:rFonts w:ascii="Arial Narrow" w:hAnsi="Arial Narrow"/>
                <w:b/>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1769B4" w:rsidRPr="003F4E46" w:rsidRDefault="001769B4" w:rsidP="00780119">
            <w:pPr>
              <w:spacing w:before="60" w:after="60"/>
              <w:jc w:val="center"/>
              <w:rPr>
                <w:rFonts w:ascii="Arial Narrow" w:hAnsi="Arial Narrow"/>
                <w:b/>
                <w:sz w:val="16"/>
                <w:szCs w:val="16"/>
              </w:rPr>
            </w:pPr>
            <w:r>
              <w:rPr>
                <w:rFonts w:ascii="Arial Narrow" w:hAnsi="Arial Narrow"/>
                <w:b/>
                <w:sz w:val="16"/>
                <w:szCs w:val="16"/>
              </w:rPr>
              <w:t>2017</w:t>
            </w:r>
          </w:p>
        </w:tc>
        <w:tc>
          <w:tcPr>
            <w:tcW w:w="1080" w:type="dxa"/>
            <w:tcBorders>
              <w:left w:val="single" w:sz="4" w:space="0" w:color="auto"/>
              <w:bottom w:val="single" w:sz="4" w:space="0" w:color="auto"/>
              <w:right w:val="single" w:sz="4" w:space="0" w:color="auto"/>
            </w:tcBorders>
            <w:vAlign w:val="center"/>
          </w:tcPr>
          <w:p w:rsidR="001769B4" w:rsidRPr="003F4E46" w:rsidRDefault="001769B4" w:rsidP="00780119">
            <w:pPr>
              <w:spacing w:before="60" w:after="60"/>
              <w:jc w:val="center"/>
              <w:rPr>
                <w:rFonts w:ascii="Arial Narrow" w:hAnsi="Arial Narrow"/>
                <w:b/>
                <w:sz w:val="16"/>
                <w:szCs w:val="16"/>
              </w:rPr>
            </w:pPr>
            <w:r w:rsidRPr="003F4E46">
              <w:rPr>
                <w:rFonts w:ascii="Arial Narrow" w:hAnsi="Arial Narrow"/>
                <w:b/>
                <w:sz w:val="16"/>
                <w:szCs w:val="16"/>
              </w:rPr>
              <w:t>201</w:t>
            </w:r>
            <w:r>
              <w:rPr>
                <w:rFonts w:ascii="Arial Narrow" w:hAnsi="Arial Narrow"/>
                <w:b/>
                <w:sz w:val="16"/>
                <w:szCs w:val="16"/>
              </w:rPr>
              <w:t>8</w:t>
            </w:r>
            <w:r w:rsidRPr="003F4E46">
              <w:rPr>
                <w:rFonts w:ascii="Arial Narrow" w:hAnsi="Arial Narrow"/>
                <w:b/>
                <w:sz w:val="16"/>
                <w:szCs w:val="16"/>
              </w:rPr>
              <w:t>**</w:t>
            </w:r>
          </w:p>
        </w:tc>
        <w:tc>
          <w:tcPr>
            <w:tcW w:w="1026" w:type="dxa"/>
            <w:tcBorders>
              <w:left w:val="single" w:sz="4" w:space="0" w:color="auto"/>
              <w:bottom w:val="single" w:sz="4" w:space="0" w:color="auto"/>
              <w:right w:val="single" w:sz="4" w:space="0" w:color="auto"/>
            </w:tcBorders>
          </w:tcPr>
          <w:p w:rsidR="001769B4" w:rsidRPr="003F4E46" w:rsidRDefault="001769B4" w:rsidP="00780119">
            <w:pPr>
              <w:spacing w:before="60" w:after="60"/>
              <w:jc w:val="center"/>
              <w:rPr>
                <w:rFonts w:ascii="Arial Narrow" w:hAnsi="Arial Narrow"/>
                <w:b/>
                <w:sz w:val="16"/>
                <w:szCs w:val="16"/>
              </w:rPr>
            </w:pPr>
            <w:r w:rsidRPr="003F4E46">
              <w:rPr>
                <w:rFonts w:ascii="Arial Narrow" w:hAnsi="Arial Narrow"/>
                <w:b/>
                <w:sz w:val="16"/>
                <w:szCs w:val="16"/>
              </w:rPr>
              <w:t>201</w:t>
            </w:r>
            <w:r>
              <w:rPr>
                <w:rFonts w:ascii="Arial Narrow" w:hAnsi="Arial Narrow"/>
                <w:b/>
                <w:sz w:val="16"/>
                <w:szCs w:val="16"/>
              </w:rPr>
              <w:t>9</w:t>
            </w:r>
            <w:r w:rsidRPr="003F4E46">
              <w:rPr>
                <w:rFonts w:ascii="Arial Narrow" w:hAnsi="Arial Narrow"/>
                <w:b/>
                <w:sz w:val="16"/>
                <w:szCs w:val="16"/>
              </w:rPr>
              <w:t>**</w:t>
            </w:r>
          </w:p>
        </w:tc>
      </w:tr>
      <w:tr w:rsidR="001769B4" w:rsidRPr="003F4E46" w:rsidTr="002836FE">
        <w:trPr>
          <w:jc w:val="center"/>
        </w:trPr>
        <w:tc>
          <w:tcPr>
            <w:tcW w:w="3899" w:type="dxa"/>
            <w:tcBorders>
              <w:top w:val="single" w:sz="4" w:space="0" w:color="auto"/>
              <w:bottom w:val="nil"/>
            </w:tcBorders>
            <w:shd w:val="clear" w:color="auto" w:fill="D9D9D9" w:themeFill="background1" w:themeFillShade="D9"/>
          </w:tcPr>
          <w:p w:rsidR="001769B4" w:rsidRPr="003F4E46" w:rsidRDefault="001769B4" w:rsidP="00780119">
            <w:pPr>
              <w:spacing w:line="288" w:lineRule="auto"/>
              <w:jc w:val="both"/>
              <w:rPr>
                <w:rFonts w:ascii="Arial Narrow" w:hAnsi="Arial Narrow"/>
                <w:sz w:val="16"/>
                <w:szCs w:val="16"/>
              </w:rPr>
            </w:pPr>
            <w:r>
              <w:rPr>
                <w:rFonts w:ascii="Arial Narrow" w:hAnsi="Arial Narrow"/>
                <w:sz w:val="16"/>
                <w:szCs w:val="16"/>
              </w:rPr>
              <w:t xml:space="preserve">Πραγματικό </w:t>
            </w:r>
            <w:r w:rsidRPr="003F4E46">
              <w:rPr>
                <w:rFonts w:ascii="Arial Narrow" w:hAnsi="Arial Narrow"/>
                <w:sz w:val="16"/>
                <w:szCs w:val="16"/>
              </w:rPr>
              <w:t>ΑΕΠ</w:t>
            </w:r>
          </w:p>
        </w:tc>
        <w:tc>
          <w:tcPr>
            <w:tcW w:w="1018" w:type="dxa"/>
            <w:tcBorders>
              <w:top w:val="single" w:sz="4" w:space="0" w:color="auto"/>
              <w:bottom w:val="nil"/>
            </w:tcBorders>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w:t>
            </w:r>
            <w:r>
              <w:rPr>
                <w:rFonts w:ascii="Arial Narrow" w:hAnsi="Arial Narrow"/>
                <w:sz w:val="16"/>
                <w:szCs w:val="16"/>
              </w:rPr>
              <w:t>5</w:t>
            </w:r>
          </w:p>
        </w:tc>
        <w:tc>
          <w:tcPr>
            <w:tcW w:w="1080" w:type="dxa"/>
            <w:tcBorders>
              <w:top w:val="single" w:sz="4" w:space="0" w:color="auto"/>
              <w:bottom w:val="nil"/>
            </w:tcBorders>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2,1</w:t>
            </w:r>
          </w:p>
        </w:tc>
        <w:tc>
          <w:tcPr>
            <w:tcW w:w="1026" w:type="dxa"/>
            <w:tcBorders>
              <w:top w:val="single" w:sz="4" w:space="0" w:color="auto"/>
              <w:bottom w:val="nil"/>
            </w:tcBorders>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2,5</w:t>
            </w:r>
          </w:p>
        </w:tc>
      </w:tr>
      <w:tr w:rsidR="001769B4" w:rsidRPr="003F4E46" w:rsidTr="00AB1CFE">
        <w:trPr>
          <w:jc w:val="center"/>
        </w:trPr>
        <w:tc>
          <w:tcPr>
            <w:tcW w:w="3899" w:type="dxa"/>
            <w:tcBorders>
              <w:top w:val="nil"/>
              <w:bottom w:val="nil"/>
            </w:tcBorders>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Ιδιωτική κατανάλωση</w:t>
            </w:r>
          </w:p>
        </w:tc>
        <w:tc>
          <w:tcPr>
            <w:tcW w:w="1018" w:type="dxa"/>
            <w:tcBorders>
              <w:top w:val="nil"/>
              <w:bottom w:val="nil"/>
            </w:tcBorders>
            <w:vAlign w:val="bottom"/>
          </w:tcPr>
          <w:p w:rsidR="001769B4" w:rsidRPr="00714730" w:rsidRDefault="001769B4" w:rsidP="00780119">
            <w:pPr>
              <w:tabs>
                <w:tab w:val="decimal" w:pos="361"/>
              </w:tabs>
              <w:jc w:val="both"/>
              <w:rPr>
                <w:rFonts w:ascii="Arial Narrow" w:hAnsi="Arial Narrow"/>
                <w:sz w:val="16"/>
                <w:szCs w:val="16"/>
              </w:rPr>
            </w:pPr>
            <w:r>
              <w:rPr>
                <w:rFonts w:ascii="Arial Narrow" w:hAnsi="Arial Narrow"/>
                <w:sz w:val="16"/>
                <w:szCs w:val="16"/>
              </w:rPr>
              <w:t>0,9</w:t>
            </w:r>
          </w:p>
        </w:tc>
        <w:tc>
          <w:tcPr>
            <w:tcW w:w="1080" w:type="dxa"/>
            <w:tcBorders>
              <w:top w:val="nil"/>
              <w:bottom w:val="nil"/>
            </w:tcBorders>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1,0</w:t>
            </w:r>
          </w:p>
        </w:tc>
        <w:tc>
          <w:tcPr>
            <w:tcW w:w="1026" w:type="dxa"/>
            <w:tcBorders>
              <w:top w:val="nil"/>
              <w:bottom w:val="nil"/>
            </w:tcBorders>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1,1</w:t>
            </w:r>
          </w:p>
        </w:tc>
      </w:tr>
      <w:tr w:rsidR="001769B4" w:rsidRPr="003F4E46" w:rsidTr="002836FE">
        <w:trPr>
          <w:jc w:val="center"/>
        </w:trPr>
        <w:tc>
          <w:tcPr>
            <w:tcW w:w="3899" w:type="dxa"/>
            <w:tcBorders>
              <w:top w:val="nil"/>
            </w:tcBorders>
            <w:shd w:val="clear" w:color="auto" w:fill="D9D9D9" w:themeFill="background1" w:themeFillShade="D9"/>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Δημόσια κατανάλωση</w:t>
            </w:r>
          </w:p>
        </w:tc>
        <w:tc>
          <w:tcPr>
            <w:tcW w:w="1018" w:type="dxa"/>
            <w:tcBorders>
              <w:top w:val="nil"/>
            </w:tcBorders>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Pr>
                <w:rFonts w:ascii="Arial Narrow" w:hAnsi="Arial Narrow"/>
                <w:sz w:val="16"/>
                <w:szCs w:val="16"/>
              </w:rPr>
              <w:t>-0,4</w:t>
            </w:r>
          </w:p>
        </w:tc>
        <w:tc>
          <w:tcPr>
            <w:tcW w:w="1080" w:type="dxa"/>
            <w:tcBorders>
              <w:top w:val="nil"/>
            </w:tcBorders>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0,2</w:t>
            </w:r>
          </w:p>
        </w:tc>
        <w:tc>
          <w:tcPr>
            <w:tcW w:w="1026" w:type="dxa"/>
            <w:tcBorders>
              <w:top w:val="nil"/>
            </w:tcBorders>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0,6</w:t>
            </w:r>
          </w:p>
        </w:tc>
      </w:tr>
      <w:tr w:rsidR="001769B4" w:rsidRPr="003F4E46" w:rsidTr="00AB1CFE">
        <w:trPr>
          <w:jc w:val="center"/>
        </w:trPr>
        <w:tc>
          <w:tcPr>
            <w:tcW w:w="3899" w:type="dxa"/>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Ακαθάριστος σχηματισμός παγίου κεφαλαίου</w:t>
            </w:r>
          </w:p>
        </w:tc>
        <w:tc>
          <w:tcPr>
            <w:tcW w:w="1018"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9,</w:t>
            </w:r>
            <w:r>
              <w:rPr>
                <w:rFonts w:ascii="Arial Narrow" w:hAnsi="Arial Narrow"/>
                <w:sz w:val="16"/>
                <w:szCs w:val="16"/>
              </w:rPr>
              <w:t>1</w:t>
            </w:r>
          </w:p>
        </w:tc>
        <w:tc>
          <w:tcPr>
            <w:tcW w:w="1080"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0,8</w:t>
            </w:r>
          </w:p>
        </w:tc>
        <w:tc>
          <w:tcPr>
            <w:tcW w:w="1026"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11,9</w:t>
            </w:r>
          </w:p>
        </w:tc>
      </w:tr>
      <w:tr w:rsidR="001769B4" w:rsidRPr="003F4E46" w:rsidTr="002836FE">
        <w:trPr>
          <w:jc w:val="center"/>
        </w:trPr>
        <w:tc>
          <w:tcPr>
            <w:tcW w:w="3899" w:type="dxa"/>
            <w:shd w:val="clear" w:color="auto" w:fill="D9D9D9" w:themeFill="background1" w:themeFillShade="D9"/>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Εξαγωγές αγαθών και υπηρεσιών</w:t>
            </w:r>
          </w:p>
        </w:tc>
        <w:tc>
          <w:tcPr>
            <w:tcW w:w="1018"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6,8</w:t>
            </w:r>
          </w:p>
        </w:tc>
        <w:tc>
          <w:tcPr>
            <w:tcW w:w="1080"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7,5</w:t>
            </w:r>
          </w:p>
        </w:tc>
        <w:tc>
          <w:tcPr>
            <w:tcW w:w="1026"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5,8</w:t>
            </w:r>
          </w:p>
        </w:tc>
      </w:tr>
      <w:tr w:rsidR="001769B4" w:rsidRPr="003F4E46" w:rsidTr="00AB1CFE">
        <w:trPr>
          <w:jc w:val="center"/>
        </w:trPr>
        <w:tc>
          <w:tcPr>
            <w:tcW w:w="3899" w:type="dxa"/>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Εισαγωγές αγαθών και υπηρεσιών</w:t>
            </w:r>
          </w:p>
        </w:tc>
        <w:tc>
          <w:tcPr>
            <w:tcW w:w="1018"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7,</w:t>
            </w:r>
            <w:r>
              <w:rPr>
                <w:rFonts w:ascii="Arial Narrow" w:hAnsi="Arial Narrow"/>
                <w:sz w:val="16"/>
                <w:szCs w:val="16"/>
              </w:rPr>
              <w:t>1</w:t>
            </w:r>
          </w:p>
        </w:tc>
        <w:tc>
          <w:tcPr>
            <w:tcW w:w="1080"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3,4</w:t>
            </w:r>
          </w:p>
        </w:tc>
        <w:tc>
          <w:tcPr>
            <w:tcW w:w="1026"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5,2</w:t>
            </w:r>
          </w:p>
        </w:tc>
      </w:tr>
      <w:tr w:rsidR="001769B4" w:rsidRPr="003F4E46" w:rsidTr="002836FE">
        <w:trPr>
          <w:jc w:val="center"/>
        </w:trPr>
        <w:tc>
          <w:tcPr>
            <w:tcW w:w="3899" w:type="dxa"/>
            <w:shd w:val="clear" w:color="auto" w:fill="D9D9D9" w:themeFill="background1" w:themeFillShade="D9"/>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Αποπληθωριστής ΑΕΠ</w:t>
            </w:r>
          </w:p>
        </w:tc>
        <w:tc>
          <w:tcPr>
            <w:tcW w:w="1018"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0,</w:t>
            </w:r>
            <w:r>
              <w:rPr>
                <w:rFonts w:ascii="Arial Narrow" w:hAnsi="Arial Narrow"/>
                <w:sz w:val="16"/>
                <w:szCs w:val="16"/>
              </w:rPr>
              <w:t>6</w:t>
            </w:r>
          </w:p>
        </w:tc>
        <w:tc>
          <w:tcPr>
            <w:tcW w:w="1080"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0,9</w:t>
            </w:r>
          </w:p>
        </w:tc>
        <w:tc>
          <w:tcPr>
            <w:tcW w:w="1026"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1,3</w:t>
            </w:r>
          </w:p>
        </w:tc>
      </w:tr>
      <w:tr w:rsidR="001769B4" w:rsidRPr="003F4E46" w:rsidTr="00AB1CFE">
        <w:trPr>
          <w:jc w:val="center"/>
        </w:trPr>
        <w:tc>
          <w:tcPr>
            <w:tcW w:w="3899" w:type="dxa"/>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Εναρμονισμένος Δείκτης Τιμών Καταναλωτή</w:t>
            </w:r>
          </w:p>
        </w:tc>
        <w:tc>
          <w:tcPr>
            <w:tcW w:w="1018"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1,1</w:t>
            </w:r>
          </w:p>
        </w:tc>
        <w:tc>
          <w:tcPr>
            <w:tcW w:w="1080"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0,</w:t>
            </w:r>
            <w:r w:rsidR="00430F34">
              <w:rPr>
                <w:rFonts w:ascii="Arial Narrow" w:hAnsi="Arial Narrow"/>
                <w:sz w:val="16"/>
                <w:szCs w:val="16"/>
              </w:rPr>
              <w:t>8</w:t>
            </w:r>
          </w:p>
        </w:tc>
        <w:tc>
          <w:tcPr>
            <w:tcW w:w="1026"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1,2</w:t>
            </w:r>
          </w:p>
        </w:tc>
      </w:tr>
      <w:tr w:rsidR="001769B4" w:rsidRPr="003F4E46" w:rsidTr="002836FE">
        <w:trPr>
          <w:jc w:val="center"/>
        </w:trPr>
        <w:tc>
          <w:tcPr>
            <w:tcW w:w="3899" w:type="dxa"/>
            <w:shd w:val="clear" w:color="auto" w:fill="D9D9D9" w:themeFill="background1" w:themeFillShade="D9"/>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Απασχόληση*</w:t>
            </w:r>
          </w:p>
        </w:tc>
        <w:tc>
          <w:tcPr>
            <w:tcW w:w="1018"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Pr>
                <w:rFonts w:ascii="Arial Narrow" w:hAnsi="Arial Narrow"/>
                <w:sz w:val="16"/>
                <w:szCs w:val="16"/>
              </w:rPr>
              <w:t>1,5</w:t>
            </w:r>
          </w:p>
        </w:tc>
        <w:tc>
          <w:tcPr>
            <w:tcW w:w="1080"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Pr>
                <w:rFonts w:ascii="Arial Narrow" w:hAnsi="Arial Narrow"/>
                <w:sz w:val="16"/>
                <w:szCs w:val="16"/>
              </w:rPr>
              <w:t>1,3</w:t>
            </w:r>
          </w:p>
        </w:tc>
        <w:tc>
          <w:tcPr>
            <w:tcW w:w="1026"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Pr>
                <w:rFonts w:ascii="Arial Narrow" w:hAnsi="Arial Narrow"/>
                <w:sz w:val="16"/>
                <w:szCs w:val="16"/>
              </w:rPr>
              <w:t>1,4</w:t>
            </w:r>
          </w:p>
        </w:tc>
      </w:tr>
      <w:tr w:rsidR="001769B4" w:rsidRPr="003F4E46" w:rsidTr="00AB1CFE">
        <w:trPr>
          <w:jc w:val="center"/>
        </w:trPr>
        <w:tc>
          <w:tcPr>
            <w:tcW w:w="3899" w:type="dxa"/>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Ποσοστό ανεργίας*</w:t>
            </w:r>
          </w:p>
        </w:tc>
        <w:tc>
          <w:tcPr>
            <w:tcW w:w="1018"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19,</w:t>
            </w:r>
            <w:r>
              <w:rPr>
                <w:rFonts w:ascii="Arial Narrow" w:hAnsi="Arial Narrow"/>
                <w:sz w:val="16"/>
                <w:szCs w:val="16"/>
              </w:rPr>
              <w:t>9</w:t>
            </w:r>
          </w:p>
        </w:tc>
        <w:tc>
          <w:tcPr>
            <w:tcW w:w="1080"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18,</w:t>
            </w:r>
            <w:r>
              <w:rPr>
                <w:rFonts w:ascii="Arial Narrow" w:hAnsi="Arial Narrow"/>
                <w:sz w:val="16"/>
                <w:szCs w:val="16"/>
              </w:rPr>
              <w:t>1</w:t>
            </w:r>
          </w:p>
        </w:tc>
        <w:tc>
          <w:tcPr>
            <w:tcW w:w="1026" w:type="dxa"/>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16,7</w:t>
            </w:r>
          </w:p>
        </w:tc>
      </w:tr>
      <w:tr w:rsidR="001769B4" w:rsidRPr="003F4E46" w:rsidTr="002836FE">
        <w:trPr>
          <w:jc w:val="center"/>
        </w:trPr>
        <w:tc>
          <w:tcPr>
            <w:tcW w:w="3899" w:type="dxa"/>
            <w:shd w:val="clear" w:color="auto" w:fill="D9D9D9" w:themeFill="background1" w:themeFillShade="D9"/>
          </w:tcPr>
          <w:p w:rsidR="001769B4" w:rsidRPr="003F4E46" w:rsidRDefault="001769B4" w:rsidP="00780119">
            <w:pPr>
              <w:spacing w:line="288" w:lineRule="auto"/>
              <w:jc w:val="both"/>
              <w:rPr>
                <w:rFonts w:ascii="Arial Narrow" w:hAnsi="Arial Narrow"/>
                <w:sz w:val="16"/>
                <w:szCs w:val="16"/>
              </w:rPr>
            </w:pPr>
            <w:r w:rsidRPr="003F4E46">
              <w:rPr>
                <w:rFonts w:ascii="Arial Narrow" w:hAnsi="Arial Narrow"/>
                <w:sz w:val="16"/>
                <w:szCs w:val="16"/>
              </w:rPr>
              <w:t>Ποσοστό ανεργίας</w:t>
            </w:r>
            <w:r>
              <w:rPr>
                <w:rFonts w:ascii="Arial Narrow" w:hAnsi="Arial Narrow"/>
                <w:sz w:val="16"/>
                <w:szCs w:val="16"/>
              </w:rPr>
              <w:t xml:space="preserve"> (Έρευνα Εργατικού Δυναμικού)</w:t>
            </w:r>
          </w:p>
        </w:tc>
        <w:tc>
          <w:tcPr>
            <w:tcW w:w="1018"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21,5</w:t>
            </w:r>
          </w:p>
        </w:tc>
        <w:tc>
          <w:tcPr>
            <w:tcW w:w="1080"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19,</w:t>
            </w:r>
            <w:r>
              <w:rPr>
                <w:rFonts w:ascii="Arial Narrow" w:hAnsi="Arial Narrow"/>
                <w:sz w:val="16"/>
                <w:szCs w:val="16"/>
              </w:rPr>
              <w:t>6</w:t>
            </w:r>
          </w:p>
        </w:tc>
        <w:tc>
          <w:tcPr>
            <w:tcW w:w="1026" w:type="dxa"/>
            <w:shd w:val="clear" w:color="auto" w:fill="D9D9D9" w:themeFill="background1" w:themeFillShade="D9"/>
            <w:vAlign w:val="bottom"/>
          </w:tcPr>
          <w:p w:rsidR="001769B4" w:rsidRPr="00714730" w:rsidRDefault="001769B4" w:rsidP="00780119">
            <w:pPr>
              <w:tabs>
                <w:tab w:val="decimal" w:pos="361"/>
              </w:tabs>
              <w:jc w:val="both"/>
              <w:rPr>
                <w:rFonts w:ascii="Arial Narrow" w:hAnsi="Arial Narrow"/>
                <w:sz w:val="16"/>
                <w:szCs w:val="16"/>
              </w:rPr>
            </w:pPr>
            <w:r w:rsidRPr="00714730">
              <w:rPr>
                <w:rFonts w:ascii="Arial Narrow" w:hAnsi="Arial Narrow"/>
                <w:sz w:val="16"/>
                <w:szCs w:val="16"/>
              </w:rPr>
              <w:t>18,2</w:t>
            </w:r>
          </w:p>
        </w:tc>
      </w:tr>
    </w:tbl>
    <w:p w:rsidR="001769B4" w:rsidRPr="007F5916" w:rsidRDefault="001769B4" w:rsidP="00780119">
      <w:pPr>
        <w:tabs>
          <w:tab w:val="left" w:pos="1418"/>
        </w:tabs>
        <w:ind w:left="1418" w:hanging="425"/>
        <w:jc w:val="both"/>
        <w:rPr>
          <w:rFonts w:ascii="Arial Narrow" w:hAnsi="Arial Narrow"/>
          <w:sz w:val="16"/>
          <w:szCs w:val="16"/>
          <w:vertAlign w:val="superscript"/>
        </w:rPr>
      </w:pPr>
      <w:r w:rsidRPr="007F5916">
        <w:rPr>
          <w:rFonts w:ascii="Arial Narrow" w:hAnsi="Arial Narrow"/>
          <w:sz w:val="16"/>
          <w:szCs w:val="16"/>
          <w:vertAlign w:val="superscript"/>
        </w:rPr>
        <w:t>Πηγή: Ετήσιοι Εθνικοί Λογαριασμοί</w:t>
      </w:r>
      <w:r>
        <w:rPr>
          <w:rFonts w:ascii="Arial Narrow" w:hAnsi="Arial Narrow"/>
          <w:sz w:val="16"/>
          <w:szCs w:val="16"/>
          <w:vertAlign w:val="superscript"/>
        </w:rPr>
        <w:t xml:space="preserve"> </w:t>
      </w:r>
      <w:r w:rsidRPr="007F5916">
        <w:rPr>
          <w:rFonts w:ascii="Arial Narrow" w:hAnsi="Arial Narrow"/>
          <w:sz w:val="16"/>
          <w:szCs w:val="16"/>
          <w:vertAlign w:val="superscript"/>
        </w:rPr>
        <w:t>(Ελληνική Στατιστική Αρχή), εκτιμήσεις/προβλέψεις Υπ</w:t>
      </w:r>
      <w:r>
        <w:rPr>
          <w:rFonts w:ascii="Arial Narrow" w:hAnsi="Arial Narrow"/>
          <w:sz w:val="16"/>
          <w:szCs w:val="16"/>
          <w:vertAlign w:val="superscript"/>
        </w:rPr>
        <w:t xml:space="preserve">ουργείου </w:t>
      </w:r>
      <w:r w:rsidRPr="007F5916">
        <w:rPr>
          <w:rFonts w:ascii="Arial Narrow" w:hAnsi="Arial Narrow"/>
          <w:sz w:val="16"/>
          <w:szCs w:val="16"/>
          <w:vertAlign w:val="superscript"/>
        </w:rPr>
        <w:t>Οικονομικών</w:t>
      </w:r>
    </w:p>
    <w:p w:rsidR="001769B4" w:rsidRPr="007F5916" w:rsidRDefault="001769B4" w:rsidP="00780119">
      <w:pPr>
        <w:ind w:firstLine="993"/>
        <w:jc w:val="both"/>
        <w:rPr>
          <w:rFonts w:ascii="Arial Narrow" w:hAnsi="Arial Narrow"/>
          <w:sz w:val="16"/>
          <w:szCs w:val="16"/>
          <w:vertAlign w:val="superscript"/>
        </w:rPr>
      </w:pPr>
      <w:r w:rsidRPr="007F5916">
        <w:rPr>
          <w:rFonts w:ascii="Arial Narrow" w:hAnsi="Arial Narrow"/>
          <w:sz w:val="16"/>
          <w:szCs w:val="16"/>
          <w:vertAlign w:val="superscript"/>
        </w:rPr>
        <w:t>*Σε εθνικολογιστική βάση</w:t>
      </w:r>
    </w:p>
    <w:p w:rsidR="001769B4" w:rsidRPr="007F5916" w:rsidRDefault="001769B4" w:rsidP="00780119">
      <w:pPr>
        <w:ind w:firstLine="993"/>
        <w:jc w:val="both"/>
        <w:rPr>
          <w:rFonts w:ascii="Arial Narrow" w:hAnsi="Arial Narrow"/>
          <w:sz w:val="16"/>
          <w:szCs w:val="16"/>
          <w:vertAlign w:val="superscript"/>
        </w:rPr>
      </w:pPr>
      <w:r w:rsidRPr="007F5916">
        <w:rPr>
          <w:rFonts w:ascii="Arial Narrow" w:hAnsi="Arial Narrow"/>
          <w:sz w:val="16"/>
          <w:szCs w:val="16"/>
          <w:vertAlign w:val="superscript"/>
        </w:rPr>
        <w:t xml:space="preserve">** Εκτιμήσεις/προβλέψεις </w:t>
      </w:r>
    </w:p>
    <w:p w:rsidR="001769B4" w:rsidRDefault="001769B4" w:rsidP="00780119">
      <w:pPr>
        <w:widowControl w:val="0"/>
        <w:jc w:val="both"/>
        <w:rPr>
          <w:sz w:val="22"/>
          <w:szCs w:val="22"/>
        </w:rPr>
      </w:pPr>
    </w:p>
    <w:p w:rsidR="001769B4" w:rsidRDefault="001769B4" w:rsidP="00780119">
      <w:pPr>
        <w:ind w:right="-144"/>
        <w:jc w:val="both"/>
        <w:rPr>
          <w:sz w:val="22"/>
          <w:szCs w:val="22"/>
        </w:rPr>
      </w:pPr>
      <w:r w:rsidRPr="001769B4">
        <w:rPr>
          <w:sz w:val="22"/>
          <w:szCs w:val="22"/>
        </w:rPr>
        <w:t>Ως προς τις συνιστώσες της πραγματικής ανάπτυξης, η κύρια πηγή εκτιμάται ότι θα προκύψει από την περαιτέρω ανάκαμψη της ιδιωτικής κατανάλωσης και την εύρωστη επενδυτική δραστηριότητα έναντι του 2018. Μάλιστα, η συνεισφορά των επενδύσεων στην αύξηση του</w:t>
      </w:r>
      <w:r w:rsidR="00357716">
        <w:rPr>
          <w:sz w:val="22"/>
          <w:szCs w:val="22"/>
        </w:rPr>
        <w:t xml:space="preserve"> </w:t>
      </w:r>
      <w:r w:rsidRPr="001769B4">
        <w:rPr>
          <w:sz w:val="22"/>
          <w:szCs w:val="22"/>
        </w:rPr>
        <w:t>ΑΕΠ εκτιμάται ότι θα ανέλθει το</w:t>
      </w:r>
      <w:r w:rsidR="00357716">
        <w:rPr>
          <w:sz w:val="22"/>
          <w:szCs w:val="22"/>
        </w:rPr>
        <w:t xml:space="preserve"> </w:t>
      </w:r>
      <w:r w:rsidRPr="001769B4">
        <w:rPr>
          <w:sz w:val="22"/>
          <w:szCs w:val="22"/>
        </w:rPr>
        <w:t>2019 σε 1,5 ποσοστιαίες μονάδες του ΑΕΠ, ήτοι σε επίπεδο υψηλότερο έναντι όλου του υπόλοιπου μ</w:t>
      </w:r>
      <w:r w:rsidRPr="001769B4">
        <w:rPr>
          <w:sz w:val="22"/>
          <w:szCs w:val="22"/>
        </w:rPr>
        <w:t>ε</w:t>
      </w:r>
      <w:r w:rsidRPr="001769B4">
        <w:rPr>
          <w:sz w:val="22"/>
          <w:szCs w:val="22"/>
        </w:rPr>
        <w:t xml:space="preserve">σοπρόθεσμου διαστήματος. </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 xml:space="preserve">Ο ρυθμός αύξησης της πραγματικής δημόσιας κατανάλωσης εκτιμάται ότι θα ενισχυθεί ελαφρώς το 2019, στο +0,6% από +0,2% το 2018, μετά από απώλειες 0,2% του πραγματικού ΑΕΠ κατά τη διετία 2016-2017. </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Η πραγματική ιδιωτική κατανάλωση αναμένεται να συμβάλει στην αύξηση του πραγματικού ΑΕΠ κατά 0,8 ποσοστιαίες μονάδες εκ του συνόλου των 2,5 ποσοστιαίων μονάδων της ανάπτυξης (από 0,7 π</w:t>
      </w:r>
      <w:r w:rsidRPr="001769B4">
        <w:rPr>
          <w:sz w:val="22"/>
          <w:szCs w:val="22"/>
        </w:rPr>
        <w:t>ο</w:t>
      </w:r>
      <w:r w:rsidRPr="001769B4">
        <w:rPr>
          <w:sz w:val="22"/>
          <w:szCs w:val="22"/>
        </w:rPr>
        <w:t>σοστιαίες μονάδες το 2018). Ο ετήσιος ρυθμός αύξησής της εκτιμάται στο 1,1%, εν μέσω εκτίμησης για αύξηση της ονομαστικής (πραγματικής) μισθολογικής δαπάνης στο σύνολο της οικονομίας κατά 3,3% (2,0%), καθώς και για αύξηση του μέσου μισθού (+1,4% το 2019 έναντι +1,2% το 2018).</w:t>
      </w:r>
    </w:p>
    <w:p w:rsidR="00306A49" w:rsidRPr="001769B4" w:rsidRDefault="00306A49" w:rsidP="00780119">
      <w:pPr>
        <w:ind w:right="-144"/>
        <w:jc w:val="both"/>
        <w:rPr>
          <w:sz w:val="22"/>
          <w:szCs w:val="22"/>
        </w:rPr>
      </w:pPr>
    </w:p>
    <w:p w:rsidR="001769B4" w:rsidRDefault="001769B4" w:rsidP="00780119">
      <w:pPr>
        <w:ind w:right="-144"/>
        <w:jc w:val="both"/>
        <w:rPr>
          <w:sz w:val="22"/>
          <w:szCs w:val="22"/>
        </w:rPr>
      </w:pPr>
      <w:r w:rsidRPr="001769B4">
        <w:rPr>
          <w:sz w:val="22"/>
          <w:szCs w:val="22"/>
        </w:rPr>
        <w:t>Η μικρότερη εκτιμώμενη αύξηση του μέσου μισθού έναντι της συνολικής μισθολογικής δαπάνης υπ</w:t>
      </w:r>
      <w:r w:rsidRPr="001769B4">
        <w:rPr>
          <w:sz w:val="22"/>
          <w:szCs w:val="22"/>
        </w:rPr>
        <w:t>ο</w:t>
      </w:r>
      <w:r w:rsidRPr="001769B4">
        <w:rPr>
          <w:sz w:val="22"/>
          <w:szCs w:val="22"/>
        </w:rPr>
        <w:t xml:space="preserve">δηλώνει τη συνέχιση της ανοδικής τάσης στην απασχόληση, με ετήσιο ρυθμό που εκτιμάται στο 1,4% το 2019. Ως αποτέλεσμα, η ανεργία αναμένεται να μειωθεί στο 18,2% του εργατικού δυναμικού βάσει Έρευνας Εργατικού Δυναμικού. </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Η συμβολή του εξωτερικού τομέα στην αύξηση του ΑΕΠ εκτιμάται ότι θα περιοριστεί σε οριακά θετικό επίπεδο (στο 0,1% του ΑΕΠ), καθώς η ενίσχυση των επενδύσεων αναμένεται να οδηγήσει σε συγκριτ</w:t>
      </w:r>
      <w:r w:rsidRPr="001769B4">
        <w:rPr>
          <w:sz w:val="22"/>
          <w:szCs w:val="22"/>
        </w:rPr>
        <w:t>ι</w:t>
      </w:r>
      <w:r w:rsidRPr="001769B4">
        <w:rPr>
          <w:sz w:val="22"/>
          <w:szCs w:val="22"/>
        </w:rPr>
        <w:t>κά μεγαλύτερη ανάκαμψη των εισαγωγών αγαθών έναντι των εξαγωγών αγαθών, αντισταθμίζοντας μ</w:t>
      </w:r>
      <w:r w:rsidRPr="001769B4">
        <w:rPr>
          <w:sz w:val="22"/>
          <w:szCs w:val="22"/>
        </w:rPr>
        <w:t>ε</w:t>
      </w:r>
      <w:r w:rsidRPr="001769B4">
        <w:rPr>
          <w:sz w:val="22"/>
          <w:szCs w:val="22"/>
        </w:rPr>
        <w:t>ρικώς τη θετική συνεισφορά του ισοζυγίου υπηρεσιών κατά 0,6% του ΑΕΠ.</w:t>
      </w:r>
      <w:r w:rsidR="00357716">
        <w:rPr>
          <w:sz w:val="22"/>
          <w:szCs w:val="22"/>
        </w:rPr>
        <w:t xml:space="preserve"> </w:t>
      </w:r>
    </w:p>
    <w:p w:rsidR="00306A49" w:rsidRPr="001769B4" w:rsidRDefault="00306A49" w:rsidP="00780119">
      <w:pPr>
        <w:ind w:right="-144"/>
        <w:jc w:val="both"/>
        <w:rPr>
          <w:sz w:val="22"/>
          <w:szCs w:val="22"/>
        </w:rPr>
      </w:pPr>
    </w:p>
    <w:p w:rsidR="001769B4" w:rsidRDefault="001769B4" w:rsidP="00780119">
      <w:pPr>
        <w:ind w:right="-144"/>
        <w:jc w:val="both"/>
        <w:rPr>
          <w:sz w:val="22"/>
          <w:szCs w:val="22"/>
        </w:rPr>
      </w:pPr>
      <w:r w:rsidRPr="001769B4">
        <w:rPr>
          <w:sz w:val="22"/>
          <w:szCs w:val="22"/>
        </w:rPr>
        <w:t>Ο πληθωρισμός αναμένεται να αυξηθεί το 2019, στο 1,2% έναντι 0,8% το 2018, ως συνισταμένη των διαφορετικών επιδράσεων από τη μειούμενη πλεονάζουσα δυναμικότητα, τον αυξανόμενο προστατε</w:t>
      </w:r>
      <w:r w:rsidRPr="001769B4">
        <w:rPr>
          <w:sz w:val="22"/>
          <w:szCs w:val="22"/>
        </w:rPr>
        <w:t>υ</w:t>
      </w:r>
      <w:r w:rsidRPr="001769B4">
        <w:rPr>
          <w:sz w:val="22"/>
          <w:szCs w:val="22"/>
        </w:rPr>
        <w:t>τισμό στο διεθνές εμπόριο, την πορεία της διεθνούς τιμής του πετρελαίου και τη διατήρηση των βασ</w:t>
      </w:r>
      <w:r w:rsidRPr="001769B4">
        <w:rPr>
          <w:sz w:val="22"/>
          <w:szCs w:val="22"/>
        </w:rPr>
        <w:t>ι</w:t>
      </w:r>
      <w:r w:rsidRPr="001769B4">
        <w:rPr>
          <w:sz w:val="22"/>
          <w:szCs w:val="22"/>
        </w:rPr>
        <w:t xml:space="preserve">κών επιτοκίων της ΕΚΤ στα σημερινά χαμηλά επίπεδα τουλάχιστον μέχρι το καλοκαίρι του 2019 (παρά την απόφαση για λήξη της ποσοτικής χαλάρωσης τον προσεχή Δεκέμβριο). </w:t>
      </w:r>
    </w:p>
    <w:p w:rsidR="00360902" w:rsidRPr="001769B4" w:rsidRDefault="00360902" w:rsidP="00780119">
      <w:pPr>
        <w:ind w:right="-144"/>
        <w:jc w:val="both"/>
        <w:rPr>
          <w:sz w:val="22"/>
          <w:szCs w:val="22"/>
        </w:rPr>
      </w:pPr>
    </w:p>
    <w:p w:rsidR="001769B4" w:rsidRDefault="001769B4" w:rsidP="00780119">
      <w:pPr>
        <w:ind w:right="-144"/>
        <w:jc w:val="both"/>
        <w:rPr>
          <w:sz w:val="22"/>
          <w:szCs w:val="22"/>
        </w:rPr>
      </w:pPr>
      <w:r w:rsidRPr="001769B4">
        <w:rPr>
          <w:sz w:val="22"/>
          <w:szCs w:val="22"/>
        </w:rPr>
        <w:t xml:space="preserve">Μετά την ομαλή εκπλήρωση των οροσήμων που, έναν χρόνο πριν, αποτελούσαν ζητούμενα για την </w:t>
      </w:r>
      <w:r w:rsidRPr="001769B4">
        <w:rPr>
          <w:sz w:val="22"/>
          <w:szCs w:val="22"/>
        </w:rPr>
        <w:t>α</w:t>
      </w:r>
      <w:r w:rsidRPr="001769B4">
        <w:rPr>
          <w:sz w:val="22"/>
          <w:szCs w:val="22"/>
        </w:rPr>
        <w:t>ναπτυξιακή προοπτική της χώρας (επιτυχής ολοκλήρωση του Προγράμματος στήριξης, δημιουργία τ</w:t>
      </w:r>
      <w:r w:rsidRPr="001769B4">
        <w:rPr>
          <w:sz w:val="22"/>
          <w:szCs w:val="22"/>
        </w:rPr>
        <w:t>α</w:t>
      </w:r>
      <w:r w:rsidRPr="001769B4">
        <w:rPr>
          <w:sz w:val="22"/>
          <w:szCs w:val="22"/>
        </w:rPr>
        <w:t>μειακού αποθέματος ασφαλείας, εφαρμογή μεσοπρόθεσμων μέτρων για το χρέος, αποκλιμάκωση των αποδόσεων των ελληνικών ομολόγων), οι εναπομένουσες δυσχέρειες στο εσωτερικό περιβάλλον συ</w:t>
      </w:r>
      <w:r w:rsidRPr="001769B4">
        <w:rPr>
          <w:sz w:val="22"/>
          <w:szCs w:val="22"/>
        </w:rPr>
        <w:t>γ</w:t>
      </w:r>
      <w:r w:rsidRPr="001769B4">
        <w:rPr>
          <w:sz w:val="22"/>
          <w:szCs w:val="22"/>
        </w:rPr>
        <w:t>κεντρώνονται γύρω από τη ρευστότητα της πραγματικής οικονομίας, τις πηγές και τις δυνατότητες χρηματοδότησής της. Στην κατεύθυνση αντιμετώπισης των συναφών αδυναμιών κινείται η εξόφληση των ληξιπρόθεσμων οφειλών του ελληνικού Δημοσίου προς τον ιδιωτικό τομέα και τα εργαλεία διαχε</w:t>
      </w:r>
      <w:r w:rsidRPr="001769B4">
        <w:rPr>
          <w:sz w:val="22"/>
          <w:szCs w:val="22"/>
        </w:rPr>
        <w:t>ί</w:t>
      </w:r>
      <w:r w:rsidRPr="001769B4">
        <w:rPr>
          <w:sz w:val="22"/>
          <w:szCs w:val="22"/>
        </w:rPr>
        <w:t>ρισης των μη εξυπηρετούμενων δανείων στο ελληνικό τραπεζικό σύστημα (δευτερογενής αγορά δανε</w:t>
      </w:r>
      <w:r w:rsidRPr="001769B4">
        <w:rPr>
          <w:sz w:val="22"/>
          <w:szCs w:val="22"/>
        </w:rPr>
        <w:t>ί</w:t>
      </w:r>
      <w:r w:rsidRPr="001769B4">
        <w:rPr>
          <w:sz w:val="22"/>
          <w:szCs w:val="22"/>
        </w:rPr>
        <w:t>ων, ηλεκτρονικοί πλειστηριασμοί, μηχανισμός εξωδικαστικού συμβιβασμού).</w:t>
      </w:r>
      <w:r w:rsidR="00357716">
        <w:rPr>
          <w:sz w:val="22"/>
          <w:szCs w:val="22"/>
        </w:rPr>
        <w:t xml:space="preserve"> </w:t>
      </w:r>
    </w:p>
    <w:p w:rsidR="00360902" w:rsidRPr="001769B4" w:rsidRDefault="00360902" w:rsidP="00780119">
      <w:pPr>
        <w:ind w:right="-144"/>
        <w:jc w:val="both"/>
        <w:rPr>
          <w:sz w:val="22"/>
          <w:szCs w:val="22"/>
        </w:rPr>
      </w:pPr>
    </w:p>
    <w:p w:rsidR="001769B4" w:rsidRPr="001769B4" w:rsidRDefault="001769B4" w:rsidP="00780119">
      <w:pPr>
        <w:ind w:right="-144"/>
        <w:jc w:val="both"/>
        <w:rPr>
          <w:sz w:val="22"/>
          <w:szCs w:val="22"/>
        </w:rPr>
      </w:pPr>
      <w:r w:rsidRPr="001769B4">
        <w:rPr>
          <w:sz w:val="22"/>
          <w:szCs w:val="22"/>
        </w:rPr>
        <w:t>Ωστόσο, καθώς οι παράγοντες κινδύνου για την ελληνική οικονομία μετατοπίζονται σταδιακά από το εσωτερικό στο εξωτερικό περιβάλλον, η επαλήθευση των τρεχουσών προβλέψεων για το 2019 εξαρτ</w:t>
      </w:r>
      <w:r w:rsidR="00430F34">
        <w:rPr>
          <w:sz w:val="22"/>
          <w:szCs w:val="22"/>
        </w:rPr>
        <w:t>ά</w:t>
      </w:r>
      <w:r w:rsidRPr="001769B4">
        <w:rPr>
          <w:sz w:val="22"/>
          <w:szCs w:val="22"/>
        </w:rPr>
        <w:t>ται βαθμιαία περισσότερο από την επικράτηση ομαλών συνθηκών στο διεθνές γεωπολιτικό και οικον</w:t>
      </w:r>
      <w:r w:rsidRPr="001769B4">
        <w:rPr>
          <w:sz w:val="22"/>
          <w:szCs w:val="22"/>
        </w:rPr>
        <w:t>ο</w:t>
      </w:r>
      <w:r w:rsidRPr="001769B4">
        <w:rPr>
          <w:sz w:val="22"/>
          <w:szCs w:val="22"/>
        </w:rPr>
        <w:t xml:space="preserve">μικό περιβάλλον, </w:t>
      </w:r>
      <w:r w:rsidR="00622222">
        <w:rPr>
          <w:sz w:val="22"/>
          <w:szCs w:val="22"/>
        </w:rPr>
        <w:t xml:space="preserve">εν μέσω </w:t>
      </w:r>
      <w:r w:rsidRPr="001769B4">
        <w:rPr>
          <w:sz w:val="22"/>
          <w:szCs w:val="22"/>
        </w:rPr>
        <w:t>μίας δυνητικής κλιμάκωσης των εμπορικών εντάσεων και του εμπορικού προστατευτισμού, των γεωπολιτ</w:t>
      </w:r>
      <w:r w:rsidR="00622222">
        <w:rPr>
          <w:sz w:val="22"/>
          <w:szCs w:val="22"/>
        </w:rPr>
        <w:t>ικών εντάσεων που τροφοδοτούν την προσφυγική</w:t>
      </w:r>
      <w:r w:rsidRPr="001769B4">
        <w:rPr>
          <w:sz w:val="22"/>
          <w:szCs w:val="22"/>
        </w:rPr>
        <w:t xml:space="preserve"> </w:t>
      </w:r>
      <w:r w:rsidR="00622222">
        <w:rPr>
          <w:sz w:val="22"/>
          <w:szCs w:val="22"/>
        </w:rPr>
        <w:t>κρίση</w:t>
      </w:r>
      <w:r w:rsidRPr="001769B4">
        <w:rPr>
          <w:sz w:val="22"/>
          <w:szCs w:val="22"/>
        </w:rPr>
        <w:t>, αλλά και των διαταραχών στην πολιτική σταθερότητα ισχυρών οικονομιών της Ευρωζώνης που δυνητικά αυξάνουν την αβεβαιότητα στις διεθνείς αγορές.</w:t>
      </w: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1769B4" w:rsidRPr="001769B4" w:rsidRDefault="001769B4" w:rsidP="00780119">
      <w:pPr>
        <w:ind w:right="-144"/>
        <w:jc w:val="both"/>
        <w:rPr>
          <w:sz w:val="22"/>
          <w:szCs w:val="22"/>
        </w:rPr>
      </w:pPr>
    </w:p>
    <w:p w:rsidR="00AB1CFE" w:rsidRDefault="00AB1CFE" w:rsidP="00780119">
      <w:pPr>
        <w:ind w:right="-144"/>
        <w:jc w:val="both"/>
        <w:rPr>
          <w:sz w:val="22"/>
          <w:szCs w:val="22"/>
        </w:rPr>
      </w:pPr>
    </w:p>
    <w:p w:rsidR="00AE4539" w:rsidRDefault="00AE4539" w:rsidP="00780119">
      <w:pPr>
        <w:spacing w:before="60" w:after="120"/>
        <w:ind w:right="-144"/>
        <w:jc w:val="both"/>
        <w:rPr>
          <w:sz w:val="22"/>
          <w:szCs w:val="22"/>
        </w:rPr>
      </w:pPr>
    </w:p>
    <w:p w:rsidR="001769B4" w:rsidRDefault="001769B4" w:rsidP="00780119">
      <w:pPr>
        <w:spacing w:before="60" w:after="120"/>
        <w:ind w:right="-144"/>
        <w:jc w:val="both"/>
        <w:rPr>
          <w:sz w:val="22"/>
          <w:szCs w:val="22"/>
        </w:rPr>
      </w:pPr>
    </w:p>
    <w:p w:rsidR="000B32E1" w:rsidRDefault="000B32E1" w:rsidP="00780119">
      <w:pPr>
        <w:spacing w:before="60" w:after="120"/>
        <w:ind w:right="-144"/>
        <w:jc w:val="both"/>
        <w:rPr>
          <w:sz w:val="22"/>
          <w:szCs w:val="22"/>
        </w:rPr>
      </w:pPr>
    </w:p>
    <w:p w:rsidR="000B32E1" w:rsidRDefault="000B32E1" w:rsidP="00780119">
      <w:pPr>
        <w:spacing w:before="60" w:after="120"/>
        <w:ind w:right="-144"/>
        <w:jc w:val="both"/>
        <w:rPr>
          <w:sz w:val="22"/>
          <w:szCs w:val="22"/>
        </w:rPr>
      </w:pPr>
    </w:p>
    <w:p w:rsidR="000B32E1" w:rsidRDefault="000B32E1" w:rsidP="00780119">
      <w:pPr>
        <w:spacing w:before="60" w:after="120"/>
        <w:ind w:right="-144"/>
        <w:jc w:val="both"/>
        <w:rPr>
          <w:sz w:val="22"/>
          <w:szCs w:val="22"/>
        </w:rPr>
      </w:pPr>
    </w:p>
    <w:p w:rsidR="00AE4539" w:rsidRPr="00A4738E" w:rsidRDefault="00AE4539" w:rsidP="00780119">
      <w:pPr>
        <w:spacing w:before="60" w:after="120"/>
        <w:ind w:right="-144"/>
        <w:jc w:val="both"/>
        <w:rPr>
          <w:i/>
          <w:sz w:val="22"/>
          <w:szCs w:val="22"/>
        </w:rPr>
      </w:pPr>
    </w:p>
    <w:p w:rsidR="00AE4539" w:rsidRPr="00AE4539" w:rsidRDefault="00AE4539" w:rsidP="00780119">
      <w:pPr>
        <w:jc w:val="both"/>
        <w:rPr>
          <w:b/>
          <w:color w:val="000080"/>
          <w:sz w:val="22"/>
          <w:szCs w:val="22"/>
        </w:rPr>
      </w:pPr>
    </w:p>
    <w:p w:rsidR="00AE4539" w:rsidRPr="00AE4539" w:rsidRDefault="00AE4539" w:rsidP="00780119">
      <w:pPr>
        <w:jc w:val="both"/>
        <w:rPr>
          <w:b/>
          <w:color w:val="000080"/>
          <w:sz w:val="22"/>
          <w:szCs w:val="22"/>
        </w:rPr>
      </w:pPr>
    </w:p>
    <w:p w:rsidR="00AE4539" w:rsidRPr="00AE4539" w:rsidRDefault="00AE4539" w:rsidP="00780119">
      <w:pPr>
        <w:jc w:val="both"/>
        <w:rPr>
          <w:rFonts w:ascii="Arial Narrow" w:hAnsi="Arial Narrow"/>
          <w:b/>
          <w:color w:val="000080"/>
          <w:sz w:val="22"/>
          <w:szCs w:val="22"/>
        </w:rPr>
      </w:pPr>
    </w:p>
    <w:p w:rsidR="00AB1CFE" w:rsidRDefault="00AB1CFE" w:rsidP="00780119">
      <w:pPr>
        <w:pStyle w:val="a0"/>
        <w:widowControl w:val="0"/>
        <w:tabs>
          <w:tab w:val="left" w:pos="426"/>
        </w:tabs>
      </w:pPr>
      <w:bookmarkStart w:id="1" w:name="h.gjdgxs" w:colFirst="0" w:colLast="0"/>
      <w:bookmarkEnd w:id="0"/>
      <w:bookmarkEnd w:id="1"/>
    </w:p>
    <w:p w:rsidR="00AB1CFE" w:rsidRDefault="00AB1CFE" w:rsidP="00780119">
      <w:pPr>
        <w:pStyle w:val="a0"/>
        <w:widowControl w:val="0"/>
        <w:tabs>
          <w:tab w:val="left" w:pos="426"/>
        </w:tabs>
      </w:pPr>
    </w:p>
    <w:sectPr w:rsidR="00AB1CFE" w:rsidSect="005B79E0">
      <w:headerReference w:type="even" r:id="rId11"/>
      <w:headerReference w:type="default" r:id="rId12"/>
      <w:footerReference w:type="even" r:id="rId13"/>
      <w:footerReference w:type="default" r:id="rId14"/>
      <w:type w:val="continuous"/>
      <w:pgSz w:w="11906" w:h="16838" w:code="9"/>
      <w:pgMar w:top="1418" w:right="1247" w:bottom="1418" w:left="158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5D" w:rsidRDefault="00ED645D">
      <w:r>
        <w:separator/>
      </w:r>
    </w:p>
  </w:endnote>
  <w:endnote w:type="continuationSeparator" w:id="0">
    <w:p w:rsidR="00ED645D" w:rsidRDefault="00ED64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E7" w:rsidRPr="00BF5740" w:rsidRDefault="00D37F95" w:rsidP="00F85CFF">
    <w:pPr>
      <w:pStyle w:val="a5"/>
      <w:jc w:val="both"/>
      <w:rPr>
        <w:color w:val="333333"/>
      </w:rPr>
    </w:pPr>
    <w:r w:rsidRPr="00715F2C">
      <w:rPr>
        <w:rStyle w:val="a6"/>
        <w:b/>
        <w:sz w:val="28"/>
      </w:rPr>
      <w:fldChar w:fldCharType="begin"/>
    </w:r>
    <w:r w:rsidR="00B92CE7" w:rsidRPr="00715F2C">
      <w:rPr>
        <w:rStyle w:val="a6"/>
        <w:b/>
        <w:sz w:val="28"/>
      </w:rPr>
      <w:instrText xml:space="preserve"> PAGE </w:instrText>
    </w:r>
    <w:r w:rsidRPr="00715F2C">
      <w:rPr>
        <w:rStyle w:val="a6"/>
        <w:b/>
        <w:sz w:val="28"/>
      </w:rPr>
      <w:fldChar w:fldCharType="separate"/>
    </w:r>
    <w:r w:rsidR="00E642C3">
      <w:rPr>
        <w:rStyle w:val="a6"/>
        <w:b/>
        <w:noProof/>
        <w:sz w:val="28"/>
      </w:rPr>
      <w:t>32</w:t>
    </w:r>
    <w:r w:rsidRPr="00715F2C">
      <w:rPr>
        <w:rStyle w:val="a6"/>
        <w:b/>
        <w:sz w:val="28"/>
      </w:rPr>
      <w:fldChar w:fldCharType="end"/>
    </w:r>
    <w:r w:rsidR="00B92CE7">
      <w:rPr>
        <w:rStyle w:val="a6"/>
        <w:b/>
        <w:color w:val="000080"/>
        <w:sz w:val="28"/>
      </w:rPr>
      <w:t xml:space="preserve">  </w:t>
    </w:r>
    <w:r w:rsidR="00B92CE7" w:rsidRPr="008857CA">
      <w:rPr>
        <w:rFonts w:ascii="Arial Narrow" w:hAnsi="Arial Narrow"/>
        <w:color w:val="333333"/>
        <w:sz w:val="22"/>
      </w:rPr>
      <w:t xml:space="preserve">ΚΡΑΤΙΚΟΣ ΠΡΟΫΠΟΛΟΓΙΣΜΟΣ </w:t>
    </w:r>
    <w:r w:rsidR="00B92CE7">
      <w:rPr>
        <w:rFonts w:ascii="Arial Narrow" w:hAnsi="Arial Narrow"/>
        <w:color w:val="333333"/>
        <w:sz w:val="22"/>
      </w:rPr>
      <w:t>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E7" w:rsidRPr="00D40E4A" w:rsidRDefault="00B92CE7" w:rsidP="00D40E4A">
    <w:pPr>
      <w:pStyle w:val="a5"/>
      <w:jc w:val="right"/>
      <w:rPr>
        <w:rFonts w:ascii="Arial Narrow" w:hAnsi="Arial Narrow"/>
        <w:sz w:val="22"/>
      </w:rPr>
    </w:pPr>
    <w:r w:rsidRPr="008857CA">
      <w:rPr>
        <w:rFonts w:ascii="Arial Narrow" w:hAnsi="Arial Narrow"/>
        <w:color w:val="333333"/>
        <w:sz w:val="22"/>
      </w:rPr>
      <w:t xml:space="preserve">ΚΡΑΤΙΚΟΣ ΠΡΟΫΠΟΛΟΓΙΣΜΟΣ </w:t>
    </w:r>
    <w:r>
      <w:rPr>
        <w:rFonts w:ascii="Arial Narrow" w:hAnsi="Arial Narrow"/>
        <w:color w:val="333333"/>
        <w:sz w:val="22"/>
      </w:rPr>
      <w:t xml:space="preserve">2019  </w:t>
    </w:r>
    <w:r w:rsidR="00D37F95" w:rsidRPr="00715F2C">
      <w:rPr>
        <w:rStyle w:val="a6"/>
        <w:b/>
        <w:sz w:val="28"/>
      </w:rPr>
      <w:fldChar w:fldCharType="begin"/>
    </w:r>
    <w:r w:rsidRPr="00715F2C">
      <w:rPr>
        <w:rStyle w:val="a6"/>
        <w:b/>
        <w:sz w:val="28"/>
      </w:rPr>
      <w:instrText xml:space="preserve"> PAGE </w:instrText>
    </w:r>
    <w:r w:rsidR="00D37F95" w:rsidRPr="00715F2C">
      <w:rPr>
        <w:rStyle w:val="a6"/>
        <w:b/>
        <w:sz w:val="28"/>
      </w:rPr>
      <w:fldChar w:fldCharType="separate"/>
    </w:r>
    <w:r w:rsidR="00E642C3">
      <w:rPr>
        <w:rStyle w:val="a6"/>
        <w:b/>
        <w:noProof/>
        <w:sz w:val="28"/>
      </w:rPr>
      <w:t>31</w:t>
    </w:r>
    <w:r w:rsidR="00D37F95" w:rsidRPr="00715F2C">
      <w:rPr>
        <w:rStyle w:val="a6"/>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5D" w:rsidRDefault="00ED645D">
      <w:r>
        <w:separator/>
      </w:r>
    </w:p>
  </w:footnote>
  <w:footnote w:type="continuationSeparator" w:id="0">
    <w:p w:rsidR="00ED645D" w:rsidRDefault="00ED645D">
      <w:r>
        <w:continuationSeparator/>
      </w:r>
    </w:p>
  </w:footnote>
  <w:footnote w:id="1">
    <w:p w:rsidR="00B92CE7" w:rsidRPr="00AA01E7" w:rsidRDefault="00B92CE7" w:rsidP="00AA01E7">
      <w:pPr>
        <w:pStyle w:val="a8"/>
        <w:tabs>
          <w:tab w:val="left" w:pos="142"/>
        </w:tabs>
        <w:ind w:left="142" w:hanging="142"/>
        <w:jc w:val="both"/>
        <w:rPr>
          <w:rFonts w:ascii="Arial Narrow" w:hAnsi="Arial Narrow"/>
          <w:sz w:val="18"/>
          <w:szCs w:val="18"/>
          <w:lang w:val="el-GR"/>
        </w:rPr>
      </w:pPr>
      <w:r w:rsidRPr="00857BE0">
        <w:rPr>
          <w:rStyle w:val="a9"/>
          <w:rFonts w:ascii="Arial Narrow" w:hAnsi="Arial Narrow"/>
          <w:sz w:val="18"/>
          <w:szCs w:val="18"/>
        </w:rPr>
        <w:footnoteRef/>
      </w:r>
      <w:r>
        <w:rPr>
          <w:rFonts w:ascii="Arial Narrow" w:hAnsi="Arial Narrow"/>
          <w:sz w:val="18"/>
          <w:szCs w:val="18"/>
          <w:lang w:val="el-GR"/>
        </w:rPr>
        <w:t xml:space="preserve"> Ο ρυθμός μεταβολής του παγκόσμιου ΑΕΠ (εκτός ζώνης ευρώ), από την ΕΚΤ, εκτιμάται σε 3,9% για το 2018 και 3,7% για το 2019, από 4,0% και 3,9%, σύμφωνα με την έκθεση του Ιουνίου. Η αναθεώρηση προς τα κάτω για το 2018 συγκριτικά με τον Ιούνιο του ίδιου έτους αντικατοπτρίζει κυρίως τις ασθενέστερες προοπτικές σε ορισμένες οικονομίες με αναδυόμενες αγορές.</w:t>
      </w:r>
    </w:p>
  </w:footnote>
  <w:footnote w:id="2">
    <w:p w:rsidR="00B92CE7" w:rsidRPr="00AA01E7" w:rsidRDefault="00B92CE7" w:rsidP="00AA01E7">
      <w:pPr>
        <w:pStyle w:val="a8"/>
        <w:tabs>
          <w:tab w:val="left" w:pos="142"/>
        </w:tabs>
        <w:ind w:left="142" w:hanging="142"/>
        <w:jc w:val="both"/>
        <w:rPr>
          <w:rFonts w:ascii="Arial Narrow" w:hAnsi="Arial Narrow"/>
          <w:sz w:val="18"/>
          <w:szCs w:val="18"/>
          <w:lang w:val="el-GR"/>
        </w:rPr>
      </w:pPr>
      <w:r w:rsidRPr="00857BE0">
        <w:rPr>
          <w:rStyle w:val="a9"/>
          <w:rFonts w:ascii="Arial Narrow" w:hAnsi="Arial Narrow"/>
          <w:sz w:val="18"/>
          <w:szCs w:val="18"/>
        </w:rPr>
        <w:footnoteRef/>
      </w:r>
      <w:r>
        <w:rPr>
          <w:rFonts w:ascii="Arial Narrow" w:hAnsi="Arial Narrow"/>
          <w:sz w:val="18"/>
          <w:szCs w:val="18"/>
          <w:lang w:val="el-GR"/>
        </w:rPr>
        <w:t xml:space="preserve"> </w:t>
      </w:r>
      <w:r>
        <w:rPr>
          <w:rFonts w:ascii="Arial Narrow" w:hAnsi="Arial Narrow"/>
          <w:sz w:val="18"/>
          <w:szCs w:val="18"/>
          <w:lang w:val="el-GR"/>
        </w:rPr>
        <w:tab/>
        <w:t>Σύμφωνα με τις προβλέψεις της Ευρωπαϊκής Επιτροπής, ο ρυθμός μεταβολής του ΑΕΠ της Ευρωζώνης εκτιμάται σε 2,1% και 2,0% για το 2018 και 2019 αντίστοιχα, με την πρόβλεψη για το 2018 να είναι μειωμένη κατά 0,2% σε σχέση με τη προηγούμενη έκθεση</w:t>
      </w:r>
      <w:r w:rsidR="00A32E90">
        <w:rPr>
          <w:rFonts w:ascii="Arial Narrow" w:hAnsi="Arial Narrow"/>
          <w:sz w:val="18"/>
          <w:szCs w:val="18"/>
          <w:lang w:val="el-GR"/>
        </w:rPr>
        <w:t xml:space="preserve"> </w:t>
      </w:r>
      <w:r>
        <w:rPr>
          <w:rFonts w:ascii="Arial Narrow" w:hAnsi="Arial Narrow"/>
          <w:sz w:val="18"/>
          <w:szCs w:val="18"/>
        </w:rPr>
        <w:t>S</w:t>
      </w:r>
      <w:r w:rsidRPr="00857BE0">
        <w:rPr>
          <w:rFonts w:ascii="Arial Narrow" w:hAnsi="Arial Narrow"/>
          <w:sz w:val="18"/>
          <w:szCs w:val="18"/>
        </w:rPr>
        <w:t>ummer</w:t>
      </w:r>
      <w:r>
        <w:rPr>
          <w:rFonts w:ascii="Arial Narrow" w:hAnsi="Arial Narrow"/>
          <w:sz w:val="18"/>
          <w:szCs w:val="18"/>
          <w:lang w:val="el-GR"/>
        </w:rPr>
        <w:t xml:space="preserve"> (</w:t>
      </w:r>
      <w:r w:rsidRPr="00857BE0">
        <w:rPr>
          <w:rFonts w:ascii="Arial Narrow" w:hAnsi="Arial Narrow"/>
          <w:sz w:val="18"/>
          <w:szCs w:val="18"/>
        </w:rPr>
        <w:t>interim</w:t>
      </w:r>
      <w:r>
        <w:rPr>
          <w:rFonts w:ascii="Arial Narrow" w:hAnsi="Arial Narrow"/>
          <w:sz w:val="18"/>
          <w:szCs w:val="18"/>
          <w:lang w:val="el-GR"/>
        </w:rPr>
        <w:t xml:space="preserve">) </w:t>
      </w:r>
      <w:r>
        <w:rPr>
          <w:rFonts w:ascii="Arial Narrow" w:hAnsi="Arial Narrow"/>
          <w:sz w:val="18"/>
          <w:szCs w:val="18"/>
        </w:rPr>
        <w:t>F</w:t>
      </w:r>
      <w:r w:rsidRPr="00857BE0">
        <w:rPr>
          <w:rFonts w:ascii="Arial Narrow" w:hAnsi="Arial Narrow"/>
          <w:sz w:val="18"/>
          <w:szCs w:val="18"/>
        </w:rPr>
        <w:t>orecast</w:t>
      </w:r>
      <w:r w:rsidRPr="00410E4E">
        <w:rPr>
          <w:rFonts w:ascii="Arial Narrow" w:hAnsi="Arial Narrow"/>
          <w:sz w:val="18"/>
          <w:szCs w:val="18"/>
          <w:lang w:val="el-GR"/>
        </w:rPr>
        <w:t xml:space="preserve"> </w:t>
      </w:r>
      <w:r>
        <w:rPr>
          <w:rFonts w:ascii="Arial Narrow" w:hAnsi="Arial Narrow"/>
          <w:sz w:val="18"/>
          <w:szCs w:val="18"/>
          <w:lang w:val="el-GR"/>
        </w:rPr>
        <w:t>του Ιουλίου 2018.</w:t>
      </w:r>
    </w:p>
  </w:footnote>
  <w:footnote w:id="3">
    <w:p w:rsidR="00B92CE7" w:rsidRPr="00AA01E7" w:rsidRDefault="00B92CE7" w:rsidP="00AA01E7">
      <w:pPr>
        <w:pStyle w:val="a8"/>
        <w:tabs>
          <w:tab w:val="left" w:pos="142"/>
        </w:tabs>
        <w:ind w:left="142" w:hanging="142"/>
        <w:jc w:val="both"/>
        <w:rPr>
          <w:rFonts w:ascii="Arial Narrow" w:hAnsi="Arial Narrow"/>
          <w:sz w:val="18"/>
          <w:szCs w:val="18"/>
          <w:lang w:val="el-GR"/>
        </w:rPr>
      </w:pPr>
      <w:r w:rsidRPr="00857BE0">
        <w:rPr>
          <w:rStyle w:val="a9"/>
          <w:rFonts w:ascii="Arial Narrow" w:hAnsi="Arial Narrow"/>
          <w:sz w:val="18"/>
          <w:szCs w:val="18"/>
        </w:rPr>
        <w:footnoteRef/>
      </w:r>
      <w:r>
        <w:rPr>
          <w:rFonts w:ascii="Arial Narrow" w:hAnsi="Arial Narrow"/>
          <w:sz w:val="18"/>
          <w:szCs w:val="18"/>
          <w:lang w:val="el-GR"/>
        </w:rPr>
        <w:t xml:space="preserve"> </w:t>
      </w:r>
      <w:r>
        <w:rPr>
          <w:rFonts w:ascii="Arial Narrow" w:hAnsi="Arial Narrow"/>
          <w:sz w:val="18"/>
          <w:szCs w:val="18"/>
          <w:lang w:val="el-GR"/>
        </w:rPr>
        <w:tab/>
        <w:t>«Μακροοικονομικές προβολές εμπειρογνωμόνων της ΕΚΤ για τη ζώνη του ευρώ», Ευρωπαϊκή Κεντρική Τράπεζα, Σεπτέμβριος 2018.</w:t>
      </w:r>
    </w:p>
  </w:footnote>
  <w:footnote w:id="4">
    <w:p w:rsidR="00B92CE7" w:rsidRDefault="00B92CE7">
      <w:pPr>
        <w:pStyle w:val="a8"/>
        <w:tabs>
          <w:tab w:val="left" w:pos="142"/>
        </w:tabs>
        <w:ind w:left="142" w:hanging="142"/>
        <w:jc w:val="both"/>
        <w:rPr>
          <w:rStyle w:val="a9"/>
          <w:rFonts w:ascii="Arial Narrow" w:hAnsi="Arial Narrow"/>
          <w:sz w:val="18"/>
          <w:szCs w:val="18"/>
        </w:rPr>
      </w:pPr>
      <w:r w:rsidRPr="00DA1881">
        <w:rPr>
          <w:rStyle w:val="a9"/>
          <w:rFonts w:ascii="Arial Narrow" w:hAnsi="Arial Narrow"/>
          <w:sz w:val="18"/>
          <w:szCs w:val="18"/>
        </w:rPr>
        <w:footnoteRef/>
      </w:r>
      <w:r w:rsidRPr="00DA1881">
        <w:rPr>
          <w:rStyle w:val="a9"/>
          <w:rFonts w:ascii="Arial Narrow" w:hAnsi="Arial Narrow"/>
          <w:sz w:val="18"/>
          <w:szCs w:val="18"/>
        </w:rPr>
        <w:t xml:space="preserve"> </w:t>
      </w:r>
      <w:r w:rsidRPr="00DA1881">
        <w:rPr>
          <w:rStyle w:val="a9"/>
          <w:rFonts w:ascii="Arial Narrow" w:hAnsi="Arial Narrow"/>
          <w:sz w:val="18"/>
          <w:szCs w:val="18"/>
        </w:rPr>
        <w:tab/>
      </w:r>
      <w:r w:rsidRPr="00DA1881">
        <w:rPr>
          <w:rStyle w:val="a9"/>
          <w:rFonts w:ascii="Arial Narrow" w:hAnsi="Arial Narrow"/>
          <w:sz w:val="18"/>
          <w:szCs w:val="18"/>
          <w:vertAlign w:val="baseline"/>
        </w:rPr>
        <w:t>Βλ. υποσημείωση 3</w:t>
      </w:r>
      <w:r w:rsidRPr="00DA1881">
        <w:rPr>
          <w:rStyle w:val="a9"/>
          <w:rFonts w:ascii="Arial Narrow" w:hAnsi="Arial Narrow"/>
          <w:sz w:val="18"/>
          <w:szCs w:val="18"/>
        </w:rPr>
        <w:t>.</w:t>
      </w:r>
    </w:p>
  </w:footnote>
  <w:footnote w:id="5">
    <w:p w:rsidR="00B92CE7" w:rsidRDefault="00B92CE7">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sidRPr="00DA1881">
        <w:rPr>
          <w:rFonts w:ascii="Arial Narrow" w:hAnsi="Arial Narrow"/>
          <w:sz w:val="18"/>
          <w:szCs w:val="18"/>
          <w:lang w:val="el-GR"/>
        </w:rPr>
        <w:t xml:space="preserve"> </w:t>
      </w:r>
      <w:r w:rsidRPr="00DA1881">
        <w:rPr>
          <w:rFonts w:ascii="Arial Narrow" w:hAnsi="Arial Narrow"/>
          <w:sz w:val="18"/>
          <w:szCs w:val="18"/>
          <w:lang w:val="el-GR"/>
        </w:rPr>
        <w:tab/>
      </w:r>
      <w:r>
        <w:rPr>
          <w:rFonts w:ascii="Arial Narrow" w:hAnsi="Arial Narrow"/>
          <w:sz w:val="18"/>
          <w:szCs w:val="18"/>
          <w:lang w:val="el-GR"/>
        </w:rPr>
        <w:t>Α</w:t>
      </w:r>
      <w:r w:rsidRPr="00DA1881">
        <w:rPr>
          <w:rFonts w:ascii="Arial Narrow" w:hAnsi="Arial Narrow"/>
          <w:sz w:val="18"/>
          <w:szCs w:val="18"/>
          <w:lang w:val="el-GR"/>
        </w:rPr>
        <w:t>πό το</w:t>
      </w:r>
      <w:r>
        <w:rPr>
          <w:rFonts w:ascii="Arial Narrow" w:hAnsi="Arial Narrow"/>
          <w:sz w:val="18"/>
          <w:szCs w:val="18"/>
          <w:lang w:val="el-GR"/>
        </w:rPr>
        <w:t>ν</w:t>
      </w:r>
      <w:r w:rsidRPr="00DA1881">
        <w:rPr>
          <w:rFonts w:ascii="Arial Narrow" w:hAnsi="Arial Narrow"/>
          <w:sz w:val="18"/>
          <w:szCs w:val="18"/>
          <w:lang w:val="el-GR"/>
        </w:rPr>
        <w:t xml:space="preserve"> Μάρτιο του 2016 το επιτόκιο στις πράξεις κύριας αναχρηματοδότησης του Ευρωσυστήματος έχει μειωθεί σε 0%, το επιτόκιο στην πάγια διευκόλυνσης οριακής αναχρηματοδότησης σε 0,25% και το επιτόκιο στην πάγια διευκόλυνση αποδοχής καταθέσεων σε</w:t>
      </w:r>
      <w:r>
        <w:rPr>
          <w:rFonts w:ascii="Arial Narrow" w:hAnsi="Arial Narrow"/>
          <w:sz w:val="18"/>
          <w:szCs w:val="18"/>
          <w:lang w:val="el-GR"/>
        </w:rPr>
        <w:t xml:space="preserve">   </w:t>
      </w:r>
      <w:r w:rsidRPr="00DA1881">
        <w:rPr>
          <w:rFonts w:ascii="Arial Narrow" w:hAnsi="Arial Narrow"/>
          <w:sz w:val="18"/>
          <w:szCs w:val="18"/>
          <w:lang w:val="el-GR"/>
        </w:rPr>
        <w:t xml:space="preserve"> -0,40%.</w:t>
      </w:r>
    </w:p>
  </w:footnote>
  <w:footnote w:id="6">
    <w:p w:rsidR="00B92CE7" w:rsidRDefault="00B92CE7">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sidRPr="00DA1881">
        <w:rPr>
          <w:rFonts w:ascii="Arial Narrow" w:hAnsi="Arial Narrow"/>
          <w:sz w:val="18"/>
          <w:szCs w:val="18"/>
          <w:lang w:val="el-GR"/>
        </w:rPr>
        <w:t xml:space="preserve"> </w:t>
      </w:r>
      <w:r w:rsidRPr="00DA1881">
        <w:rPr>
          <w:rFonts w:ascii="Arial Narrow" w:hAnsi="Arial Narrow"/>
          <w:sz w:val="18"/>
          <w:szCs w:val="18"/>
          <w:lang w:val="el-GR"/>
        </w:rPr>
        <w:tab/>
        <w:t>Το πρόγραμμα αυτό περιλαμβάνει το πρόγραμμα αγοράς προϊόντων τιτλοποίησης, το πρόγραμμα αγοράς καλυμμένων ομολογιών, το πρόγραμμα αγοράς τίτλων δημόσιου τομέα και το πρόγραμμα αγοράς εταιρικών ομολόγων μη χρηματοπιστωτικών επιχειρήσεων.</w:t>
      </w:r>
    </w:p>
  </w:footnote>
  <w:footnote w:id="7">
    <w:p w:rsidR="00B92CE7" w:rsidRDefault="00B92CE7">
      <w:pPr>
        <w:tabs>
          <w:tab w:val="left" w:pos="142"/>
        </w:tabs>
        <w:ind w:left="142" w:hanging="142"/>
        <w:jc w:val="both"/>
        <w:rPr>
          <w:rFonts w:ascii="Arial Narrow" w:hAnsi="Arial Narrow"/>
          <w:sz w:val="18"/>
          <w:szCs w:val="18"/>
        </w:rPr>
      </w:pPr>
      <w:r w:rsidRPr="00DA1881">
        <w:rPr>
          <w:rStyle w:val="a9"/>
          <w:rFonts w:ascii="Arial Narrow" w:hAnsi="Arial Narrow"/>
          <w:sz w:val="18"/>
          <w:szCs w:val="18"/>
        </w:rPr>
        <w:footnoteRef/>
      </w:r>
      <w:r>
        <w:rPr>
          <w:rFonts w:ascii="Arial Narrow" w:hAnsi="Arial Narrow"/>
          <w:sz w:val="18"/>
          <w:szCs w:val="18"/>
        </w:rPr>
        <w:tab/>
      </w:r>
      <w:r w:rsidRPr="00DA1881">
        <w:rPr>
          <w:rFonts w:ascii="Arial Narrow" w:hAnsi="Arial Narrow"/>
          <w:sz w:val="18"/>
          <w:szCs w:val="18"/>
        </w:rPr>
        <w:t>Μετά την ολοκλήρωση της τέταρτης αξιολόγησης αποκλείστηκε το ενδεχόμενο να εν</w:t>
      </w:r>
      <w:r>
        <w:rPr>
          <w:rFonts w:ascii="Arial Narrow" w:hAnsi="Arial Narrow"/>
          <w:sz w:val="18"/>
          <w:szCs w:val="18"/>
        </w:rPr>
        <w:t xml:space="preserve">εργοποιηθεί η Stand-by συμφωνία </w:t>
      </w:r>
      <w:r w:rsidRPr="00DA1881">
        <w:rPr>
          <w:rFonts w:ascii="Arial Narrow" w:hAnsi="Arial Narrow"/>
          <w:sz w:val="18"/>
          <w:szCs w:val="18"/>
        </w:rPr>
        <w:t xml:space="preserve">του ΔΝΤ, χωρίς όμως αυτό να εμποδίζει μελλοντικό τεχνικό ρόλο του ΔΝΤ στο πλαίσιο της ενισχυμένης εποπτείας της ελληνικής οικονομίας. </w:t>
      </w:r>
    </w:p>
  </w:footnote>
  <w:footnote w:id="8">
    <w:p w:rsidR="00B92CE7" w:rsidRDefault="00B92CE7">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sidRPr="00DA1881">
        <w:rPr>
          <w:rFonts w:ascii="Arial Narrow" w:hAnsi="Arial Narrow"/>
          <w:sz w:val="18"/>
          <w:szCs w:val="18"/>
          <w:lang w:val="el-GR"/>
        </w:rPr>
        <w:t xml:space="preserve"> </w:t>
      </w:r>
      <w:r>
        <w:rPr>
          <w:rFonts w:ascii="Arial Narrow" w:hAnsi="Arial Narrow"/>
          <w:sz w:val="18"/>
          <w:szCs w:val="18"/>
          <w:lang w:val="el-GR"/>
        </w:rPr>
        <w:tab/>
      </w:r>
      <w:r w:rsidRPr="00DA1881">
        <w:rPr>
          <w:rFonts w:ascii="Arial Narrow" w:hAnsi="Arial Narrow"/>
          <w:sz w:val="18"/>
          <w:szCs w:val="18"/>
          <w:lang w:val="el-GR"/>
        </w:rPr>
        <w:t>Η ενισχυμένη εποπτεία ενεργοποιήθηκε από την Ευρωπαϊκή Επιτροπή τον</w:t>
      </w:r>
      <w:r>
        <w:rPr>
          <w:rFonts w:ascii="Arial Narrow" w:hAnsi="Arial Narrow"/>
          <w:sz w:val="18"/>
          <w:szCs w:val="18"/>
          <w:lang w:val="el-GR"/>
        </w:rPr>
        <w:t xml:space="preserve"> Αύγουστο</w:t>
      </w:r>
      <w:r w:rsidRPr="00DA1881">
        <w:rPr>
          <w:rFonts w:ascii="Arial Narrow" w:hAnsi="Arial Narrow"/>
          <w:sz w:val="18"/>
          <w:szCs w:val="18"/>
          <w:lang w:val="el-GR"/>
        </w:rPr>
        <w:t xml:space="preserve"> 2018. Στο πλαίσιο αυτής, αναμένεται να επιδ</w:t>
      </w:r>
      <w:r w:rsidRPr="00DA1881">
        <w:rPr>
          <w:rFonts w:ascii="Arial Narrow" w:hAnsi="Arial Narrow"/>
          <w:sz w:val="18"/>
          <w:szCs w:val="18"/>
          <w:lang w:val="el-GR"/>
        </w:rPr>
        <w:t>ι</w:t>
      </w:r>
      <w:r w:rsidRPr="00DA1881">
        <w:rPr>
          <w:rFonts w:ascii="Arial Narrow" w:hAnsi="Arial Narrow"/>
          <w:sz w:val="18"/>
          <w:szCs w:val="18"/>
          <w:lang w:val="el-GR"/>
        </w:rPr>
        <w:t xml:space="preserve">ωχθούν συνέργειες με τη διαδικασία του Ευρωπαϊκού εξαμήνου, προς μείωση του σχετικού διοικητικού βάρους. </w:t>
      </w:r>
    </w:p>
  </w:footnote>
  <w:footnote w:id="9">
    <w:p w:rsidR="00B92CE7" w:rsidRPr="002C6E7D" w:rsidRDefault="00B92CE7" w:rsidP="002C6E7D">
      <w:pPr>
        <w:pStyle w:val="a8"/>
        <w:tabs>
          <w:tab w:val="left" w:pos="142"/>
        </w:tabs>
        <w:ind w:left="142" w:hanging="142"/>
        <w:rPr>
          <w:rFonts w:ascii="Arial Narrow" w:hAnsi="Arial Narrow"/>
          <w:sz w:val="18"/>
          <w:szCs w:val="18"/>
          <w:lang w:val="el-GR"/>
        </w:rPr>
      </w:pPr>
      <w:r w:rsidRPr="00DA1881">
        <w:rPr>
          <w:rStyle w:val="a9"/>
          <w:rFonts w:ascii="Arial Narrow" w:hAnsi="Arial Narrow"/>
          <w:sz w:val="18"/>
          <w:szCs w:val="18"/>
        </w:rPr>
        <w:footnoteRef/>
      </w:r>
      <w:r w:rsidRPr="00DA1881">
        <w:rPr>
          <w:rFonts w:ascii="Arial Narrow" w:hAnsi="Arial Narrow"/>
          <w:sz w:val="18"/>
          <w:szCs w:val="18"/>
          <w:lang w:val="el-GR"/>
        </w:rPr>
        <w:t xml:space="preserve"> </w:t>
      </w:r>
      <w:r>
        <w:rPr>
          <w:rFonts w:ascii="Arial Narrow" w:hAnsi="Arial Narrow"/>
          <w:sz w:val="18"/>
          <w:szCs w:val="18"/>
          <w:lang w:val="el-GR"/>
        </w:rPr>
        <w:tab/>
      </w:r>
      <w:r w:rsidRPr="00DA1881">
        <w:rPr>
          <w:rFonts w:ascii="Arial Narrow" w:hAnsi="Arial Narrow"/>
          <w:sz w:val="18"/>
          <w:szCs w:val="18"/>
          <w:lang w:val="el-GR"/>
        </w:rPr>
        <w:t xml:space="preserve">Ευρωζώνη (52,9 δισ. ευρώ), ΕΤΧΣ (141,8 δισ. ευρώ) και ΕΜΣ (61,9 δισ. ευρώ). </w:t>
      </w:r>
    </w:p>
  </w:footnote>
  <w:footnote w:id="10">
    <w:p w:rsidR="00B92CE7" w:rsidRPr="002C6E7D" w:rsidRDefault="00B92CE7" w:rsidP="002C6E7D">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Το εναπομέν</w:t>
      </w:r>
      <w:r>
        <w:rPr>
          <w:rFonts w:ascii="Arial Narrow" w:hAnsi="Arial Narrow"/>
          <w:sz w:val="18"/>
          <w:szCs w:val="18"/>
          <w:lang w:val="el-GR"/>
        </w:rPr>
        <w:t>ο</w:t>
      </w:r>
      <w:r w:rsidRPr="00DA1881">
        <w:rPr>
          <w:rFonts w:ascii="Arial Narrow" w:hAnsi="Arial Narrow"/>
          <w:sz w:val="18"/>
          <w:szCs w:val="18"/>
          <w:lang w:val="el-GR"/>
        </w:rPr>
        <w:t>ν αδιάθετο ποσό οφείλεται στην αποτελεσματική διαχείριση των ταμειακών διαθέσιμων και στις χαμηλότερες ανάγκες ανακεφαλαιοποίησης των ελληνικών τραπεζών έναντι των προβλέψεων (5,4 δισ. ευρώ έναντι των συνολικώς διαθέσιμων 25 δισ. ε</w:t>
      </w:r>
      <w:r w:rsidRPr="00DA1881">
        <w:rPr>
          <w:rFonts w:ascii="Arial Narrow" w:hAnsi="Arial Narrow"/>
          <w:sz w:val="18"/>
          <w:szCs w:val="18"/>
          <w:lang w:val="el-GR"/>
        </w:rPr>
        <w:t>υ</w:t>
      </w:r>
      <w:r w:rsidRPr="00DA1881">
        <w:rPr>
          <w:rFonts w:ascii="Arial Narrow" w:hAnsi="Arial Narrow"/>
          <w:sz w:val="18"/>
          <w:szCs w:val="18"/>
          <w:lang w:val="el-GR"/>
        </w:rPr>
        <w:t xml:space="preserve">ρώ). </w:t>
      </w:r>
    </w:p>
  </w:footnote>
  <w:footnote w:id="11">
    <w:p w:rsidR="00B92CE7" w:rsidRPr="002C6E7D" w:rsidRDefault="00B92CE7" w:rsidP="002C6E7D">
      <w:pPr>
        <w:pStyle w:val="a8"/>
        <w:tabs>
          <w:tab w:val="left" w:pos="142"/>
        </w:tabs>
        <w:ind w:left="142" w:hanging="142"/>
        <w:rPr>
          <w:rFonts w:ascii="Arial Narrow" w:hAnsi="Arial Narrow"/>
          <w:sz w:val="18"/>
          <w:szCs w:val="18"/>
          <w:lang w:val="el-GR"/>
        </w:rPr>
      </w:pPr>
      <w:r w:rsidRPr="00DA1881">
        <w:rPr>
          <w:rStyle w:val="a9"/>
          <w:rFonts w:ascii="Arial Narrow" w:hAnsi="Arial Narrow"/>
          <w:sz w:val="18"/>
          <w:szCs w:val="18"/>
        </w:rPr>
        <w:footnoteRef/>
      </w:r>
      <w:r w:rsidRPr="00DA1881">
        <w:rPr>
          <w:rFonts w:ascii="Arial Narrow" w:hAnsi="Arial Narrow"/>
          <w:sz w:val="18"/>
          <w:szCs w:val="18"/>
          <w:lang w:val="el-GR"/>
        </w:rPr>
        <w:t xml:space="preserve"> Με εξαίρεση το 2015 και την κατάταξη στη δεύτερη θέση, σε σύνολο 21 χωρών. </w:t>
      </w:r>
    </w:p>
  </w:footnote>
  <w:footnote w:id="12">
    <w:p w:rsidR="00B92CE7" w:rsidRPr="002C6E7D" w:rsidRDefault="00B92CE7" w:rsidP="002C6E7D">
      <w:pPr>
        <w:tabs>
          <w:tab w:val="left" w:pos="142"/>
          <w:tab w:val="left" w:pos="284"/>
          <w:tab w:val="left" w:pos="426"/>
        </w:tabs>
        <w:suppressAutoHyphens/>
        <w:ind w:left="142" w:right="-58" w:hanging="142"/>
        <w:jc w:val="both"/>
        <w:rPr>
          <w:rFonts w:ascii="Arial Narrow" w:hAnsi="Arial Narrow"/>
          <w:sz w:val="18"/>
          <w:szCs w:val="18"/>
        </w:rPr>
      </w:pPr>
      <w:r w:rsidRPr="00DA1881">
        <w:rPr>
          <w:rStyle w:val="a9"/>
          <w:rFonts w:ascii="Arial Narrow" w:hAnsi="Arial Narrow"/>
          <w:sz w:val="18"/>
          <w:szCs w:val="18"/>
        </w:rPr>
        <w:footnoteRef/>
      </w:r>
      <w:r w:rsidRPr="00DA1881">
        <w:rPr>
          <w:rFonts w:ascii="Arial Narrow" w:eastAsia="SimSun" w:hAnsi="Arial Narrow" w:cs="Mangal"/>
          <w:kern w:val="1"/>
          <w:sz w:val="18"/>
          <w:szCs w:val="18"/>
          <w:lang w:eastAsia="hi-IN" w:bidi="hi-IN"/>
        </w:rPr>
        <w:t>Το συνολικό ποσό περιλάμβανε ένα εφάπαξ κοινωνικό βοήθημα ύψους 720 εκατομμυρίων ευρώ, στη βάση εισοδηματικών και οικογενειακών κριτηρίων, την κάλυψη των απαιτήσεων της ΔΕΗ για τις Υπηρεσίες Κοινής Ωφέλειας, ύψους 360 εκατομμυρίων ευρώ, και την επιστροφή 315 εκατομμυρίων ευρώ από εισφορές υγειονομικής περίθαλψης συνταξιούχων που είχαν παρακρατηθεί λανθασμένα κατά το διάστημα 1.1.2012-30.6.2016.</w:t>
      </w:r>
    </w:p>
  </w:footnote>
  <w:footnote w:id="13">
    <w:p w:rsidR="00B92CE7" w:rsidRPr="0007493A" w:rsidRDefault="00B92CE7" w:rsidP="0007493A">
      <w:pPr>
        <w:tabs>
          <w:tab w:val="left" w:pos="142"/>
        </w:tabs>
        <w:autoSpaceDE w:val="0"/>
        <w:autoSpaceDN w:val="0"/>
        <w:adjustRightInd w:val="0"/>
        <w:ind w:left="142" w:hanging="142"/>
        <w:jc w:val="both"/>
        <w:rPr>
          <w:rFonts w:ascii="Arial Narrow" w:hAnsi="Arial Narrow"/>
          <w:sz w:val="18"/>
          <w:szCs w:val="18"/>
        </w:rPr>
      </w:pPr>
      <w:r w:rsidRPr="00DA1881">
        <w:rPr>
          <w:rStyle w:val="a9"/>
          <w:rFonts w:ascii="Arial Narrow" w:hAnsi="Arial Narrow"/>
          <w:sz w:val="18"/>
          <w:szCs w:val="18"/>
        </w:rPr>
        <w:footnoteRef/>
      </w:r>
      <w:r>
        <w:rPr>
          <w:rFonts w:ascii="Arial Narrow" w:hAnsi="Arial Narrow"/>
          <w:sz w:val="18"/>
          <w:szCs w:val="18"/>
        </w:rPr>
        <w:tab/>
      </w:r>
      <w:r w:rsidRPr="00DA1881">
        <w:rPr>
          <w:rFonts w:ascii="Arial Narrow" w:hAnsi="Arial Narrow"/>
          <w:sz w:val="18"/>
          <w:szCs w:val="18"/>
        </w:rPr>
        <w:t xml:space="preserve">Σύμφωνα με την τελευταία </w:t>
      </w:r>
      <w:hyperlink r:id="rId1" w:anchor="countries" w:history="1">
        <w:r w:rsidRPr="00DA1881">
          <w:rPr>
            <w:rStyle w:val="-"/>
            <w:rFonts w:ascii="Arial Narrow" w:hAnsi="Arial Narrow"/>
            <w:color w:val="auto"/>
            <w:sz w:val="18"/>
            <w:szCs w:val="18"/>
            <w:u w:val="none"/>
          </w:rPr>
          <w:t>ενημέρωση</w:t>
        </w:r>
      </w:hyperlink>
      <w:r w:rsidRPr="00DA1881">
        <w:rPr>
          <w:rFonts w:ascii="Arial Narrow" w:hAnsi="Arial Narrow"/>
          <w:sz w:val="18"/>
          <w:szCs w:val="18"/>
        </w:rPr>
        <w:t xml:space="preserve"> από την Ευρωπαϊκή Επιτροπή (Οκτώβριος 2018), στην Ελλάδα αναμένεται η ενεργοποίηση </w:t>
      </w:r>
      <w:r w:rsidRPr="00DA1881">
        <w:rPr>
          <w:rFonts w:ascii="Arial Narrow" w:hAnsi="Arial Narrow"/>
          <w:sz w:val="18"/>
          <w:szCs w:val="18"/>
        </w:rPr>
        <w:t>ε</w:t>
      </w:r>
      <w:r w:rsidRPr="00DA1881">
        <w:rPr>
          <w:rFonts w:ascii="Arial Narrow" w:hAnsi="Arial Narrow"/>
          <w:sz w:val="18"/>
          <w:szCs w:val="18"/>
        </w:rPr>
        <w:t>πενδύσεων 10,9 δι</w:t>
      </w:r>
      <w:r>
        <w:rPr>
          <w:rFonts w:ascii="Arial Narrow" w:hAnsi="Arial Narrow"/>
          <w:sz w:val="18"/>
          <w:szCs w:val="18"/>
        </w:rPr>
        <w:t>σ</w:t>
      </w:r>
      <w:r w:rsidRPr="00DA1881">
        <w:rPr>
          <w:rFonts w:ascii="Arial Narrow" w:hAnsi="Arial Narrow"/>
          <w:sz w:val="18"/>
          <w:szCs w:val="18"/>
        </w:rPr>
        <w:t>. ευρώ από τη χρηματοδότηση 2,7 δι</w:t>
      </w:r>
      <w:r>
        <w:rPr>
          <w:rFonts w:ascii="Arial Narrow" w:hAnsi="Arial Narrow"/>
          <w:sz w:val="18"/>
          <w:szCs w:val="18"/>
        </w:rPr>
        <w:t>σ</w:t>
      </w:r>
      <w:r w:rsidRPr="00DA1881">
        <w:rPr>
          <w:rFonts w:ascii="Arial Narrow" w:hAnsi="Arial Narrow"/>
          <w:sz w:val="18"/>
          <w:szCs w:val="18"/>
        </w:rPr>
        <w:t>. ευρώ του ΕΤΣΕ που έχει εγκριθεί από τον όμιλο της ΕΤΕπ. Τα αναπτυξιακά οφέλη από το Επενδυτικό Σχέδιο αναμένεται να διατηρηθούν τα επόμενα έτη, χάρη στην παράτασ</w:t>
      </w:r>
      <w:r>
        <w:rPr>
          <w:rFonts w:ascii="Arial Narrow" w:hAnsi="Arial Narrow"/>
          <w:sz w:val="18"/>
          <w:szCs w:val="18"/>
        </w:rPr>
        <w:t>ή</w:t>
      </w:r>
      <w:r w:rsidRPr="00DA1881">
        <w:rPr>
          <w:rFonts w:ascii="Arial Narrow" w:hAnsi="Arial Narrow"/>
          <w:sz w:val="18"/>
          <w:szCs w:val="18"/>
        </w:rPr>
        <w:t xml:space="preserve"> του έως το τέλος του 2020 («ΕΤΣΕ 2.0») και την αύξηση του συνολικού επενδυτικού στόχου του από 315 δισ. ευρώ σε 500 δισ. ευρώ.</w:t>
      </w:r>
    </w:p>
  </w:footnote>
  <w:footnote w:id="14">
    <w:p w:rsidR="00B92CE7" w:rsidRPr="00CD76AC" w:rsidRDefault="00B92CE7" w:rsidP="0007493A">
      <w:pPr>
        <w:pStyle w:val="a8"/>
        <w:tabs>
          <w:tab w:val="left" w:pos="142"/>
        </w:tabs>
        <w:ind w:left="142" w:hanging="142"/>
        <w:jc w:val="both"/>
        <w:rPr>
          <w:rFonts w:ascii="Arial Narrow" w:hAnsi="Arial Narrow"/>
          <w:sz w:val="18"/>
          <w:szCs w:val="18"/>
          <w:lang w:val="el-GR"/>
        </w:rPr>
      </w:pPr>
      <w:r w:rsidRPr="00096221">
        <w:rPr>
          <w:rStyle w:val="a9"/>
          <w:rFonts w:ascii="Arial Narrow" w:hAnsi="Arial Narrow"/>
          <w:sz w:val="18"/>
          <w:szCs w:val="18"/>
        </w:rPr>
        <w:footnoteRef/>
      </w:r>
      <w:r w:rsidRPr="00096221">
        <w:rPr>
          <w:rFonts w:ascii="Arial Narrow" w:hAnsi="Arial Narrow"/>
          <w:sz w:val="18"/>
          <w:szCs w:val="18"/>
          <w:lang w:val="el-GR"/>
        </w:rPr>
        <w:tab/>
        <w:t>Στο παράρτημα της σχετικής δήλωσης της Ευρωομάδας εμπεριέχονται συγκεκριμένες μεταρρυθμιστικές δράσεις, που αφορούν τους τομείς της δημόσιας διοίκησης, των διαρθρωτικών δημοσιονομικών πολιτικών, της κοινωνικής πρόνοιας, της χρηματοπιστωτικής στ</w:t>
      </w:r>
      <w:r w:rsidRPr="00096221">
        <w:rPr>
          <w:rFonts w:ascii="Arial Narrow" w:hAnsi="Arial Narrow"/>
          <w:sz w:val="18"/>
          <w:szCs w:val="18"/>
          <w:lang w:val="el-GR"/>
        </w:rPr>
        <w:t>α</w:t>
      </w:r>
      <w:r w:rsidRPr="00096221">
        <w:rPr>
          <w:rFonts w:ascii="Arial Narrow" w:hAnsi="Arial Narrow"/>
          <w:sz w:val="18"/>
          <w:szCs w:val="18"/>
          <w:lang w:val="el-GR"/>
        </w:rPr>
        <w:t>θερότητας, των αγορών εργασίας και προϊόντων, των ιδιωτικοποιήσεων και της Ελληνικής Εταιρείας Συμμετοχών και Περιουσίας.</w:t>
      </w:r>
    </w:p>
  </w:footnote>
  <w:footnote w:id="15">
    <w:p w:rsidR="00B92CE7" w:rsidRDefault="00B92CE7">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Επιχειρησιακοί τραπεζικοί στόχοι για μείωση του αποθέματος μη εξυπηρετούμενων δανείων, μείωση εξάρτησης των ελληνικών τραπ</w:t>
      </w:r>
      <w:r w:rsidRPr="00DA1881">
        <w:rPr>
          <w:rFonts w:ascii="Arial Narrow" w:hAnsi="Arial Narrow"/>
          <w:sz w:val="18"/>
          <w:szCs w:val="18"/>
          <w:lang w:val="el-GR"/>
        </w:rPr>
        <w:t>ε</w:t>
      </w:r>
      <w:r w:rsidRPr="00DA1881">
        <w:rPr>
          <w:rFonts w:ascii="Arial Narrow" w:hAnsi="Arial Narrow"/>
          <w:sz w:val="18"/>
          <w:szCs w:val="18"/>
          <w:lang w:val="el-GR"/>
        </w:rPr>
        <w:t>ζών από τον μηχανισμό έκτακτης ρευστότητας, οδικός χάρτης για τη χαλάρωση των ελέγχων στην κίνηση κεφαλαίων, εξόφληση των ληξιπρόθεσμων οφειλών της Γενικής Κυβέρνησης προς τον ιδιωτικό τομέα.</w:t>
      </w:r>
    </w:p>
  </w:footnote>
  <w:footnote w:id="16">
    <w:p w:rsidR="00B92CE7" w:rsidRPr="00780119" w:rsidRDefault="00B92CE7" w:rsidP="00780119">
      <w:pPr>
        <w:pStyle w:val="a8"/>
        <w:tabs>
          <w:tab w:val="left" w:pos="142"/>
        </w:tabs>
        <w:ind w:left="142" w:hanging="142"/>
        <w:jc w:val="both"/>
        <w:rPr>
          <w:rFonts w:ascii="Arial Narrow" w:hAnsi="Arial Narrow"/>
          <w:sz w:val="18"/>
          <w:szCs w:val="18"/>
          <w:lang w:val="el-GR"/>
        </w:rPr>
      </w:pPr>
      <w:r w:rsidRPr="00780119">
        <w:rPr>
          <w:rStyle w:val="a9"/>
          <w:rFonts w:ascii="Arial Narrow" w:hAnsi="Arial Narrow"/>
          <w:sz w:val="18"/>
          <w:szCs w:val="18"/>
        </w:rPr>
        <w:footnoteRef/>
      </w:r>
      <w:r w:rsidRPr="00780119">
        <w:rPr>
          <w:rFonts w:ascii="Arial Narrow" w:hAnsi="Arial Narrow"/>
          <w:sz w:val="18"/>
          <w:szCs w:val="18"/>
          <w:lang w:val="el-GR"/>
        </w:rPr>
        <w:t xml:space="preserve"> Ετ</w:t>
      </w:r>
      <w:r>
        <w:rPr>
          <w:rFonts w:ascii="Arial Narrow" w:hAnsi="Arial Narrow"/>
          <w:sz w:val="18"/>
          <w:szCs w:val="18"/>
          <w:lang w:val="el-GR"/>
        </w:rPr>
        <w:t>ήσια, μη εποχικά διορθωμένα στοιχεία Οκτωβρίου 2018 που έχουν αναθεωρηθεί έναντι της πρώτης εκτίμησης Μαρτίου 2018 για το έτος. Σε αδρές γραμμές, οι αναθεωρήσεις κινούνται προς το βέλτιον.</w:t>
      </w:r>
      <w:r w:rsidRPr="00780119">
        <w:rPr>
          <w:rFonts w:ascii="Arial Narrow" w:hAnsi="Arial Narrow"/>
          <w:sz w:val="18"/>
          <w:szCs w:val="18"/>
          <w:lang w:val="el-GR"/>
        </w:rPr>
        <w:tab/>
      </w:r>
    </w:p>
  </w:footnote>
  <w:footnote w:id="17">
    <w:p w:rsidR="00B92CE7" w:rsidRPr="00780119" w:rsidRDefault="00B92CE7" w:rsidP="00780119">
      <w:pPr>
        <w:pStyle w:val="a8"/>
        <w:ind w:left="142" w:hanging="142"/>
        <w:jc w:val="both"/>
        <w:rPr>
          <w:rFonts w:ascii="Arial Narrow" w:hAnsi="Arial Narrow"/>
          <w:sz w:val="18"/>
          <w:szCs w:val="18"/>
          <w:lang w:val="el-GR"/>
        </w:rPr>
      </w:pPr>
      <w:r w:rsidRPr="00780119">
        <w:rPr>
          <w:rStyle w:val="a9"/>
          <w:rFonts w:ascii="Arial Narrow" w:hAnsi="Arial Narrow"/>
          <w:sz w:val="18"/>
          <w:szCs w:val="18"/>
        </w:rPr>
        <w:footnoteRef/>
      </w:r>
      <w:r w:rsidRPr="00780119">
        <w:rPr>
          <w:rFonts w:ascii="Arial Narrow" w:hAnsi="Arial Narrow"/>
          <w:sz w:val="18"/>
          <w:szCs w:val="18"/>
          <w:lang w:val="el-GR"/>
        </w:rPr>
        <w:t xml:space="preserve"> </w:t>
      </w:r>
      <w:r>
        <w:rPr>
          <w:rFonts w:ascii="Arial Narrow" w:hAnsi="Arial Narrow"/>
          <w:sz w:val="18"/>
          <w:szCs w:val="18"/>
          <w:lang w:val="el-GR"/>
        </w:rPr>
        <w:t>Όπου αναφέρονται τριμηνιαία εθνικολογιστικά στοιχεία, αντιστοιχούν στη δημοσίευση του δεύτερου τριμήνου 2018 και είναι στην ίδια βάση με την πρώτη εκτίμηση ετήσιων Εθνικών Λογαριασμών για το 2017. Αναθεώρησή τους για τη δεύτερη κοινοποίηση Οκτωβρίου 2018 αναμένεται με την κοινοποίηση των στοιχείων τρίτου τριμήνου 2018 από την Ελληνική Στατιστική Αρχή, στις 4 Δεκεμβρίου 2018.</w:t>
      </w:r>
    </w:p>
  </w:footnote>
  <w:footnote w:id="18">
    <w:p w:rsidR="00B92CE7" w:rsidRPr="00ED665D" w:rsidRDefault="00B92CE7" w:rsidP="00780119">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 xml:space="preserve">Και ειδικότερα σε μεταφορικό εξοπλισμό (+50,9% έναντι του 2016), και μηχανολογικό εξοπλισμό (+6,3% αντίστοιχα), σύμφωνα με τα αναθεωρημένα ετήσια στοιχεία. </w:t>
      </w:r>
    </w:p>
  </w:footnote>
  <w:footnote w:id="19">
    <w:p w:rsidR="00B92CE7" w:rsidRPr="00477836" w:rsidRDefault="00B92CE7">
      <w:pPr>
        <w:pStyle w:val="a8"/>
        <w:rPr>
          <w:rFonts w:ascii="Arial Narrow" w:hAnsi="Arial Narrow"/>
          <w:sz w:val="18"/>
          <w:szCs w:val="18"/>
          <w:lang w:val="el-GR"/>
        </w:rPr>
      </w:pPr>
      <w:r w:rsidRPr="00477836">
        <w:rPr>
          <w:rStyle w:val="a9"/>
          <w:rFonts w:ascii="Arial Narrow" w:hAnsi="Arial Narrow"/>
          <w:sz w:val="18"/>
          <w:szCs w:val="18"/>
        </w:rPr>
        <w:footnoteRef/>
      </w:r>
      <w:r w:rsidRPr="00477836">
        <w:rPr>
          <w:rFonts w:ascii="Arial Narrow" w:hAnsi="Arial Narrow"/>
          <w:sz w:val="18"/>
          <w:szCs w:val="18"/>
          <w:lang w:val="el-GR"/>
        </w:rPr>
        <w:t xml:space="preserve"> Α</w:t>
      </w:r>
      <w:r>
        <w:rPr>
          <w:rFonts w:ascii="Arial Narrow" w:hAnsi="Arial Narrow"/>
          <w:sz w:val="18"/>
          <w:szCs w:val="18"/>
          <w:lang w:val="el-GR"/>
        </w:rPr>
        <w:t>πό κοινού με την αύξηση στις εισαγωγές υπηρεσιών (+9,0% το 2017 έναντι -10,8% το 2016 σε ετήσια βάση).</w:t>
      </w:r>
    </w:p>
  </w:footnote>
  <w:footnote w:id="20">
    <w:p w:rsidR="00B92CE7" w:rsidRPr="00ED665D" w:rsidRDefault="00B92CE7" w:rsidP="00ED665D">
      <w:pPr>
        <w:pStyle w:val="a0"/>
        <w:tabs>
          <w:tab w:val="left" w:pos="142"/>
          <w:tab w:val="left" w:pos="426"/>
        </w:tabs>
        <w:ind w:left="142" w:right="-2" w:hanging="142"/>
        <w:rPr>
          <w:rFonts w:ascii="Arial Narrow" w:hAnsi="Arial Narrow"/>
          <w:sz w:val="18"/>
          <w:szCs w:val="18"/>
        </w:rPr>
      </w:pPr>
      <w:r w:rsidRPr="00DA1881">
        <w:rPr>
          <w:rStyle w:val="a9"/>
          <w:rFonts w:ascii="Arial Narrow" w:hAnsi="Arial Narrow"/>
          <w:sz w:val="18"/>
          <w:szCs w:val="18"/>
        </w:rPr>
        <w:footnoteRef/>
      </w:r>
      <w:r>
        <w:rPr>
          <w:rFonts w:ascii="Arial Narrow" w:hAnsi="Arial Narrow"/>
          <w:sz w:val="18"/>
          <w:szCs w:val="18"/>
        </w:rPr>
        <w:tab/>
      </w:r>
      <w:r w:rsidRPr="00DA1881">
        <w:rPr>
          <w:rFonts w:ascii="Arial Narrow" w:hAnsi="Arial Narrow"/>
          <w:sz w:val="18"/>
          <w:szCs w:val="18"/>
        </w:rPr>
        <w:t xml:space="preserve">Σύμφωνα με τα έως σήμερα διαθέσιμα στοιχεία τριμηνιαίων μη χρηματοοικονομικών λογαριασμών θεσμικών τομέων της Ελληνικής Στατιστικής Αρχής (2ο τρίμηνο 2018). Τα εν λόγω τριμηνιαία στοιχεία θα τελούν σε συμβατότητα με τα αναθεωρημένα ετήσια στοιχεία εθνικών λογαριασμών μετά την δημοσίευση του τρίτου τριμήνου 2018, στις αρχές του 2019. </w:t>
      </w:r>
    </w:p>
  </w:footnote>
  <w:footnote w:id="21">
    <w:p w:rsidR="00B92CE7" w:rsidRPr="00ED665D" w:rsidRDefault="00B92CE7" w:rsidP="00ED665D">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Παρότι αναθεωρήθηκαν προς τα κάτω σε σχέση με την πρώτη ετήσια εκτίμηση, που ήταν +2,1% και +2,2% σε ετήσια βάση, αντίστο</w:t>
      </w:r>
      <w:r w:rsidRPr="00DA1881">
        <w:rPr>
          <w:rFonts w:ascii="Arial Narrow" w:hAnsi="Arial Narrow"/>
          <w:sz w:val="18"/>
          <w:szCs w:val="18"/>
          <w:lang w:val="el-GR"/>
        </w:rPr>
        <w:t>ι</w:t>
      </w:r>
      <w:r w:rsidRPr="00DA1881">
        <w:rPr>
          <w:rFonts w:ascii="Arial Narrow" w:hAnsi="Arial Narrow"/>
          <w:sz w:val="18"/>
          <w:szCs w:val="18"/>
          <w:lang w:val="el-GR"/>
        </w:rPr>
        <w:t>χα. Η αναθεώρηση εκτείνεται, πέρα από τους μισθωτούς και στους αυτοαπασχολούμενους (+1,2% από +2,0% στην προηγούμενη εκτ</w:t>
      </w:r>
      <w:r w:rsidRPr="00DA1881">
        <w:rPr>
          <w:rFonts w:ascii="Arial Narrow" w:hAnsi="Arial Narrow"/>
          <w:sz w:val="18"/>
          <w:szCs w:val="18"/>
          <w:lang w:val="el-GR"/>
        </w:rPr>
        <w:t>ί</w:t>
      </w:r>
      <w:r w:rsidRPr="00DA1881">
        <w:rPr>
          <w:rFonts w:ascii="Arial Narrow" w:hAnsi="Arial Narrow"/>
          <w:sz w:val="18"/>
          <w:szCs w:val="18"/>
          <w:lang w:val="el-GR"/>
        </w:rPr>
        <w:t xml:space="preserve">μηση).  </w:t>
      </w:r>
    </w:p>
  </w:footnote>
  <w:footnote w:id="22">
    <w:p w:rsidR="00B92CE7" w:rsidRPr="00ED665D" w:rsidRDefault="00B92CE7" w:rsidP="00ED665D">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Σε +1,2% σε ετήσια βάση, από +1,8% βάσει της πρώτης εκτίμησης για το 2017. Αντίστοιχη προς τα κάτω αναθεώρηση του αποπλ</w:t>
      </w:r>
      <w:r w:rsidRPr="00DA1881">
        <w:rPr>
          <w:rFonts w:ascii="Arial Narrow" w:hAnsi="Arial Narrow"/>
          <w:sz w:val="18"/>
          <w:szCs w:val="18"/>
          <w:lang w:val="el-GR"/>
        </w:rPr>
        <w:t>η</w:t>
      </w:r>
      <w:r w:rsidRPr="00DA1881">
        <w:rPr>
          <w:rFonts w:ascii="Arial Narrow" w:hAnsi="Arial Narrow"/>
          <w:sz w:val="18"/>
          <w:szCs w:val="18"/>
          <w:lang w:val="el-GR"/>
        </w:rPr>
        <w:t>θωριστή δημόσιας κατανάλωσης υπήρξε και για το 2016,  σε -0,9% από -0,5%.</w:t>
      </w:r>
    </w:p>
  </w:footnote>
  <w:footnote w:id="23">
    <w:p w:rsidR="00B92CE7" w:rsidRPr="00AE4539" w:rsidRDefault="00B92CE7" w:rsidP="00AE4539">
      <w:pPr>
        <w:pStyle w:val="a8"/>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 xml:space="preserve"> Βλ. υποσημείωση 15</w:t>
      </w:r>
      <w:r w:rsidRPr="00DA1881">
        <w:rPr>
          <w:rFonts w:ascii="Arial Narrow" w:hAnsi="Arial Narrow"/>
          <w:sz w:val="18"/>
          <w:szCs w:val="18"/>
          <w:lang w:val="el-GR"/>
        </w:rPr>
        <w:t>.</w:t>
      </w:r>
    </w:p>
  </w:footnote>
  <w:footnote w:id="24">
    <w:p w:rsidR="00B92CE7" w:rsidRPr="00AE4539" w:rsidRDefault="00B92CE7" w:rsidP="00AE4539">
      <w:pPr>
        <w:pStyle w:val="a8"/>
        <w:tabs>
          <w:tab w:val="left" w:pos="142"/>
        </w:tabs>
        <w:ind w:left="142" w:hanging="142"/>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Αυξανόμενη κατά 1,6% σε ετήσια βάση το τελευταίο ενν</w:t>
      </w:r>
      <w:r>
        <w:rPr>
          <w:rFonts w:ascii="Arial Narrow" w:hAnsi="Arial Narrow"/>
          <w:sz w:val="18"/>
          <w:szCs w:val="18"/>
          <w:lang w:val="el-GR"/>
        </w:rPr>
        <w:t>ε</w:t>
      </w:r>
      <w:r w:rsidRPr="00DA1881">
        <w:rPr>
          <w:rFonts w:ascii="Arial Narrow" w:hAnsi="Arial Narrow"/>
          <w:sz w:val="18"/>
          <w:szCs w:val="18"/>
          <w:lang w:val="el-GR"/>
        </w:rPr>
        <w:t>άμηνο του 2017.</w:t>
      </w:r>
    </w:p>
  </w:footnote>
  <w:footnote w:id="25">
    <w:p w:rsidR="00B92CE7" w:rsidRPr="00AE4539" w:rsidRDefault="00B92CE7" w:rsidP="00AE4539">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Σύμφωνα με τα στοιχεία εμπορευματικών συναλλαγών της Ελληνικής Στατιστικής Αρχής, στο πρώτο εξάμηνο του 2018 η μείωση των αφίξεων πλοίων από το εξωτερικό έφτανε το 73,2% έναντι της αντίστοιχης περιόδου του 2017 (σε τρέχουσες τιμές). Η μείωση αυτή π</w:t>
      </w:r>
      <w:r w:rsidRPr="00DA1881">
        <w:rPr>
          <w:rFonts w:ascii="Arial Narrow" w:hAnsi="Arial Narrow"/>
          <w:sz w:val="18"/>
          <w:szCs w:val="18"/>
          <w:lang w:val="el-GR"/>
        </w:rPr>
        <w:t>ε</w:t>
      </w:r>
      <w:r w:rsidRPr="00DA1881">
        <w:rPr>
          <w:rFonts w:ascii="Arial Narrow" w:hAnsi="Arial Narrow"/>
          <w:sz w:val="18"/>
          <w:szCs w:val="18"/>
          <w:lang w:val="el-GR"/>
        </w:rPr>
        <w:t>ριορίστηκε με την ενσωμάτωση των στοιχείων Ιουλίου-Σεπτεμβρίου, στο 49,2% έναντι του αντίστοιχου εννιαμήνου του 2017.</w:t>
      </w:r>
    </w:p>
  </w:footnote>
  <w:footnote w:id="26">
    <w:p w:rsidR="00B92CE7" w:rsidRPr="001769B4" w:rsidRDefault="00B92CE7" w:rsidP="001769B4">
      <w:pPr>
        <w:pStyle w:val="a8"/>
        <w:tabs>
          <w:tab w:val="left" w:pos="142"/>
        </w:tabs>
        <w:ind w:left="142" w:hanging="142"/>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 xml:space="preserve">Στα 69,0 ευρώ το βαρέλι για το αργό πετρέλαιο </w:t>
      </w:r>
      <w:r w:rsidRPr="00DA1881">
        <w:rPr>
          <w:rFonts w:ascii="Arial Narrow" w:hAnsi="Arial Narrow"/>
          <w:sz w:val="18"/>
          <w:szCs w:val="18"/>
        </w:rPr>
        <w:t>BRENT</w:t>
      </w:r>
      <w:r w:rsidRPr="00DA1881">
        <w:rPr>
          <w:rFonts w:ascii="Arial Narrow" w:hAnsi="Arial Narrow"/>
          <w:sz w:val="18"/>
          <w:szCs w:val="18"/>
          <w:lang w:val="el-GR"/>
        </w:rPr>
        <w:t xml:space="preserve"> τον Οκτώβριο του 2018, την υψηλότερη τιμή  από</w:t>
      </w:r>
      <w:r w:rsidRPr="00DA1881">
        <w:rPr>
          <w:rFonts w:ascii="Arial Narrow" w:hAnsi="Arial Narrow"/>
          <w:b/>
          <w:sz w:val="18"/>
          <w:szCs w:val="18"/>
          <w:lang w:val="el-GR"/>
        </w:rPr>
        <w:t xml:space="preserve"> </w:t>
      </w:r>
      <w:r w:rsidRPr="00DA1881">
        <w:rPr>
          <w:rFonts w:ascii="Arial Narrow" w:hAnsi="Arial Narrow"/>
          <w:sz w:val="18"/>
          <w:szCs w:val="18"/>
          <w:lang w:val="el-GR"/>
        </w:rPr>
        <w:t>τον Σεπτέμβριο του 2014.</w:t>
      </w:r>
    </w:p>
  </w:footnote>
  <w:footnote w:id="27">
    <w:p w:rsidR="00B92CE7" w:rsidRPr="001769B4" w:rsidRDefault="00B92CE7" w:rsidP="001769B4">
      <w:pPr>
        <w:pStyle w:val="a8"/>
        <w:tabs>
          <w:tab w:val="left" w:pos="142"/>
        </w:tabs>
        <w:ind w:left="142" w:hanging="142"/>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lang w:val="el-GR"/>
        </w:rPr>
        <w:tab/>
      </w:r>
      <w:r w:rsidRPr="00DA1881">
        <w:rPr>
          <w:rFonts w:ascii="Arial Narrow" w:hAnsi="Arial Narrow"/>
          <w:sz w:val="18"/>
          <w:szCs w:val="18"/>
          <w:lang w:val="el-GR"/>
        </w:rPr>
        <w:t>Σε σχέση με τον γενικό δείκτη τιμών, που επηρεάζεται ανοδικά από την πορεία των τιμών στον κλάδο της ενέργειας και των οπωροκ</w:t>
      </w:r>
      <w:r w:rsidRPr="00DA1881">
        <w:rPr>
          <w:rFonts w:ascii="Arial Narrow" w:hAnsi="Arial Narrow"/>
          <w:sz w:val="18"/>
          <w:szCs w:val="18"/>
          <w:lang w:val="el-GR"/>
        </w:rPr>
        <w:t>η</w:t>
      </w:r>
      <w:r w:rsidRPr="00DA1881">
        <w:rPr>
          <w:rFonts w:ascii="Arial Narrow" w:hAnsi="Arial Narrow"/>
          <w:sz w:val="18"/>
          <w:szCs w:val="18"/>
          <w:lang w:val="el-GR"/>
        </w:rPr>
        <w:t xml:space="preserve">πευτικών. </w:t>
      </w:r>
    </w:p>
  </w:footnote>
  <w:footnote w:id="28">
    <w:p w:rsidR="00B92CE7" w:rsidRPr="00293FF0" w:rsidRDefault="00B92CE7" w:rsidP="001769B4">
      <w:pPr>
        <w:pStyle w:val="a8"/>
        <w:spacing w:after="40"/>
        <w:rPr>
          <w:rFonts w:ascii="Arial Narrow" w:hAnsi="Arial Narrow"/>
          <w:sz w:val="18"/>
          <w:szCs w:val="18"/>
          <w:lang w:val="el-GR"/>
        </w:rPr>
      </w:pPr>
      <w:r w:rsidRPr="00293FF0">
        <w:rPr>
          <w:rStyle w:val="a9"/>
          <w:rFonts w:ascii="Arial Narrow" w:hAnsi="Arial Narrow"/>
          <w:sz w:val="18"/>
          <w:szCs w:val="18"/>
        </w:rPr>
        <w:footnoteRef/>
      </w:r>
      <w:r w:rsidRPr="00293FF0">
        <w:rPr>
          <w:rFonts w:ascii="Arial Narrow" w:hAnsi="Arial Narrow"/>
          <w:sz w:val="18"/>
          <w:szCs w:val="18"/>
          <w:lang w:val="el-GR"/>
        </w:rPr>
        <w:t xml:space="preserve"> Βάσει στοιχείων της τριμηνιαίας Έρευνας Εργατικού Δυναμικού (ΕΕΔ)</w:t>
      </w:r>
    </w:p>
  </w:footnote>
  <w:footnote w:id="29">
    <w:p w:rsidR="00B92CE7" w:rsidRPr="00160B8F" w:rsidRDefault="00B92CE7" w:rsidP="00160B8F">
      <w:pPr>
        <w:pStyle w:val="a8"/>
        <w:tabs>
          <w:tab w:val="left" w:pos="142"/>
        </w:tabs>
        <w:ind w:left="142" w:hanging="142"/>
        <w:jc w:val="both"/>
        <w:rPr>
          <w:rFonts w:ascii="Arial Narrow" w:hAnsi="Arial Narrow"/>
          <w:sz w:val="18"/>
          <w:szCs w:val="18"/>
          <w:lang w:val="el-GR"/>
        </w:rPr>
      </w:pPr>
      <w:r w:rsidRPr="00160B8F">
        <w:rPr>
          <w:rStyle w:val="a9"/>
          <w:rFonts w:ascii="Arial Narrow" w:hAnsi="Arial Narrow"/>
          <w:sz w:val="18"/>
          <w:szCs w:val="18"/>
        </w:rPr>
        <w:footnoteRef/>
      </w:r>
      <w:r>
        <w:rPr>
          <w:rFonts w:ascii="Arial Narrow" w:hAnsi="Arial Narrow"/>
          <w:sz w:val="18"/>
          <w:szCs w:val="18"/>
          <w:lang w:val="el-GR"/>
        </w:rPr>
        <w:tab/>
        <w:t>Από το μήνα αναφοράς Σεπτέμβριο του 2018, η Τράπεζα της Ελλάδος υιοθέτησε τη χρήση νέου μοντέλου υπολογισμού των μεγεθών που αφορούν τις θαλάσσιες μεταφορές. Η αναθεώρηση εφαρμόστηκε αναδρομικά για την περίοδο από τον Ιανουάριο του 2015. Π</w:t>
      </w:r>
      <w:r>
        <w:rPr>
          <w:rFonts w:ascii="Arial Narrow" w:hAnsi="Arial Narrow"/>
          <w:sz w:val="18"/>
          <w:szCs w:val="18"/>
          <w:lang w:val="el-GR"/>
        </w:rPr>
        <w:t>ε</w:t>
      </w:r>
      <w:r>
        <w:rPr>
          <w:rFonts w:ascii="Arial Narrow" w:hAnsi="Arial Narrow"/>
          <w:sz w:val="18"/>
          <w:szCs w:val="18"/>
          <w:lang w:val="el-GR"/>
        </w:rPr>
        <w:t>ρισσότερες πληροφορίες για τη μετάβαση στη νέα μεθοδολογία μπορείτε να βρείτε στο σχετικό Δελτίο Τύπου που δημοσιεύεται από την ΤτΕ στις 20/11/2018.</w:t>
      </w:r>
    </w:p>
  </w:footnote>
  <w:footnote w:id="30">
    <w:p w:rsidR="00B92CE7" w:rsidRDefault="00B92CE7">
      <w:pPr>
        <w:pStyle w:val="a8"/>
        <w:tabs>
          <w:tab w:val="left" w:pos="142"/>
        </w:tabs>
        <w:ind w:left="142" w:hanging="142"/>
        <w:jc w:val="both"/>
        <w:rPr>
          <w:rFonts w:ascii="Arial Narrow" w:hAnsi="Arial Narrow" w:cs="Arial"/>
          <w:sz w:val="18"/>
          <w:szCs w:val="18"/>
          <w:lang w:val="el-GR"/>
        </w:rPr>
      </w:pPr>
      <w:r w:rsidRPr="00DA1881">
        <w:rPr>
          <w:rStyle w:val="a9"/>
          <w:rFonts w:ascii="Arial Narrow" w:hAnsi="Arial Narrow" w:cs="Arial"/>
          <w:sz w:val="18"/>
          <w:szCs w:val="18"/>
        </w:rPr>
        <w:footnoteRef/>
      </w:r>
      <w:r>
        <w:rPr>
          <w:rFonts w:ascii="Arial Narrow" w:hAnsi="Arial Narrow" w:cs="Arial"/>
          <w:sz w:val="18"/>
          <w:szCs w:val="18"/>
          <w:lang w:val="el-GR"/>
        </w:rPr>
        <w:tab/>
      </w:r>
      <w:r w:rsidRPr="00DA1881">
        <w:rPr>
          <w:rFonts w:ascii="Arial Narrow" w:hAnsi="Arial Narrow" w:cs="Arial"/>
          <w:sz w:val="18"/>
          <w:szCs w:val="18"/>
          <w:lang w:val="el-GR"/>
        </w:rPr>
        <w:t>Οι χώρες μέλη της ζώνης του ευρώ απορροφούν πάνω από το 50% των συνολικών ελληνικών εξαγωγών.</w:t>
      </w:r>
      <w:r>
        <w:rPr>
          <w:rFonts w:ascii="Arial Narrow" w:hAnsi="Arial Narrow" w:cs="Arial"/>
          <w:sz w:val="18"/>
          <w:szCs w:val="18"/>
          <w:lang w:val="el-GR"/>
        </w:rPr>
        <w:t xml:space="preserve"> Η</w:t>
      </w:r>
      <w:r w:rsidRPr="00DA1881">
        <w:rPr>
          <w:rFonts w:ascii="Arial Narrow" w:hAnsi="Arial Narrow" w:cs="Arial"/>
          <w:sz w:val="18"/>
          <w:szCs w:val="18"/>
          <w:lang w:val="el-GR"/>
        </w:rPr>
        <w:t xml:space="preserve"> Ιταλία, η Γερμανία, η Του</w:t>
      </w:r>
      <w:r w:rsidRPr="00DA1881">
        <w:rPr>
          <w:rFonts w:ascii="Arial Narrow" w:hAnsi="Arial Narrow" w:cs="Arial"/>
          <w:sz w:val="18"/>
          <w:szCs w:val="18"/>
          <w:lang w:val="el-GR"/>
        </w:rPr>
        <w:t>ρ</w:t>
      </w:r>
      <w:r w:rsidRPr="00DA1881">
        <w:rPr>
          <w:rFonts w:ascii="Arial Narrow" w:hAnsi="Arial Narrow" w:cs="Arial"/>
          <w:sz w:val="18"/>
          <w:szCs w:val="18"/>
          <w:lang w:val="el-GR"/>
        </w:rPr>
        <w:t xml:space="preserve">κία, η Κύπρος και η Βουλγαρία είναι οι πέντε πρώτες αγορές για τα ελληνικά προϊόντα. </w:t>
      </w:r>
    </w:p>
  </w:footnote>
  <w:footnote w:id="31">
    <w:p w:rsidR="00B92CE7" w:rsidRDefault="00B92CE7">
      <w:pPr>
        <w:tabs>
          <w:tab w:val="left" w:pos="142"/>
        </w:tabs>
        <w:ind w:left="142" w:right="-29" w:hanging="142"/>
        <w:jc w:val="both"/>
        <w:rPr>
          <w:rFonts w:ascii="Arial Narrow" w:hAnsi="Arial Narrow" w:cs="Arial"/>
          <w:sz w:val="18"/>
          <w:szCs w:val="18"/>
        </w:rPr>
      </w:pPr>
      <w:r w:rsidRPr="00DA1881">
        <w:rPr>
          <w:rStyle w:val="a9"/>
          <w:rFonts w:ascii="Arial Narrow" w:hAnsi="Arial Narrow" w:cs="Arial"/>
          <w:sz w:val="18"/>
          <w:szCs w:val="18"/>
        </w:rPr>
        <w:footnoteRef/>
      </w:r>
      <w:r>
        <w:rPr>
          <w:rFonts w:ascii="Arial Narrow" w:hAnsi="Arial Narrow" w:cs="Arial"/>
          <w:sz w:val="18"/>
          <w:szCs w:val="18"/>
        </w:rPr>
        <w:tab/>
      </w:r>
      <w:r w:rsidRPr="00DA1881">
        <w:rPr>
          <w:rFonts w:ascii="Arial Narrow" w:hAnsi="Arial Narrow" w:cs="Arial"/>
          <w:sz w:val="18"/>
          <w:szCs w:val="18"/>
        </w:rPr>
        <w:t>Οι εισπράξεις των λοιπών πρωτογενών εισοδημάτων και των δευτερογενών εισοδημάτων της γενικής κυβέρνησης περιλαμβάνουν κ</w:t>
      </w:r>
      <w:r w:rsidRPr="00DA1881">
        <w:rPr>
          <w:rFonts w:ascii="Arial Narrow" w:hAnsi="Arial Narrow" w:cs="Arial"/>
          <w:sz w:val="18"/>
          <w:szCs w:val="18"/>
        </w:rPr>
        <w:t>υ</w:t>
      </w:r>
      <w:r w:rsidRPr="00DA1881">
        <w:rPr>
          <w:rFonts w:ascii="Arial Narrow" w:hAnsi="Arial Narrow" w:cs="Arial"/>
          <w:sz w:val="18"/>
          <w:szCs w:val="18"/>
        </w:rPr>
        <w:t>ρίως τις άμεσες ενισχύσεις και επιδοτήσεις στο πλαίσιο της Κοινής Αγροτικής Πολιτικής (ΚΑΠ)</w:t>
      </w:r>
      <w:r>
        <w:rPr>
          <w:rFonts w:ascii="Arial Narrow" w:hAnsi="Arial Narrow" w:cs="Arial"/>
          <w:sz w:val="18"/>
          <w:szCs w:val="18"/>
        </w:rPr>
        <w:t>,</w:t>
      </w:r>
      <w:r w:rsidRPr="00DA1881">
        <w:rPr>
          <w:rFonts w:ascii="Arial Narrow" w:hAnsi="Arial Narrow" w:cs="Arial"/>
          <w:sz w:val="18"/>
          <w:szCs w:val="18"/>
        </w:rPr>
        <w:t xml:space="preserve"> καθώς και τις απολήψεις από το Ευρ</w:t>
      </w:r>
      <w:r w:rsidRPr="00DA1881">
        <w:rPr>
          <w:rFonts w:ascii="Arial Narrow" w:hAnsi="Arial Narrow" w:cs="Arial"/>
          <w:sz w:val="18"/>
          <w:szCs w:val="18"/>
        </w:rPr>
        <w:t>ω</w:t>
      </w:r>
      <w:r w:rsidRPr="00DA1881">
        <w:rPr>
          <w:rFonts w:ascii="Arial Narrow" w:hAnsi="Arial Narrow" w:cs="Arial"/>
          <w:sz w:val="18"/>
          <w:szCs w:val="18"/>
        </w:rPr>
        <w:t>παϊκό Κοινωνικό Ταμείο, ενώ οι πληρωμές περιλαμβάνουν κυρίως τις αποδόσεις προς τον Κοινοτικό Προϋπολογισμό. Οι εισπράξεις κεφαλαίων της γενικής κυβέρνησης περιλαμβάνουν κυρίως τις απολήψεις από το Ευρωπαϊκό Ταμείο Περιφερειακής Ανάπτυξης και το Ταμείο Συνοχής.</w:t>
      </w:r>
    </w:p>
  </w:footnote>
  <w:footnote w:id="32">
    <w:p w:rsidR="00B92CE7" w:rsidRDefault="00B92CE7">
      <w:pPr>
        <w:pStyle w:val="a8"/>
        <w:tabs>
          <w:tab w:val="left" w:pos="142"/>
        </w:tabs>
        <w:ind w:left="142" w:hanging="142"/>
        <w:jc w:val="both"/>
        <w:rPr>
          <w:rFonts w:ascii="Arial Narrow" w:hAnsi="Arial Narrow"/>
          <w:sz w:val="18"/>
          <w:szCs w:val="18"/>
          <w:lang w:val="el-GR"/>
        </w:rPr>
      </w:pPr>
      <w:r w:rsidRPr="00DA1881">
        <w:rPr>
          <w:rStyle w:val="a9"/>
          <w:rFonts w:ascii="Arial Narrow" w:hAnsi="Arial Narrow"/>
          <w:sz w:val="18"/>
          <w:szCs w:val="18"/>
        </w:rPr>
        <w:footnoteRef/>
      </w:r>
      <w:r>
        <w:rPr>
          <w:rFonts w:ascii="Arial Narrow" w:hAnsi="Arial Narrow"/>
          <w:sz w:val="18"/>
          <w:szCs w:val="18"/>
          <w:vertAlign w:val="superscript"/>
          <w:lang w:val="el-GR"/>
        </w:rPr>
        <w:tab/>
      </w:r>
      <w:r w:rsidRPr="00DA1881">
        <w:rPr>
          <w:rFonts w:ascii="Arial Narrow" w:hAnsi="Arial Narrow" w:cs="Arial"/>
          <w:sz w:val="18"/>
          <w:szCs w:val="18"/>
          <w:lang w:val="el-GR"/>
        </w:rPr>
        <w:t>Το διάστημα Ιανουαρίου-</w:t>
      </w:r>
      <w:r>
        <w:rPr>
          <w:rFonts w:ascii="Arial Narrow" w:hAnsi="Arial Narrow" w:cs="Arial"/>
          <w:sz w:val="18"/>
          <w:szCs w:val="18"/>
          <w:lang w:val="el-GR"/>
        </w:rPr>
        <w:t xml:space="preserve">Σεπτεμβρίου </w:t>
      </w:r>
      <w:r w:rsidRPr="00DA1881">
        <w:rPr>
          <w:rFonts w:ascii="Arial Narrow" w:hAnsi="Arial Narrow" w:cs="Arial"/>
          <w:sz w:val="18"/>
          <w:szCs w:val="18"/>
          <w:lang w:val="el-GR"/>
        </w:rPr>
        <w:t>2018, σημειώθηκε μείωση των απαιτήσεων και των υποχρεώσεων λόγω της στατιστικής πρ</w:t>
      </w:r>
      <w:r w:rsidRPr="00DA1881">
        <w:rPr>
          <w:rFonts w:ascii="Arial Narrow" w:hAnsi="Arial Narrow" w:cs="Arial"/>
          <w:sz w:val="18"/>
          <w:szCs w:val="18"/>
          <w:lang w:val="el-GR"/>
        </w:rPr>
        <w:t>ο</w:t>
      </w:r>
      <w:r w:rsidRPr="00DA1881">
        <w:rPr>
          <w:rFonts w:ascii="Arial Narrow" w:hAnsi="Arial Narrow" w:cs="Arial"/>
          <w:sz w:val="18"/>
          <w:szCs w:val="18"/>
          <w:lang w:val="el-GR"/>
        </w:rPr>
        <w:t>σαρμογής που συνδέεται με τη διακ</w:t>
      </w:r>
      <w:r>
        <w:rPr>
          <w:rFonts w:ascii="Arial Narrow" w:hAnsi="Arial Narrow" w:cs="Arial"/>
          <w:sz w:val="18"/>
          <w:szCs w:val="18"/>
          <w:lang w:val="el-GR"/>
        </w:rPr>
        <w:t>ράτηση τραπεζογραμματίων, κατά 1</w:t>
      </w:r>
      <w:r w:rsidRPr="00DA1881">
        <w:rPr>
          <w:rFonts w:ascii="Arial Narrow" w:hAnsi="Arial Narrow" w:cs="Arial"/>
          <w:sz w:val="18"/>
          <w:szCs w:val="18"/>
          <w:lang w:val="el-GR"/>
        </w:rPr>
        <w:t xml:space="preserve">,5 δισ. ευρώ και 4,8 δισ. ευρώ αντίστοιχα.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E7" w:rsidRPr="00D40E4A" w:rsidRDefault="00B92CE7" w:rsidP="00D40E4A">
    <w:pPr>
      <w:pStyle w:val="a4"/>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 xml:space="preserve">ΚΕΦΑΛΑΙΟ </w:t>
    </w:r>
    <w:r>
      <w:rPr>
        <w:rFonts w:ascii="Arial Narrow" w:hAnsi="Arial Narrow"/>
        <w:b/>
        <w:color w:val="808080"/>
        <w:sz w:val="22"/>
      </w:rPr>
      <w:t>1</w:t>
    </w:r>
  </w:p>
  <w:p w:rsidR="00B92CE7" w:rsidRDefault="00B92C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E7" w:rsidRPr="00D40E4A" w:rsidRDefault="00B92CE7" w:rsidP="00D40E4A">
    <w:pPr>
      <w:pStyle w:val="a4"/>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ΚΕΦΑΛΑΙΟ</w:t>
    </w:r>
    <w:r>
      <w:rPr>
        <w:rFonts w:ascii="Arial Narrow" w:hAnsi="Arial Narrow"/>
        <w:b/>
        <w:color w:val="808080"/>
        <w:sz w:val="22"/>
      </w:rPr>
      <w:t xml:space="preserve"> </w:t>
    </w:r>
    <w:r w:rsidRPr="00D40E4A">
      <w:rPr>
        <w:rFonts w:ascii="Arial Narrow" w:hAnsi="Arial Narrow"/>
        <w:b/>
        <w:color w:val="808080"/>
        <w:sz w:val="22"/>
      </w:rPr>
      <w:t xml:space="preserve"> </w:t>
    </w:r>
    <w:r>
      <w:rPr>
        <w:rFonts w:ascii="Arial Narrow" w:hAnsi="Arial Narrow"/>
        <w:b/>
        <w:color w:val="808080"/>
        <w:sz w:val="2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65" w:hanging="360"/>
      </w:pPr>
      <w:rPr>
        <w:rFonts w:ascii="Wingdings" w:hAnsi="Wingdings"/>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A13FA5"/>
    <w:multiLevelType w:val="hybridMultilevel"/>
    <w:tmpl w:val="CEF64CD0"/>
    <w:name w:val="WW8Num2"/>
    <w:lvl w:ilvl="0" w:tplc="CBFE4D6A">
      <w:start w:val="1"/>
      <w:numFmt w:val="bullet"/>
      <w:lvlText w:val=""/>
      <w:lvlJc w:val="left"/>
      <w:pPr>
        <w:ind w:left="1080" w:hanging="360"/>
      </w:pPr>
      <w:rPr>
        <w:rFonts w:ascii="Symbol" w:hAnsi="Symbol" w:hint="default"/>
      </w:rPr>
    </w:lvl>
    <w:lvl w:ilvl="1" w:tplc="62D4C5AC" w:tentative="1">
      <w:start w:val="1"/>
      <w:numFmt w:val="bullet"/>
      <w:lvlText w:val="o"/>
      <w:lvlJc w:val="left"/>
      <w:pPr>
        <w:ind w:left="1800" w:hanging="360"/>
      </w:pPr>
      <w:rPr>
        <w:rFonts w:ascii="Courier New" w:hAnsi="Courier New" w:cs="Courier New" w:hint="default"/>
      </w:rPr>
    </w:lvl>
    <w:lvl w:ilvl="2" w:tplc="D654D0DA" w:tentative="1">
      <w:start w:val="1"/>
      <w:numFmt w:val="bullet"/>
      <w:lvlText w:val=""/>
      <w:lvlJc w:val="left"/>
      <w:pPr>
        <w:ind w:left="2520" w:hanging="360"/>
      </w:pPr>
      <w:rPr>
        <w:rFonts w:ascii="Wingdings" w:hAnsi="Wingdings" w:hint="default"/>
      </w:rPr>
    </w:lvl>
    <w:lvl w:ilvl="3" w:tplc="B786190C" w:tentative="1">
      <w:start w:val="1"/>
      <w:numFmt w:val="bullet"/>
      <w:lvlText w:val=""/>
      <w:lvlJc w:val="left"/>
      <w:pPr>
        <w:ind w:left="3240" w:hanging="360"/>
      </w:pPr>
      <w:rPr>
        <w:rFonts w:ascii="Symbol" w:hAnsi="Symbol" w:hint="default"/>
      </w:rPr>
    </w:lvl>
    <w:lvl w:ilvl="4" w:tplc="658AE792" w:tentative="1">
      <w:start w:val="1"/>
      <w:numFmt w:val="bullet"/>
      <w:lvlText w:val="o"/>
      <w:lvlJc w:val="left"/>
      <w:pPr>
        <w:ind w:left="3960" w:hanging="360"/>
      </w:pPr>
      <w:rPr>
        <w:rFonts w:ascii="Courier New" w:hAnsi="Courier New" w:cs="Courier New" w:hint="default"/>
      </w:rPr>
    </w:lvl>
    <w:lvl w:ilvl="5" w:tplc="5B648B7E" w:tentative="1">
      <w:start w:val="1"/>
      <w:numFmt w:val="bullet"/>
      <w:lvlText w:val=""/>
      <w:lvlJc w:val="left"/>
      <w:pPr>
        <w:ind w:left="4680" w:hanging="360"/>
      </w:pPr>
      <w:rPr>
        <w:rFonts w:ascii="Wingdings" w:hAnsi="Wingdings" w:hint="default"/>
      </w:rPr>
    </w:lvl>
    <w:lvl w:ilvl="6" w:tplc="DDF24F48" w:tentative="1">
      <w:start w:val="1"/>
      <w:numFmt w:val="bullet"/>
      <w:lvlText w:val=""/>
      <w:lvlJc w:val="left"/>
      <w:pPr>
        <w:ind w:left="5400" w:hanging="360"/>
      </w:pPr>
      <w:rPr>
        <w:rFonts w:ascii="Symbol" w:hAnsi="Symbol" w:hint="default"/>
      </w:rPr>
    </w:lvl>
    <w:lvl w:ilvl="7" w:tplc="FC5E4760" w:tentative="1">
      <w:start w:val="1"/>
      <w:numFmt w:val="bullet"/>
      <w:lvlText w:val="o"/>
      <w:lvlJc w:val="left"/>
      <w:pPr>
        <w:ind w:left="6120" w:hanging="360"/>
      </w:pPr>
      <w:rPr>
        <w:rFonts w:ascii="Courier New" w:hAnsi="Courier New" w:cs="Courier New" w:hint="default"/>
      </w:rPr>
    </w:lvl>
    <w:lvl w:ilvl="8" w:tplc="9D6CB284" w:tentative="1">
      <w:start w:val="1"/>
      <w:numFmt w:val="bullet"/>
      <w:lvlText w:val=""/>
      <w:lvlJc w:val="left"/>
      <w:pPr>
        <w:ind w:left="6840" w:hanging="360"/>
      </w:pPr>
      <w:rPr>
        <w:rFonts w:ascii="Wingdings" w:hAnsi="Wingdings" w:hint="default"/>
      </w:rPr>
    </w:lvl>
  </w:abstractNum>
  <w:abstractNum w:abstractNumId="3">
    <w:nsid w:val="29403704"/>
    <w:multiLevelType w:val="hybridMultilevel"/>
    <w:tmpl w:val="5EB828D6"/>
    <w:lvl w:ilvl="0" w:tplc="F1B663AE">
      <w:numFmt w:val="bullet"/>
      <w:lvlText w:val="-"/>
      <w:lvlJc w:val="left"/>
      <w:pPr>
        <w:ind w:left="360" w:hanging="360"/>
      </w:pPr>
      <w:rPr>
        <w:rFonts w:ascii="Times New Roman" w:eastAsia="SimSu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463073D"/>
    <w:multiLevelType w:val="hybridMultilevel"/>
    <w:tmpl w:val="D12894B0"/>
    <w:lvl w:ilvl="0" w:tplc="F1B663AE">
      <w:numFmt w:val="bullet"/>
      <w:lvlText w:val="-"/>
      <w:lvlJc w:val="left"/>
      <w:pPr>
        <w:ind w:left="36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A536854"/>
    <w:multiLevelType w:val="hybridMultilevel"/>
    <w:tmpl w:val="3D4C0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B3328E"/>
    <w:multiLevelType w:val="hybridMultilevel"/>
    <w:tmpl w:val="5022B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mirrorMargins/>
  <w:attachedTemplate r:id="rId1"/>
  <w:stylePaneFormatFilter w:val="3F01"/>
  <w:defaultTabStop w:val="737"/>
  <w:autoHyphenation/>
  <w:hyphenationZone w:val="284"/>
  <w:evenAndOddHeaders/>
  <w:noPunctuationKerning/>
  <w:characterSpacingControl w:val="doNotCompress"/>
  <w:hdrShapeDefaults>
    <o:shapedefaults v:ext="edit" spidmax="14338"/>
  </w:hdrShapeDefaults>
  <w:footnotePr>
    <w:footnote w:id="-1"/>
    <w:footnote w:id="0"/>
  </w:footnotePr>
  <w:endnotePr>
    <w:endnote w:id="-1"/>
    <w:endnote w:id="0"/>
  </w:endnotePr>
  <w:compat/>
  <w:rsids>
    <w:rsidRoot w:val="00DF199F"/>
    <w:rsid w:val="00003824"/>
    <w:rsid w:val="0000558D"/>
    <w:rsid w:val="00006110"/>
    <w:rsid w:val="00006A7D"/>
    <w:rsid w:val="00010236"/>
    <w:rsid w:val="00012444"/>
    <w:rsid w:val="00013E46"/>
    <w:rsid w:val="00016197"/>
    <w:rsid w:val="00021022"/>
    <w:rsid w:val="0002317F"/>
    <w:rsid w:val="00024782"/>
    <w:rsid w:val="00024F99"/>
    <w:rsid w:val="0003023F"/>
    <w:rsid w:val="000311E7"/>
    <w:rsid w:val="000317CA"/>
    <w:rsid w:val="0003289A"/>
    <w:rsid w:val="00033BE0"/>
    <w:rsid w:val="00033DA7"/>
    <w:rsid w:val="00034212"/>
    <w:rsid w:val="0003514E"/>
    <w:rsid w:val="00035BB6"/>
    <w:rsid w:val="000369C2"/>
    <w:rsid w:val="00036A76"/>
    <w:rsid w:val="000370D8"/>
    <w:rsid w:val="0003726E"/>
    <w:rsid w:val="000403BD"/>
    <w:rsid w:val="00040823"/>
    <w:rsid w:val="00042E16"/>
    <w:rsid w:val="00043FE7"/>
    <w:rsid w:val="00046358"/>
    <w:rsid w:val="000467F7"/>
    <w:rsid w:val="0004791D"/>
    <w:rsid w:val="00053B76"/>
    <w:rsid w:val="00055D02"/>
    <w:rsid w:val="000562F0"/>
    <w:rsid w:val="00060AC4"/>
    <w:rsid w:val="00062F53"/>
    <w:rsid w:val="000650ED"/>
    <w:rsid w:val="00065129"/>
    <w:rsid w:val="0006551E"/>
    <w:rsid w:val="0006668A"/>
    <w:rsid w:val="00070241"/>
    <w:rsid w:val="00070F33"/>
    <w:rsid w:val="00071021"/>
    <w:rsid w:val="00071082"/>
    <w:rsid w:val="0007113E"/>
    <w:rsid w:val="00071882"/>
    <w:rsid w:val="00071A66"/>
    <w:rsid w:val="00072063"/>
    <w:rsid w:val="0007493A"/>
    <w:rsid w:val="00074F4A"/>
    <w:rsid w:val="000750C6"/>
    <w:rsid w:val="0007566B"/>
    <w:rsid w:val="00077FEE"/>
    <w:rsid w:val="00080F61"/>
    <w:rsid w:val="00085535"/>
    <w:rsid w:val="00085FA4"/>
    <w:rsid w:val="00086F31"/>
    <w:rsid w:val="00092DAF"/>
    <w:rsid w:val="000936A6"/>
    <w:rsid w:val="00095B94"/>
    <w:rsid w:val="00096221"/>
    <w:rsid w:val="00096255"/>
    <w:rsid w:val="00096BEC"/>
    <w:rsid w:val="00097505"/>
    <w:rsid w:val="000A270B"/>
    <w:rsid w:val="000A34A7"/>
    <w:rsid w:val="000B0AE7"/>
    <w:rsid w:val="000B1168"/>
    <w:rsid w:val="000B29A8"/>
    <w:rsid w:val="000B3279"/>
    <w:rsid w:val="000B32E1"/>
    <w:rsid w:val="000B3F30"/>
    <w:rsid w:val="000B75CC"/>
    <w:rsid w:val="000C3C25"/>
    <w:rsid w:val="000C6A7F"/>
    <w:rsid w:val="000D7322"/>
    <w:rsid w:val="000E093E"/>
    <w:rsid w:val="000E2262"/>
    <w:rsid w:val="000E2368"/>
    <w:rsid w:val="000E49E2"/>
    <w:rsid w:val="000E4ACA"/>
    <w:rsid w:val="000E6FEF"/>
    <w:rsid w:val="000F17F0"/>
    <w:rsid w:val="000F2D0A"/>
    <w:rsid w:val="000F3642"/>
    <w:rsid w:val="000F3C1B"/>
    <w:rsid w:val="000F584C"/>
    <w:rsid w:val="000F75E8"/>
    <w:rsid w:val="000F77F9"/>
    <w:rsid w:val="00101AEC"/>
    <w:rsid w:val="00107581"/>
    <w:rsid w:val="00107C95"/>
    <w:rsid w:val="00107EB2"/>
    <w:rsid w:val="00110222"/>
    <w:rsid w:val="00110A45"/>
    <w:rsid w:val="00114581"/>
    <w:rsid w:val="00114701"/>
    <w:rsid w:val="00114CE2"/>
    <w:rsid w:val="001202B3"/>
    <w:rsid w:val="001223F0"/>
    <w:rsid w:val="001261F4"/>
    <w:rsid w:val="00126C70"/>
    <w:rsid w:val="00127160"/>
    <w:rsid w:val="00130B35"/>
    <w:rsid w:val="00133EF2"/>
    <w:rsid w:val="00134B57"/>
    <w:rsid w:val="001375B4"/>
    <w:rsid w:val="00142174"/>
    <w:rsid w:val="00142645"/>
    <w:rsid w:val="001438FA"/>
    <w:rsid w:val="001442BB"/>
    <w:rsid w:val="00144A88"/>
    <w:rsid w:val="00146363"/>
    <w:rsid w:val="001469DE"/>
    <w:rsid w:val="00146E36"/>
    <w:rsid w:val="00150736"/>
    <w:rsid w:val="00152D19"/>
    <w:rsid w:val="00154058"/>
    <w:rsid w:val="0015433B"/>
    <w:rsid w:val="0015487F"/>
    <w:rsid w:val="00154C3C"/>
    <w:rsid w:val="00155440"/>
    <w:rsid w:val="001561CD"/>
    <w:rsid w:val="0015695B"/>
    <w:rsid w:val="00156B1D"/>
    <w:rsid w:val="00157361"/>
    <w:rsid w:val="00160B32"/>
    <w:rsid w:val="00160B8F"/>
    <w:rsid w:val="00160E74"/>
    <w:rsid w:val="0016156A"/>
    <w:rsid w:val="00162276"/>
    <w:rsid w:val="001625CD"/>
    <w:rsid w:val="0016489A"/>
    <w:rsid w:val="0016550A"/>
    <w:rsid w:val="001700A4"/>
    <w:rsid w:val="001703E1"/>
    <w:rsid w:val="0017106E"/>
    <w:rsid w:val="00171811"/>
    <w:rsid w:val="001721BC"/>
    <w:rsid w:val="00172DFB"/>
    <w:rsid w:val="00176529"/>
    <w:rsid w:val="001769B4"/>
    <w:rsid w:val="00176C4D"/>
    <w:rsid w:val="001809B8"/>
    <w:rsid w:val="001829EF"/>
    <w:rsid w:val="00184F0A"/>
    <w:rsid w:val="00186D52"/>
    <w:rsid w:val="00190576"/>
    <w:rsid w:val="00191C94"/>
    <w:rsid w:val="00192136"/>
    <w:rsid w:val="001949F9"/>
    <w:rsid w:val="0019624A"/>
    <w:rsid w:val="001A0454"/>
    <w:rsid w:val="001A5DF9"/>
    <w:rsid w:val="001A65AA"/>
    <w:rsid w:val="001A6C29"/>
    <w:rsid w:val="001A7FE3"/>
    <w:rsid w:val="001B0B91"/>
    <w:rsid w:val="001B2DC4"/>
    <w:rsid w:val="001B6A98"/>
    <w:rsid w:val="001B6EA2"/>
    <w:rsid w:val="001B74D5"/>
    <w:rsid w:val="001B7B72"/>
    <w:rsid w:val="001C0275"/>
    <w:rsid w:val="001C055B"/>
    <w:rsid w:val="001C0873"/>
    <w:rsid w:val="001C1988"/>
    <w:rsid w:val="001C1A22"/>
    <w:rsid w:val="001C1A7C"/>
    <w:rsid w:val="001C38C2"/>
    <w:rsid w:val="001C3F66"/>
    <w:rsid w:val="001C5BF5"/>
    <w:rsid w:val="001C611A"/>
    <w:rsid w:val="001D118B"/>
    <w:rsid w:val="001D24C3"/>
    <w:rsid w:val="001D4210"/>
    <w:rsid w:val="001D724E"/>
    <w:rsid w:val="001D788A"/>
    <w:rsid w:val="001E2541"/>
    <w:rsid w:val="001E2894"/>
    <w:rsid w:val="001E2C0C"/>
    <w:rsid w:val="001E30A7"/>
    <w:rsid w:val="001E5308"/>
    <w:rsid w:val="001F17F2"/>
    <w:rsid w:val="001F2026"/>
    <w:rsid w:val="001F27FF"/>
    <w:rsid w:val="001F280F"/>
    <w:rsid w:val="001F30CF"/>
    <w:rsid w:val="001F4235"/>
    <w:rsid w:val="001F5E39"/>
    <w:rsid w:val="001F6CBA"/>
    <w:rsid w:val="00204BFF"/>
    <w:rsid w:val="002051E6"/>
    <w:rsid w:val="002061D9"/>
    <w:rsid w:val="0020650E"/>
    <w:rsid w:val="0020760D"/>
    <w:rsid w:val="002121C5"/>
    <w:rsid w:val="00212DD4"/>
    <w:rsid w:val="00213C6E"/>
    <w:rsid w:val="00213CF5"/>
    <w:rsid w:val="0021550F"/>
    <w:rsid w:val="00216608"/>
    <w:rsid w:val="002206AA"/>
    <w:rsid w:val="00220AF3"/>
    <w:rsid w:val="002212D5"/>
    <w:rsid w:val="00221447"/>
    <w:rsid w:val="00223D05"/>
    <w:rsid w:val="002249D4"/>
    <w:rsid w:val="00225DB0"/>
    <w:rsid w:val="00227EEC"/>
    <w:rsid w:val="00230D7E"/>
    <w:rsid w:val="002334A4"/>
    <w:rsid w:val="0023415B"/>
    <w:rsid w:val="00234956"/>
    <w:rsid w:val="00243770"/>
    <w:rsid w:val="00251705"/>
    <w:rsid w:val="00254249"/>
    <w:rsid w:val="00254AC9"/>
    <w:rsid w:val="002558C3"/>
    <w:rsid w:val="0025663B"/>
    <w:rsid w:val="002622A9"/>
    <w:rsid w:val="002628E8"/>
    <w:rsid w:val="00264E0D"/>
    <w:rsid w:val="002659E4"/>
    <w:rsid w:val="00270EB9"/>
    <w:rsid w:val="00272E65"/>
    <w:rsid w:val="00273A70"/>
    <w:rsid w:val="00275D53"/>
    <w:rsid w:val="00280574"/>
    <w:rsid w:val="00282E46"/>
    <w:rsid w:val="002836FE"/>
    <w:rsid w:val="002851B4"/>
    <w:rsid w:val="00287CD8"/>
    <w:rsid w:val="002912E8"/>
    <w:rsid w:val="002925CF"/>
    <w:rsid w:val="00293FF0"/>
    <w:rsid w:val="002963A8"/>
    <w:rsid w:val="002A1796"/>
    <w:rsid w:val="002A1B10"/>
    <w:rsid w:val="002A1BE8"/>
    <w:rsid w:val="002A2735"/>
    <w:rsid w:val="002A3DAA"/>
    <w:rsid w:val="002A5EB9"/>
    <w:rsid w:val="002B0706"/>
    <w:rsid w:val="002B080D"/>
    <w:rsid w:val="002B2CD8"/>
    <w:rsid w:val="002B320F"/>
    <w:rsid w:val="002B3295"/>
    <w:rsid w:val="002B58FC"/>
    <w:rsid w:val="002B64CC"/>
    <w:rsid w:val="002C2EEC"/>
    <w:rsid w:val="002C2FD1"/>
    <w:rsid w:val="002C400A"/>
    <w:rsid w:val="002C6910"/>
    <w:rsid w:val="002C6E7D"/>
    <w:rsid w:val="002D0031"/>
    <w:rsid w:val="002D0D9D"/>
    <w:rsid w:val="002D25DD"/>
    <w:rsid w:val="002D5FE1"/>
    <w:rsid w:val="002D66AC"/>
    <w:rsid w:val="002D6E91"/>
    <w:rsid w:val="002D6EB4"/>
    <w:rsid w:val="002E105D"/>
    <w:rsid w:val="002E19B0"/>
    <w:rsid w:val="002E2321"/>
    <w:rsid w:val="002E2645"/>
    <w:rsid w:val="002E3BE6"/>
    <w:rsid w:val="002E6E3E"/>
    <w:rsid w:val="002E74C2"/>
    <w:rsid w:val="002E7A41"/>
    <w:rsid w:val="002F2594"/>
    <w:rsid w:val="002F32A5"/>
    <w:rsid w:val="002F381F"/>
    <w:rsid w:val="002F3F1F"/>
    <w:rsid w:val="002F4293"/>
    <w:rsid w:val="002F4416"/>
    <w:rsid w:val="002F4E71"/>
    <w:rsid w:val="002F5711"/>
    <w:rsid w:val="002F7701"/>
    <w:rsid w:val="00302E92"/>
    <w:rsid w:val="00303356"/>
    <w:rsid w:val="00306A49"/>
    <w:rsid w:val="00311971"/>
    <w:rsid w:val="0031234E"/>
    <w:rsid w:val="00312F43"/>
    <w:rsid w:val="00315607"/>
    <w:rsid w:val="00321FEB"/>
    <w:rsid w:val="00322A24"/>
    <w:rsid w:val="0032351A"/>
    <w:rsid w:val="00333345"/>
    <w:rsid w:val="003339D5"/>
    <w:rsid w:val="00333C57"/>
    <w:rsid w:val="00335A2B"/>
    <w:rsid w:val="00336197"/>
    <w:rsid w:val="003367AE"/>
    <w:rsid w:val="00340B54"/>
    <w:rsid w:val="0034193F"/>
    <w:rsid w:val="0034345E"/>
    <w:rsid w:val="00344D53"/>
    <w:rsid w:val="00344D63"/>
    <w:rsid w:val="00345FD9"/>
    <w:rsid w:val="0034734F"/>
    <w:rsid w:val="003474AC"/>
    <w:rsid w:val="003500B7"/>
    <w:rsid w:val="0035059D"/>
    <w:rsid w:val="003526D0"/>
    <w:rsid w:val="003550FF"/>
    <w:rsid w:val="0035726C"/>
    <w:rsid w:val="00357716"/>
    <w:rsid w:val="00360902"/>
    <w:rsid w:val="00360C88"/>
    <w:rsid w:val="00361B47"/>
    <w:rsid w:val="00361F11"/>
    <w:rsid w:val="00362E37"/>
    <w:rsid w:val="00363847"/>
    <w:rsid w:val="00363946"/>
    <w:rsid w:val="0036401A"/>
    <w:rsid w:val="00371E80"/>
    <w:rsid w:val="00372CCD"/>
    <w:rsid w:val="0037692C"/>
    <w:rsid w:val="003770DA"/>
    <w:rsid w:val="003828AA"/>
    <w:rsid w:val="00382B26"/>
    <w:rsid w:val="003839A5"/>
    <w:rsid w:val="003840F1"/>
    <w:rsid w:val="00385B19"/>
    <w:rsid w:val="00387FED"/>
    <w:rsid w:val="00390374"/>
    <w:rsid w:val="00391E36"/>
    <w:rsid w:val="003921D2"/>
    <w:rsid w:val="00393ECF"/>
    <w:rsid w:val="00395027"/>
    <w:rsid w:val="003A1C36"/>
    <w:rsid w:val="003A580A"/>
    <w:rsid w:val="003A59FC"/>
    <w:rsid w:val="003A6B91"/>
    <w:rsid w:val="003B1C37"/>
    <w:rsid w:val="003B1FC4"/>
    <w:rsid w:val="003B30AA"/>
    <w:rsid w:val="003B322C"/>
    <w:rsid w:val="003B3DD6"/>
    <w:rsid w:val="003B65BF"/>
    <w:rsid w:val="003C0E5D"/>
    <w:rsid w:val="003C224A"/>
    <w:rsid w:val="003C33D2"/>
    <w:rsid w:val="003C3831"/>
    <w:rsid w:val="003C38B8"/>
    <w:rsid w:val="003C3DA5"/>
    <w:rsid w:val="003C50C4"/>
    <w:rsid w:val="003C5B71"/>
    <w:rsid w:val="003C7C4E"/>
    <w:rsid w:val="003D1190"/>
    <w:rsid w:val="003D227F"/>
    <w:rsid w:val="003D2A1E"/>
    <w:rsid w:val="003D3F6F"/>
    <w:rsid w:val="003D4F83"/>
    <w:rsid w:val="003D60DD"/>
    <w:rsid w:val="003D724A"/>
    <w:rsid w:val="003E13B7"/>
    <w:rsid w:val="003E1507"/>
    <w:rsid w:val="003E16DF"/>
    <w:rsid w:val="003E2786"/>
    <w:rsid w:val="003E3EF3"/>
    <w:rsid w:val="003E4477"/>
    <w:rsid w:val="003E64DF"/>
    <w:rsid w:val="003E7B86"/>
    <w:rsid w:val="003F0135"/>
    <w:rsid w:val="003F4B16"/>
    <w:rsid w:val="003F5546"/>
    <w:rsid w:val="003F66B5"/>
    <w:rsid w:val="003F7352"/>
    <w:rsid w:val="003F747A"/>
    <w:rsid w:val="003F74E4"/>
    <w:rsid w:val="003F7564"/>
    <w:rsid w:val="00400AA8"/>
    <w:rsid w:val="00400C3F"/>
    <w:rsid w:val="004026E8"/>
    <w:rsid w:val="004036FB"/>
    <w:rsid w:val="004042D8"/>
    <w:rsid w:val="004043CB"/>
    <w:rsid w:val="00404FF1"/>
    <w:rsid w:val="004053EB"/>
    <w:rsid w:val="00405BB6"/>
    <w:rsid w:val="00406668"/>
    <w:rsid w:val="00410E4E"/>
    <w:rsid w:val="004116A5"/>
    <w:rsid w:val="00412135"/>
    <w:rsid w:val="00412D9A"/>
    <w:rsid w:val="004144F7"/>
    <w:rsid w:val="004169CD"/>
    <w:rsid w:val="00422BC0"/>
    <w:rsid w:val="004231B9"/>
    <w:rsid w:val="00424DB0"/>
    <w:rsid w:val="00424EAB"/>
    <w:rsid w:val="00426D7D"/>
    <w:rsid w:val="00430F34"/>
    <w:rsid w:val="00431235"/>
    <w:rsid w:val="00433B57"/>
    <w:rsid w:val="00433C01"/>
    <w:rsid w:val="00435014"/>
    <w:rsid w:val="00435D12"/>
    <w:rsid w:val="0044019D"/>
    <w:rsid w:val="00440D49"/>
    <w:rsid w:val="00443818"/>
    <w:rsid w:val="00444ED8"/>
    <w:rsid w:val="00445DA8"/>
    <w:rsid w:val="00452BA0"/>
    <w:rsid w:val="0045316C"/>
    <w:rsid w:val="00454671"/>
    <w:rsid w:val="004564F5"/>
    <w:rsid w:val="00457E62"/>
    <w:rsid w:val="004609D8"/>
    <w:rsid w:val="00461216"/>
    <w:rsid w:val="004616CF"/>
    <w:rsid w:val="004619D6"/>
    <w:rsid w:val="00463836"/>
    <w:rsid w:val="00463A8E"/>
    <w:rsid w:val="00464D1B"/>
    <w:rsid w:val="00465781"/>
    <w:rsid w:val="00465DEB"/>
    <w:rsid w:val="004660D6"/>
    <w:rsid w:val="00470A01"/>
    <w:rsid w:val="00470A07"/>
    <w:rsid w:val="004712C0"/>
    <w:rsid w:val="00471A27"/>
    <w:rsid w:val="00472B91"/>
    <w:rsid w:val="00472EC7"/>
    <w:rsid w:val="00472F3A"/>
    <w:rsid w:val="00475C8D"/>
    <w:rsid w:val="00475D46"/>
    <w:rsid w:val="0047627D"/>
    <w:rsid w:val="00477836"/>
    <w:rsid w:val="00481B85"/>
    <w:rsid w:val="004838C3"/>
    <w:rsid w:val="00485B70"/>
    <w:rsid w:val="00485CB7"/>
    <w:rsid w:val="00485FD7"/>
    <w:rsid w:val="0048762E"/>
    <w:rsid w:val="00487EB1"/>
    <w:rsid w:val="00490D3B"/>
    <w:rsid w:val="00491DA2"/>
    <w:rsid w:val="004940F4"/>
    <w:rsid w:val="00494474"/>
    <w:rsid w:val="004947F6"/>
    <w:rsid w:val="004948BA"/>
    <w:rsid w:val="00495AE3"/>
    <w:rsid w:val="00495C4C"/>
    <w:rsid w:val="0049760F"/>
    <w:rsid w:val="004A0ED0"/>
    <w:rsid w:val="004A2D63"/>
    <w:rsid w:val="004A4A67"/>
    <w:rsid w:val="004A52E3"/>
    <w:rsid w:val="004A5B4F"/>
    <w:rsid w:val="004A6232"/>
    <w:rsid w:val="004B16EF"/>
    <w:rsid w:val="004B1A8D"/>
    <w:rsid w:val="004B3770"/>
    <w:rsid w:val="004B63FF"/>
    <w:rsid w:val="004B77ED"/>
    <w:rsid w:val="004C0329"/>
    <w:rsid w:val="004C0689"/>
    <w:rsid w:val="004C0D32"/>
    <w:rsid w:val="004C0D45"/>
    <w:rsid w:val="004C44CE"/>
    <w:rsid w:val="004D23A1"/>
    <w:rsid w:val="004D6691"/>
    <w:rsid w:val="004D6DA5"/>
    <w:rsid w:val="004E0634"/>
    <w:rsid w:val="004E19A8"/>
    <w:rsid w:val="004E1F3C"/>
    <w:rsid w:val="004E24BD"/>
    <w:rsid w:val="004E39DA"/>
    <w:rsid w:val="004F442B"/>
    <w:rsid w:val="004F61A1"/>
    <w:rsid w:val="004F6576"/>
    <w:rsid w:val="004F6CCF"/>
    <w:rsid w:val="004F70C3"/>
    <w:rsid w:val="005019FC"/>
    <w:rsid w:val="00501CD6"/>
    <w:rsid w:val="005027F0"/>
    <w:rsid w:val="00505829"/>
    <w:rsid w:val="00506F7E"/>
    <w:rsid w:val="00510FC2"/>
    <w:rsid w:val="00511070"/>
    <w:rsid w:val="00511238"/>
    <w:rsid w:val="00514229"/>
    <w:rsid w:val="005155D1"/>
    <w:rsid w:val="00516046"/>
    <w:rsid w:val="00516DBE"/>
    <w:rsid w:val="00516DE7"/>
    <w:rsid w:val="00520952"/>
    <w:rsid w:val="00520EB9"/>
    <w:rsid w:val="0052260A"/>
    <w:rsid w:val="005235FE"/>
    <w:rsid w:val="00524B86"/>
    <w:rsid w:val="00524E37"/>
    <w:rsid w:val="005253C2"/>
    <w:rsid w:val="005316F8"/>
    <w:rsid w:val="00536867"/>
    <w:rsid w:val="00536B1D"/>
    <w:rsid w:val="00540664"/>
    <w:rsid w:val="005443DB"/>
    <w:rsid w:val="00547DF1"/>
    <w:rsid w:val="005504B3"/>
    <w:rsid w:val="005504DC"/>
    <w:rsid w:val="005505E8"/>
    <w:rsid w:val="005513E1"/>
    <w:rsid w:val="00551CD6"/>
    <w:rsid w:val="00551DE6"/>
    <w:rsid w:val="00553469"/>
    <w:rsid w:val="0055347B"/>
    <w:rsid w:val="005534EF"/>
    <w:rsid w:val="00553C55"/>
    <w:rsid w:val="00553F4A"/>
    <w:rsid w:val="0055479E"/>
    <w:rsid w:val="00554C90"/>
    <w:rsid w:val="00556E09"/>
    <w:rsid w:val="00562F3E"/>
    <w:rsid w:val="005660D1"/>
    <w:rsid w:val="0057071D"/>
    <w:rsid w:val="00570735"/>
    <w:rsid w:val="00570F2F"/>
    <w:rsid w:val="0057247E"/>
    <w:rsid w:val="0057389E"/>
    <w:rsid w:val="00573907"/>
    <w:rsid w:val="0057632E"/>
    <w:rsid w:val="00577860"/>
    <w:rsid w:val="005806AC"/>
    <w:rsid w:val="00580FF4"/>
    <w:rsid w:val="005835B2"/>
    <w:rsid w:val="00584217"/>
    <w:rsid w:val="00586260"/>
    <w:rsid w:val="00590374"/>
    <w:rsid w:val="005906F1"/>
    <w:rsid w:val="00590883"/>
    <w:rsid w:val="00590A63"/>
    <w:rsid w:val="005934B9"/>
    <w:rsid w:val="00595895"/>
    <w:rsid w:val="00596C6E"/>
    <w:rsid w:val="005A08CD"/>
    <w:rsid w:val="005A1247"/>
    <w:rsid w:val="005A220C"/>
    <w:rsid w:val="005A2AF7"/>
    <w:rsid w:val="005A2CA4"/>
    <w:rsid w:val="005A3666"/>
    <w:rsid w:val="005A4438"/>
    <w:rsid w:val="005A47C7"/>
    <w:rsid w:val="005A55C0"/>
    <w:rsid w:val="005B165E"/>
    <w:rsid w:val="005B1B44"/>
    <w:rsid w:val="005B2CA9"/>
    <w:rsid w:val="005B376D"/>
    <w:rsid w:val="005B4EB9"/>
    <w:rsid w:val="005B5836"/>
    <w:rsid w:val="005B6E0D"/>
    <w:rsid w:val="005B754E"/>
    <w:rsid w:val="005B79E0"/>
    <w:rsid w:val="005B7E79"/>
    <w:rsid w:val="005C0FD1"/>
    <w:rsid w:val="005C4A46"/>
    <w:rsid w:val="005C500F"/>
    <w:rsid w:val="005C5171"/>
    <w:rsid w:val="005C6BCC"/>
    <w:rsid w:val="005C7298"/>
    <w:rsid w:val="005D0FB4"/>
    <w:rsid w:val="005D14F3"/>
    <w:rsid w:val="005E00EF"/>
    <w:rsid w:val="005E0ADB"/>
    <w:rsid w:val="005E2E64"/>
    <w:rsid w:val="005E3947"/>
    <w:rsid w:val="005E4CAB"/>
    <w:rsid w:val="005E5421"/>
    <w:rsid w:val="005E60F9"/>
    <w:rsid w:val="005F1692"/>
    <w:rsid w:val="005F311B"/>
    <w:rsid w:val="005F48B3"/>
    <w:rsid w:val="005F4CAD"/>
    <w:rsid w:val="005F53AC"/>
    <w:rsid w:val="005F553A"/>
    <w:rsid w:val="005F5D06"/>
    <w:rsid w:val="005F5D8F"/>
    <w:rsid w:val="005F6C01"/>
    <w:rsid w:val="005F7CB3"/>
    <w:rsid w:val="00601019"/>
    <w:rsid w:val="00601B01"/>
    <w:rsid w:val="00603ADE"/>
    <w:rsid w:val="00610337"/>
    <w:rsid w:val="00611D54"/>
    <w:rsid w:val="00611F52"/>
    <w:rsid w:val="006142B1"/>
    <w:rsid w:val="00615EA6"/>
    <w:rsid w:val="00620F5D"/>
    <w:rsid w:val="00620FBE"/>
    <w:rsid w:val="00621291"/>
    <w:rsid w:val="0062174B"/>
    <w:rsid w:val="00621F83"/>
    <w:rsid w:val="00622222"/>
    <w:rsid w:val="00623468"/>
    <w:rsid w:val="00623761"/>
    <w:rsid w:val="006308A2"/>
    <w:rsid w:val="006341D0"/>
    <w:rsid w:val="00636249"/>
    <w:rsid w:val="00636E34"/>
    <w:rsid w:val="00640116"/>
    <w:rsid w:val="0064063E"/>
    <w:rsid w:val="006409A1"/>
    <w:rsid w:val="00640BDA"/>
    <w:rsid w:val="006412F3"/>
    <w:rsid w:val="00641427"/>
    <w:rsid w:val="006465D8"/>
    <w:rsid w:val="00647546"/>
    <w:rsid w:val="00651905"/>
    <w:rsid w:val="00651C09"/>
    <w:rsid w:val="00652204"/>
    <w:rsid w:val="006557CA"/>
    <w:rsid w:val="00660A0F"/>
    <w:rsid w:val="006615A2"/>
    <w:rsid w:val="0066175A"/>
    <w:rsid w:val="00662671"/>
    <w:rsid w:val="00666AB7"/>
    <w:rsid w:val="00666B0B"/>
    <w:rsid w:val="00667B9E"/>
    <w:rsid w:val="0067450B"/>
    <w:rsid w:val="006753C5"/>
    <w:rsid w:val="00680177"/>
    <w:rsid w:val="006806B9"/>
    <w:rsid w:val="006809D7"/>
    <w:rsid w:val="00681D73"/>
    <w:rsid w:val="0068251A"/>
    <w:rsid w:val="00683FCA"/>
    <w:rsid w:val="0068685E"/>
    <w:rsid w:val="00686982"/>
    <w:rsid w:val="00687235"/>
    <w:rsid w:val="00690123"/>
    <w:rsid w:val="00690253"/>
    <w:rsid w:val="006902EC"/>
    <w:rsid w:val="006908FC"/>
    <w:rsid w:val="00692969"/>
    <w:rsid w:val="00693237"/>
    <w:rsid w:val="00694CDB"/>
    <w:rsid w:val="00694E15"/>
    <w:rsid w:val="0069581B"/>
    <w:rsid w:val="00696BF6"/>
    <w:rsid w:val="00697F35"/>
    <w:rsid w:val="006A4D8B"/>
    <w:rsid w:val="006B0F38"/>
    <w:rsid w:val="006B187E"/>
    <w:rsid w:val="006B2D0E"/>
    <w:rsid w:val="006B667E"/>
    <w:rsid w:val="006B7533"/>
    <w:rsid w:val="006C1154"/>
    <w:rsid w:val="006C168E"/>
    <w:rsid w:val="006C2292"/>
    <w:rsid w:val="006C2372"/>
    <w:rsid w:val="006C5013"/>
    <w:rsid w:val="006C7AEA"/>
    <w:rsid w:val="006D1767"/>
    <w:rsid w:val="006D2901"/>
    <w:rsid w:val="006D5B7C"/>
    <w:rsid w:val="006D618D"/>
    <w:rsid w:val="006D6CAF"/>
    <w:rsid w:val="006D7BAF"/>
    <w:rsid w:val="006E2D30"/>
    <w:rsid w:val="006E44AA"/>
    <w:rsid w:val="006E68BF"/>
    <w:rsid w:val="006E7416"/>
    <w:rsid w:val="006F0608"/>
    <w:rsid w:val="006F0D66"/>
    <w:rsid w:val="006F29EB"/>
    <w:rsid w:val="006F5EA2"/>
    <w:rsid w:val="006F6DB7"/>
    <w:rsid w:val="00700CC9"/>
    <w:rsid w:val="00700DCB"/>
    <w:rsid w:val="007033A9"/>
    <w:rsid w:val="00703E22"/>
    <w:rsid w:val="0070429F"/>
    <w:rsid w:val="00704F36"/>
    <w:rsid w:val="007059EE"/>
    <w:rsid w:val="00705BA4"/>
    <w:rsid w:val="007060C3"/>
    <w:rsid w:val="00706166"/>
    <w:rsid w:val="00706ACD"/>
    <w:rsid w:val="00707516"/>
    <w:rsid w:val="00711237"/>
    <w:rsid w:val="007121F8"/>
    <w:rsid w:val="00715F2C"/>
    <w:rsid w:val="007164C4"/>
    <w:rsid w:val="00723223"/>
    <w:rsid w:val="00723E51"/>
    <w:rsid w:val="00725904"/>
    <w:rsid w:val="00730863"/>
    <w:rsid w:val="0073213F"/>
    <w:rsid w:val="00732F89"/>
    <w:rsid w:val="00735251"/>
    <w:rsid w:val="00735D95"/>
    <w:rsid w:val="007404DE"/>
    <w:rsid w:val="00740777"/>
    <w:rsid w:val="007444CE"/>
    <w:rsid w:val="0074661E"/>
    <w:rsid w:val="00750523"/>
    <w:rsid w:val="007508DE"/>
    <w:rsid w:val="00751249"/>
    <w:rsid w:val="00751AD4"/>
    <w:rsid w:val="00752C28"/>
    <w:rsid w:val="00753AD3"/>
    <w:rsid w:val="00754225"/>
    <w:rsid w:val="007542BF"/>
    <w:rsid w:val="00754A01"/>
    <w:rsid w:val="00757BD4"/>
    <w:rsid w:val="007607CF"/>
    <w:rsid w:val="00763271"/>
    <w:rsid w:val="0076494A"/>
    <w:rsid w:val="007650F1"/>
    <w:rsid w:val="00770AFC"/>
    <w:rsid w:val="00776451"/>
    <w:rsid w:val="00777BD8"/>
    <w:rsid w:val="00777F38"/>
    <w:rsid w:val="00780119"/>
    <w:rsid w:val="0078099A"/>
    <w:rsid w:val="0078457F"/>
    <w:rsid w:val="00784942"/>
    <w:rsid w:val="00784D95"/>
    <w:rsid w:val="00784FD6"/>
    <w:rsid w:val="0078527F"/>
    <w:rsid w:val="00786869"/>
    <w:rsid w:val="00791721"/>
    <w:rsid w:val="00791865"/>
    <w:rsid w:val="007920B7"/>
    <w:rsid w:val="00793243"/>
    <w:rsid w:val="00793AF9"/>
    <w:rsid w:val="00794063"/>
    <w:rsid w:val="007959E3"/>
    <w:rsid w:val="00795ECF"/>
    <w:rsid w:val="007A02D4"/>
    <w:rsid w:val="007A1A12"/>
    <w:rsid w:val="007A255F"/>
    <w:rsid w:val="007A3424"/>
    <w:rsid w:val="007A4E8A"/>
    <w:rsid w:val="007A4F45"/>
    <w:rsid w:val="007A78A5"/>
    <w:rsid w:val="007A7BDA"/>
    <w:rsid w:val="007A7C4D"/>
    <w:rsid w:val="007A7D95"/>
    <w:rsid w:val="007B0625"/>
    <w:rsid w:val="007B0D62"/>
    <w:rsid w:val="007B1035"/>
    <w:rsid w:val="007B164C"/>
    <w:rsid w:val="007B17E3"/>
    <w:rsid w:val="007B1E25"/>
    <w:rsid w:val="007B4AEA"/>
    <w:rsid w:val="007B4CAD"/>
    <w:rsid w:val="007B6238"/>
    <w:rsid w:val="007B748F"/>
    <w:rsid w:val="007B7608"/>
    <w:rsid w:val="007B7709"/>
    <w:rsid w:val="007B7827"/>
    <w:rsid w:val="007C1D79"/>
    <w:rsid w:val="007C2A2A"/>
    <w:rsid w:val="007C38A3"/>
    <w:rsid w:val="007C3DA6"/>
    <w:rsid w:val="007C4C53"/>
    <w:rsid w:val="007D0FD4"/>
    <w:rsid w:val="007D122C"/>
    <w:rsid w:val="007D15C9"/>
    <w:rsid w:val="007D2509"/>
    <w:rsid w:val="007D31DA"/>
    <w:rsid w:val="007D5608"/>
    <w:rsid w:val="007D6996"/>
    <w:rsid w:val="007D71BD"/>
    <w:rsid w:val="007E158C"/>
    <w:rsid w:val="007E1985"/>
    <w:rsid w:val="007E1D1B"/>
    <w:rsid w:val="007E1E99"/>
    <w:rsid w:val="007E34AC"/>
    <w:rsid w:val="007E3CB7"/>
    <w:rsid w:val="007E4435"/>
    <w:rsid w:val="007E5251"/>
    <w:rsid w:val="007E6887"/>
    <w:rsid w:val="007E71A6"/>
    <w:rsid w:val="007F19AE"/>
    <w:rsid w:val="007F22C6"/>
    <w:rsid w:val="007F512A"/>
    <w:rsid w:val="007F5AF0"/>
    <w:rsid w:val="007F78F0"/>
    <w:rsid w:val="008010DA"/>
    <w:rsid w:val="00801BB8"/>
    <w:rsid w:val="0080560D"/>
    <w:rsid w:val="00810B35"/>
    <w:rsid w:val="00811568"/>
    <w:rsid w:val="0081221F"/>
    <w:rsid w:val="008128F5"/>
    <w:rsid w:val="0081713D"/>
    <w:rsid w:val="00817962"/>
    <w:rsid w:val="00817B8E"/>
    <w:rsid w:val="00827F7B"/>
    <w:rsid w:val="00830777"/>
    <w:rsid w:val="008339E7"/>
    <w:rsid w:val="00834642"/>
    <w:rsid w:val="00834929"/>
    <w:rsid w:val="00835903"/>
    <w:rsid w:val="00836E9D"/>
    <w:rsid w:val="0084364C"/>
    <w:rsid w:val="00844371"/>
    <w:rsid w:val="00847827"/>
    <w:rsid w:val="00852FB7"/>
    <w:rsid w:val="008538F8"/>
    <w:rsid w:val="0085504F"/>
    <w:rsid w:val="00855531"/>
    <w:rsid w:val="00856059"/>
    <w:rsid w:val="00857DC9"/>
    <w:rsid w:val="00860AF1"/>
    <w:rsid w:val="00864E6C"/>
    <w:rsid w:val="00864EC8"/>
    <w:rsid w:val="0086786A"/>
    <w:rsid w:val="00867B36"/>
    <w:rsid w:val="008700DF"/>
    <w:rsid w:val="008709A3"/>
    <w:rsid w:val="0087259A"/>
    <w:rsid w:val="0087411C"/>
    <w:rsid w:val="00874F9B"/>
    <w:rsid w:val="008769F1"/>
    <w:rsid w:val="00881C7E"/>
    <w:rsid w:val="008827CC"/>
    <w:rsid w:val="00885384"/>
    <w:rsid w:val="008857CA"/>
    <w:rsid w:val="00885C2B"/>
    <w:rsid w:val="008864FA"/>
    <w:rsid w:val="0088723A"/>
    <w:rsid w:val="00887618"/>
    <w:rsid w:val="00891885"/>
    <w:rsid w:val="008932E1"/>
    <w:rsid w:val="00893779"/>
    <w:rsid w:val="00893A10"/>
    <w:rsid w:val="0089434A"/>
    <w:rsid w:val="0089536F"/>
    <w:rsid w:val="008957DF"/>
    <w:rsid w:val="00895CFF"/>
    <w:rsid w:val="008A29B9"/>
    <w:rsid w:val="008A6A82"/>
    <w:rsid w:val="008A70F5"/>
    <w:rsid w:val="008A7F22"/>
    <w:rsid w:val="008B0F05"/>
    <w:rsid w:val="008B3324"/>
    <w:rsid w:val="008B674C"/>
    <w:rsid w:val="008B7474"/>
    <w:rsid w:val="008C09E1"/>
    <w:rsid w:val="008C2455"/>
    <w:rsid w:val="008C3DED"/>
    <w:rsid w:val="008C4B87"/>
    <w:rsid w:val="008C6B85"/>
    <w:rsid w:val="008D2658"/>
    <w:rsid w:val="008D2B9C"/>
    <w:rsid w:val="008D34E1"/>
    <w:rsid w:val="008D3705"/>
    <w:rsid w:val="008D37E6"/>
    <w:rsid w:val="008D705D"/>
    <w:rsid w:val="008D7DA8"/>
    <w:rsid w:val="008E25FE"/>
    <w:rsid w:val="008E44A5"/>
    <w:rsid w:val="008E502B"/>
    <w:rsid w:val="008E6206"/>
    <w:rsid w:val="008E69C2"/>
    <w:rsid w:val="008E6A9F"/>
    <w:rsid w:val="008E72C7"/>
    <w:rsid w:val="008F0B3D"/>
    <w:rsid w:val="008F2F80"/>
    <w:rsid w:val="008F3BF8"/>
    <w:rsid w:val="008F40E0"/>
    <w:rsid w:val="008F4341"/>
    <w:rsid w:val="00900F88"/>
    <w:rsid w:val="00902784"/>
    <w:rsid w:val="00903063"/>
    <w:rsid w:val="00903405"/>
    <w:rsid w:val="00903B77"/>
    <w:rsid w:val="00903E89"/>
    <w:rsid w:val="009060A3"/>
    <w:rsid w:val="0090640E"/>
    <w:rsid w:val="00912ACD"/>
    <w:rsid w:val="00912BA7"/>
    <w:rsid w:val="0091388F"/>
    <w:rsid w:val="009138F3"/>
    <w:rsid w:val="009158C6"/>
    <w:rsid w:val="00920610"/>
    <w:rsid w:val="00921A4B"/>
    <w:rsid w:val="0092381F"/>
    <w:rsid w:val="00923BC8"/>
    <w:rsid w:val="00924ADB"/>
    <w:rsid w:val="00924B4A"/>
    <w:rsid w:val="009268A2"/>
    <w:rsid w:val="00931E17"/>
    <w:rsid w:val="00935011"/>
    <w:rsid w:val="00935D64"/>
    <w:rsid w:val="00937FD4"/>
    <w:rsid w:val="00941DE4"/>
    <w:rsid w:val="00942689"/>
    <w:rsid w:val="00944AEC"/>
    <w:rsid w:val="00945EC9"/>
    <w:rsid w:val="0094637C"/>
    <w:rsid w:val="0095099A"/>
    <w:rsid w:val="00950F13"/>
    <w:rsid w:val="00951452"/>
    <w:rsid w:val="00952A4A"/>
    <w:rsid w:val="00956AB2"/>
    <w:rsid w:val="00960478"/>
    <w:rsid w:val="00960753"/>
    <w:rsid w:val="00962A84"/>
    <w:rsid w:val="00963599"/>
    <w:rsid w:val="009665BB"/>
    <w:rsid w:val="009666A7"/>
    <w:rsid w:val="009709CA"/>
    <w:rsid w:val="00973223"/>
    <w:rsid w:val="009745AE"/>
    <w:rsid w:val="0097528F"/>
    <w:rsid w:val="00982655"/>
    <w:rsid w:val="00982775"/>
    <w:rsid w:val="00984FEA"/>
    <w:rsid w:val="0098529A"/>
    <w:rsid w:val="009870F0"/>
    <w:rsid w:val="00993306"/>
    <w:rsid w:val="00994022"/>
    <w:rsid w:val="00995EA3"/>
    <w:rsid w:val="00996757"/>
    <w:rsid w:val="009968FD"/>
    <w:rsid w:val="009A1A93"/>
    <w:rsid w:val="009A25AB"/>
    <w:rsid w:val="009A3B2C"/>
    <w:rsid w:val="009A3FBD"/>
    <w:rsid w:val="009A5592"/>
    <w:rsid w:val="009A66C9"/>
    <w:rsid w:val="009A6980"/>
    <w:rsid w:val="009A7B43"/>
    <w:rsid w:val="009B04D3"/>
    <w:rsid w:val="009B1423"/>
    <w:rsid w:val="009B331F"/>
    <w:rsid w:val="009B5CDF"/>
    <w:rsid w:val="009B7A63"/>
    <w:rsid w:val="009C0189"/>
    <w:rsid w:val="009C0787"/>
    <w:rsid w:val="009C0969"/>
    <w:rsid w:val="009C207E"/>
    <w:rsid w:val="009C3161"/>
    <w:rsid w:val="009C3D06"/>
    <w:rsid w:val="009C43C3"/>
    <w:rsid w:val="009C5F51"/>
    <w:rsid w:val="009C7701"/>
    <w:rsid w:val="009C7F60"/>
    <w:rsid w:val="009D1038"/>
    <w:rsid w:val="009D17F4"/>
    <w:rsid w:val="009D21EE"/>
    <w:rsid w:val="009D2EFF"/>
    <w:rsid w:val="009D321A"/>
    <w:rsid w:val="009D338F"/>
    <w:rsid w:val="009D5927"/>
    <w:rsid w:val="009D5D49"/>
    <w:rsid w:val="009E0536"/>
    <w:rsid w:val="009E07A7"/>
    <w:rsid w:val="009E10F4"/>
    <w:rsid w:val="009E16FC"/>
    <w:rsid w:val="009E28C8"/>
    <w:rsid w:val="009E30A3"/>
    <w:rsid w:val="009E3114"/>
    <w:rsid w:val="009E35DA"/>
    <w:rsid w:val="009E48D9"/>
    <w:rsid w:val="009E7964"/>
    <w:rsid w:val="009E7E58"/>
    <w:rsid w:val="009F1156"/>
    <w:rsid w:val="009F17D6"/>
    <w:rsid w:val="009F3BB1"/>
    <w:rsid w:val="009F7FBA"/>
    <w:rsid w:val="00A00200"/>
    <w:rsid w:val="00A0157C"/>
    <w:rsid w:val="00A024E8"/>
    <w:rsid w:val="00A03049"/>
    <w:rsid w:val="00A0393B"/>
    <w:rsid w:val="00A057A9"/>
    <w:rsid w:val="00A05FE3"/>
    <w:rsid w:val="00A06286"/>
    <w:rsid w:val="00A066BB"/>
    <w:rsid w:val="00A077DB"/>
    <w:rsid w:val="00A07B02"/>
    <w:rsid w:val="00A07E14"/>
    <w:rsid w:val="00A160EB"/>
    <w:rsid w:val="00A177E0"/>
    <w:rsid w:val="00A2083F"/>
    <w:rsid w:val="00A23D93"/>
    <w:rsid w:val="00A24908"/>
    <w:rsid w:val="00A25F96"/>
    <w:rsid w:val="00A308DC"/>
    <w:rsid w:val="00A32657"/>
    <w:rsid w:val="00A32D66"/>
    <w:rsid w:val="00A32E90"/>
    <w:rsid w:val="00A34720"/>
    <w:rsid w:val="00A36332"/>
    <w:rsid w:val="00A40A20"/>
    <w:rsid w:val="00A41064"/>
    <w:rsid w:val="00A41DAB"/>
    <w:rsid w:val="00A41F4C"/>
    <w:rsid w:val="00A425C6"/>
    <w:rsid w:val="00A42D10"/>
    <w:rsid w:val="00A44E2F"/>
    <w:rsid w:val="00A46BF0"/>
    <w:rsid w:val="00A478E9"/>
    <w:rsid w:val="00A47F6C"/>
    <w:rsid w:val="00A51036"/>
    <w:rsid w:val="00A638DB"/>
    <w:rsid w:val="00A644B2"/>
    <w:rsid w:val="00A64BE2"/>
    <w:rsid w:val="00A660D6"/>
    <w:rsid w:val="00A66F3E"/>
    <w:rsid w:val="00A67749"/>
    <w:rsid w:val="00A7162F"/>
    <w:rsid w:val="00A7319E"/>
    <w:rsid w:val="00A763DB"/>
    <w:rsid w:val="00A765C3"/>
    <w:rsid w:val="00A76C78"/>
    <w:rsid w:val="00A77193"/>
    <w:rsid w:val="00A809C2"/>
    <w:rsid w:val="00A825FE"/>
    <w:rsid w:val="00A86D65"/>
    <w:rsid w:val="00A86DAC"/>
    <w:rsid w:val="00A8768E"/>
    <w:rsid w:val="00A9033E"/>
    <w:rsid w:val="00A9039A"/>
    <w:rsid w:val="00A90419"/>
    <w:rsid w:val="00A91FDE"/>
    <w:rsid w:val="00A93932"/>
    <w:rsid w:val="00A94EC1"/>
    <w:rsid w:val="00A95497"/>
    <w:rsid w:val="00A971A7"/>
    <w:rsid w:val="00AA01E7"/>
    <w:rsid w:val="00AA73B9"/>
    <w:rsid w:val="00AA76B2"/>
    <w:rsid w:val="00AB0185"/>
    <w:rsid w:val="00AB083E"/>
    <w:rsid w:val="00AB0BCE"/>
    <w:rsid w:val="00AB1645"/>
    <w:rsid w:val="00AB1CFE"/>
    <w:rsid w:val="00AB36F2"/>
    <w:rsid w:val="00AB4058"/>
    <w:rsid w:val="00AB4E5C"/>
    <w:rsid w:val="00AB5DEE"/>
    <w:rsid w:val="00AC26D6"/>
    <w:rsid w:val="00AC32D9"/>
    <w:rsid w:val="00AC5445"/>
    <w:rsid w:val="00AC7D7B"/>
    <w:rsid w:val="00AD0BC7"/>
    <w:rsid w:val="00AD40BF"/>
    <w:rsid w:val="00AD5212"/>
    <w:rsid w:val="00AD5E63"/>
    <w:rsid w:val="00AD6D6A"/>
    <w:rsid w:val="00AE0F4E"/>
    <w:rsid w:val="00AE179B"/>
    <w:rsid w:val="00AE271B"/>
    <w:rsid w:val="00AE2EA5"/>
    <w:rsid w:val="00AE31B6"/>
    <w:rsid w:val="00AE4539"/>
    <w:rsid w:val="00AE6078"/>
    <w:rsid w:val="00AE6091"/>
    <w:rsid w:val="00AE6FFC"/>
    <w:rsid w:val="00AF12D7"/>
    <w:rsid w:val="00AF4195"/>
    <w:rsid w:val="00B04854"/>
    <w:rsid w:val="00B04A12"/>
    <w:rsid w:val="00B06784"/>
    <w:rsid w:val="00B1288B"/>
    <w:rsid w:val="00B1412B"/>
    <w:rsid w:val="00B1595C"/>
    <w:rsid w:val="00B15CEF"/>
    <w:rsid w:val="00B203C0"/>
    <w:rsid w:val="00B20C33"/>
    <w:rsid w:val="00B21B74"/>
    <w:rsid w:val="00B226C9"/>
    <w:rsid w:val="00B2309C"/>
    <w:rsid w:val="00B25B7D"/>
    <w:rsid w:val="00B26AB0"/>
    <w:rsid w:val="00B2749F"/>
    <w:rsid w:val="00B27EFE"/>
    <w:rsid w:val="00B32576"/>
    <w:rsid w:val="00B32A67"/>
    <w:rsid w:val="00B33F1D"/>
    <w:rsid w:val="00B35D8C"/>
    <w:rsid w:val="00B363D2"/>
    <w:rsid w:val="00B377BF"/>
    <w:rsid w:val="00B37E7F"/>
    <w:rsid w:val="00B425D6"/>
    <w:rsid w:val="00B4422D"/>
    <w:rsid w:val="00B45EC6"/>
    <w:rsid w:val="00B46586"/>
    <w:rsid w:val="00B465D1"/>
    <w:rsid w:val="00B50360"/>
    <w:rsid w:val="00B50401"/>
    <w:rsid w:val="00B51B70"/>
    <w:rsid w:val="00B524F4"/>
    <w:rsid w:val="00B5266B"/>
    <w:rsid w:val="00B53DD5"/>
    <w:rsid w:val="00B54C6C"/>
    <w:rsid w:val="00B57DF7"/>
    <w:rsid w:val="00B60D0B"/>
    <w:rsid w:val="00B61D4F"/>
    <w:rsid w:val="00B621D5"/>
    <w:rsid w:val="00B6261A"/>
    <w:rsid w:val="00B64EE5"/>
    <w:rsid w:val="00B65171"/>
    <w:rsid w:val="00B65D5A"/>
    <w:rsid w:val="00B703FF"/>
    <w:rsid w:val="00B70491"/>
    <w:rsid w:val="00B70804"/>
    <w:rsid w:val="00B71CEC"/>
    <w:rsid w:val="00B71F93"/>
    <w:rsid w:val="00B72A46"/>
    <w:rsid w:val="00B73435"/>
    <w:rsid w:val="00B74151"/>
    <w:rsid w:val="00B74D8A"/>
    <w:rsid w:val="00B76E5D"/>
    <w:rsid w:val="00B77CAF"/>
    <w:rsid w:val="00B801FC"/>
    <w:rsid w:val="00B8106E"/>
    <w:rsid w:val="00B81407"/>
    <w:rsid w:val="00B828E2"/>
    <w:rsid w:val="00B83BA2"/>
    <w:rsid w:val="00B84A7B"/>
    <w:rsid w:val="00B86F91"/>
    <w:rsid w:val="00B90A31"/>
    <w:rsid w:val="00B90C10"/>
    <w:rsid w:val="00B92CE7"/>
    <w:rsid w:val="00B951E2"/>
    <w:rsid w:val="00BA2BA6"/>
    <w:rsid w:val="00BA35E3"/>
    <w:rsid w:val="00BA3AB9"/>
    <w:rsid w:val="00BA3EF2"/>
    <w:rsid w:val="00BA532F"/>
    <w:rsid w:val="00BB0FF1"/>
    <w:rsid w:val="00BB209E"/>
    <w:rsid w:val="00BB3A15"/>
    <w:rsid w:val="00BB3A1F"/>
    <w:rsid w:val="00BB5693"/>
    <w:rsid w:val="00BB65D0"/>
    <w:rsid w:val="00BB7D09"/>
    <w:rsid w:val="00BC02AE"/>
    <w:rsid w:val="00BC4368"/>
    <w:rsid w:val="00BC6B0F"/>
    <w:rsid w:val="00BC7F47"/>
    <w:rsid w:val="00BD0863"/>
    <w:rsid w:val="00BD2034"/>
    <w:rsid w:val="00BD3B45"/>
    <w:rsid w:val="00BD4505"/>
    <w:rsid w:val="00BD506D"/>
    <w:rsid w:val="00BD6F50"/>
    <w:rsid w:val="00BD74A7"/>
    <w:rsid w:val="00BE25B0"/>
    <w:rsid w:val="00BE3092"/>
    <w:rsid w:val="00BE31A3"/>
    <w:rsid w:val="00BE3EA4"/>
    <w:rsid w:val="00BE5EFD"/>
    <w:rsid w:val="00BE6813"/>
    <w:rsid w:val="00BE774B"/>
    <w:rsid w:val="00BF26F5"/>
    <w:rsid w:val="00BF362B"/>
    <w:rsid w:val="00BF5740"/>
    <w:rsid w:val="00BF643C"/>
    <w:rsid w:val="00BF70E4"/>
    <w:rsid w:val="00C01BCD"/>
    <w:rsid w:val="00C024F0"/>
    <w:rsid w:val="00C03097"/>
    <w:rsid w:val="00C0540E"/>
    <w:rsid w:val="00C06C35"/>
    <w:rsid w:val="00C076D5"/>
    <w:rsid w:val="00C102F4"/>
    <w:rsid w:val="00C1214E"/>
    <w:rsid w:val="00C13062"/>
    <w:rsid w:val="00C156EE"/>
    <w:rsid w:val="00C15A67"/>
    <w:rsid w:val="00C16CB9"/>
    <w:rsid w:val="00C17480"/>
    <w:rsid w:val="00C20641"/>
    <w:rsid w:val="00C20BE7"/>
    <w:rsid w:val="00C2154F"/>
    <w:rsid w:val="00C22977"/>
    <w:rsid w:val="00C23ED9"/>
    <w:rsid w:val="00C24773"/>
    <w:rsid w:val="00C266B0"/>
    <w:rsid w:val="00C267FE"/>
    <w:rsid w:val="00C3029A"/>
    <w:rsid w:val="00C318F0"/>
    <w:rsid w:val="00C32693"/>
    <w:rsid w:val="00C34F9C"/>
    <w:rsid w:val="00C34FBE"/>
    <w:rsid w:val="00C37BEC"/>
    <w:rsid w:val="00C410A5"/>
    <w:rsid w:val="00C42807"/>
    <w:rsid w:val="00C42A3E"/>
    <w:rsid w:val="00C441B6"/>
    <w:rsid w:val="00C458FD"/>
    <w:rsid w:val="00C52498"/>
    <w:rsid w:val="00C5397A"/>
    <w:rsid w:val="00C54E4D"/>
    <w:rsid w:val="00C55225"/>
    <w:rsid w:val="00C56E3D"/>
    <w:rsid w:val="00C6168F"/>
    <w:rsid w:val="00C62221"/>
    <w:rsid w:val="00C635AD"/>
    <w:rsid w:val="00C643AC"/>
    <w:rsid w:val="00C64709"/>
    <w:rsid w:val="00C651CE"/>
    <w:rsid w:val="00C658CF"/>
    <w:rsid w:val="00C729A4"/>
    <w:rsid w:val="00C774C5"/>
    <w:rsid w:val="00C7799E"/>
    <w:rsid w:val="00C77A29"/>
    <w:rsid w:val="00C811F2"/>
    <w:rsid w:val="00C81552"/>
    <w:rsid w:val="00C82F41"/>
    <w:rsid w:val="00C9068A"/>
    <w:rsid w:val="00C90BB0"/>
    <w:rsid w:val="00C91336"/>
    <w:rsid w:val="00C92500"/>
    <w:rsid w:val="00C936AB"/>
    <w:rsid w:val="00C937E3"/>
    <w:rsid w:val="00C94DF9"/>
    <w:rsid w:val="00C9581B"/>
    <w:rsid w:val="00CB07BD"/>
    <w:rsid w:val="00CB0D3D"/>
    <w:rsid w:val="00CB18BC"/>
    <w:rsid w:val="00CB6D68"/>
    <w:rsid w:val="00CC0BD8"/>
    <w:rsid w:val="00CC0F79"/>
    <w:rsid w:val="00CC1BF6"/>
    <w:rsid w:val="00CC3166"/>
    <w:rsid w:val="00CC5CEB"/>
    <w:rsid w:val="00CC6522"/>
    <w:rsid w:val="00CC6791"/>
    <w:rsid w:val="00CD0A42"/>
    <w:rsid w:val="00CD1AD3"/>
    <w:rsid w:val="00CD2A4D"/>
    <w:rsid w:val="00CD69BC"/>
    <w:rsid w:val="00CD71C6"/>
    <w:rsid w:val="00CD7285"/>
    <w:rsid w:val="00CD76AC"/>
    <w:rsid w:val="00CE043B"/>
    <w:rsid w:val="00CE1F52"/>
    <w:rsid w:val="00CE2A03"/>
    <w:rsid w:val="00CE3938"/>
    <w:rsid w:val="00CE40E0"/>
    <w:rsid w:val="00CE4909"/>
    <w:rsid w:val="00CE4A4B"/>
    <w:rsid w:val="00CE7290"/>
    <w:rsid w:val="00CE73ED"/>
    <w:rsid w:val="00CF24DB"/>
    <w:rsid w:val="00CF2B5A"/>
    <w:rsid w:val="00CF31B3"/>
    <w:rsid w:val="00CF3763"/>
    <w:rsid w:val="00CF4971"/>
    <w:rsid w:val="00CF6ACF"/>
    <w:rsid w:val="00CF7F3A"/>
    <w:rsid w:val="00D023E9"/>
    <w:rsid w:val="00D03529"/>
    <w:rsid w:val="00D039FA"/>
    <w:rsid w:val="00D05031"/>
    <w:rsid w:val="00D05619"/>
    <w:rsid w:val="00D05CCF"/>
    <w:rsid w:val="00D07E16"/>
    <w:rsid w:val="00D10041"/>
    <w:rsid w:val="00D1040B"/>
    <w:rsid w:val="00D10B07"/>
    <w:rsid w:val="00D10C00"/>
    <w:rsid w:val="00D12AF6"/>
    <w:rsid w:val="00D1301D"/>
    <w:rsid w:val="00D140FD"/>
    <w:rsid w:val="00D14407"/>
    <w:rsid w:val="00D15F46"/>
    <w:rsid w:val="00D2165B"/>
    <w:rsid w:val="00D23ED6"/>
    <w:rsid w:val="00D27689"/>
    <w:rsid w:val="00D27986"/>
    <w:rsid w:val="00D334C2"/>
    <w:rsid w:val="00D3354C"/>
    <w:rsid w:val="00D34C12"/>
    <w:rsid w:val="00D37460"/>
    <w:rsid w:val="00D37F95"/>
    <w:rsid w:val="00D40696"/>
    <w:rsid w:val="00D40E4A"/>
    <w:rsid w:val="00D420AB"/>
    <w:rsid w:val="00D432E3"/>
    <w:rsid w:val="00D43650"/>
    <w:rsid w:val="00D457CF"/>
    <w:rsid w:val="00D46898"/>
    <w:rsid w:val="00D5131F"/>
    <w:rsid w:val="00D52E3E"/>
    <w:rsid w:val="00D54B3C"/>
    <w:rsid w:val="00D54FA4"/>
    <w:rsid w:val="00D552A2"/>
    <w:rsid w:val="00D5556A"/>
    <w:rsid w:val="00D56F06"/>
    <w:rsid w:val="00D64519"/>
    <w:rsid w:val="00D65206"/>
    <w:rsid w:val="00D66B98"/>
    <w:rsid w:val="00D67790"/>
    <w:rsid w:val="00D7042B"/>
    <w:rsid w:val="00D71165"/>
    <w:rsid w:val="00D72719"/>
    <w:rsid w:val="00D7355D"/>
    <w:rsid w:val="00D74060"/>
    <w:rsid w:val="00D80352"/>
    <w:rsid w:val="00D807D7"/>
    <w:rsid w:val="00D8310B"/>
    <w:rsid w:val="00D8575B"/>
    <w:rsid w:val="00D86615"/>
    <w:rsid w:val="00D90514"/>
    <w:rsid w:val="00D90B68"/>
    <w:rsid w:val="00D91935"/>
    <w:rsid w:val="00D91C16"/>
    <w:rsid w:val="00D92476"/>
    <w:rsid w:val="00D95041"/>
    <w:rsid w:val="00D95332"/>
    <w:rsid w:val="00D96335"/>
    <w:rsid w:val="00DA02F3"/>
    <w:rsid w:val="00DA05C1"/>
    <w:rsid w:val="00DA1881"/>
    <w:rsid w:val="00DA306A"/>
    <w:rsid w:val="00DA5011"/>
    <w:rsid w:val="00DA5120"/>
    <w:rsid w:val="00DB0211"/>
    <w:rsid w:val="00DB1383"/>
    <w:rsid w:val="00DB1755"/>
    <w:rsid w:val="00DB17C2"/>
    <w:rsid w:val="00DB4661"/>
    <w:rsid w:val="00DB543A"/>
    <w:rsid w:val="00DC0FDC"/>
    <w:rsid w:val="00DC1A1E"/>
    <w:rsid w:val="00DC53FF"/>
    <w:rsid w:val="00DC56D9"/>
    <w:rsid w:val="00DC5FFB"/>
    <w:rsid w:val="00DC7456"/>
    <w:rsid w:val="00DD10CA"/>
    <w:rsid w:val="00DD2099"/>
    <w:rsid w:val="00DD3012"/>
    <w:rsid w:val="00DD4073"/>
    <w:rsid w:val="00DD5C0D"/>
    <w:rsid w:val="00DD79C0"/>
    <w:rsid w:val="00DE1077"/>
    <w:rsid w:val="00DE1956"/>
    <w:rsid w:val="00DE2212"/>
    <w:rsid w:val="00DE3C1B"/>
    <w:rsid w:val="00DE3C8B"/>
    <w:rsid w:val="00DE401F"/>
    <w:rsid w:val="00DE4380"/>
    <w:rsid w:val="00DE44C0"/>
    <w:rsid w:val="00DE7E38"/>
    <w:rsid w:val="00DF097E"/>
    <w:rsid w:val="00DF199F"/>
    <w:rsid w:val="00DF1BF5"/>
    <w:rsid w:val="00DF22C1"/>
    <w:rsid w:val="00DF5245"/>
    <w:rsid w:val="00DF6EE2"/>
    <w:rsid w:val="00DF70AB"/>
    <w:rsid w:val="00DF715B"/>
    <w:rsid w:val="00E00058"/>
    <w:rsid w:val="00E00374"/>
    <w:rsid w:val="00E00D3E"/>
    <w:rsid w:val="00E0127F"/>
    <w:rsid w:val="00E02B1A"/>
    <w:rsid w:val="00E034E5"/>
    <w:rsid w:val="00E04133"/>
    <w:rsid w:val="00E05AB1"/>
    <w:rsid w:val="00E05CD6"/>
    <w:rsid w:val="00E05E4C"/>
    <w:rsid w:val="00E06995"/>
    <w:rsid w:val="00E07B51"/>
    <w:rsid w:val="00E107B2"/>
    <w:rsid w:val="00E10BB6"/>
    <w:rsid w:val="00E117F6"/>
    <w:rsid w:val="00E11B18"/>
    <w:rsid w:val="00E11C27"/>
    <w:rsid w:val="00E171FB"/>
    <w:rsid w:val="00E1769E"/>
    <w:rsid w:val="00E20289"/>
    <w:rsid w:val="00E23649"/>
    <w:rsid w:val="00E26AA6"/>
    <w:rsid w:val="00E307BD"/>
    <w:rsid w:val="00E30EF5"/>
    <w:rsid w:val="00E3174C"/>
    <w:rsid w:val="00E33C0F"/>
    <w:rsid w:val="00E3525A"/>
    <w:rsid w:val="00E358EB"/>
    <w:rsid w:val="00E36391"/>
    <w:rsid w:val="00E40D55"/>
    <w:rsid w:val="00E41050"/>
    <w:rsid w:val="00E419C8"/>
    <w:rsid w:val="00E47B38"/>
    <w:rsid w:val="00E514AF"/>
    <w:rsid w:val="00E53608"/>
    <w:rsid w:val="00E536B6"/>
    <w:rsid w:val="00E5576A"/>
    <w:rsid w:val="00E56B27"/>
    <w:rsid w:val="00E56E04"/>
    <w:rsid w:val="00E601CC"/>
    <w:rsid w:val="00E61DE4"/>
    <w:rsid w:val="00E61F8F"/>
    <w:rsid w:val="00E630E7"/>
    <w:rsid w:val="00E63463"/>
    <w:rsid w:val="00E63E6B"/>
    <w:rsid w:val="00E642C3"/>
    <w:rsid w:val="00E6484B"/>
    <w:rsid w:val="00E65058"/>
    <w:rsid w:val="00E66E3F"/>
    <w:rsid w:val="00E66F60"/>
    <w:rsid w:val="00E67011"/>
    <w:rsid w:val="00E71953"/>
    <w:rsid w:val="00E723B5"/>
    <w:rsid w:val="00E72B33"/>
    <w:rsid w:val="00E73696"/>
    <w:rsid w:val="00E76ECE"/>
    <w:rsid w:val="00E806AB"/>
    <w:rsid w:val="00E81823"/>
    <w:rsid w:val="00E818EE"/>
    <w:rsid w:val="00E85A5B"/>
    <w:rsid w:val="00E8639E"/>
    <w:rsid w:val="00E86D6C"/>
    <w:rsid w:val="00E873E7"/>
    <w:rsid w:val="00E879E1"/>
    <w:rsid w:val="00E936A4"/>
    <w:rsid w:val="00E93B4C"/>
    <w:rsid w:val="00E94162"/>
    <w:rsid w:val="00E94F41"/>
    <w:rsid w:val="00E9799C"/>
    <w:rsid w:val="00EA0907"/>
    <w:rsid w:val="00EA1550"/>
    <w:rsid w:val="00EA1879"/>
    <w:rsid w:val="00EA43CD"/>
    <w:rsid w:val="00EA4A8F"/>
    <w:rsid w:val="00EB057B"/>
    <w:rsid w:val="00EB1318"/>
    <w:rsid w:val="00EB189D"/>
    <w:rsid w:val="00EB1D85"/>
    <w:rsid w:val="00EB4835"/>
    <w:rsid w:val="00EB5202"/>
    <w:rsid w:val="00EB5D4E"/>
    <w:rsid w:val="00EB6FE9"/>
    <w:rsid w:val="00EC0837"/>
    <w:rsid w:val="00EC5F0D"/>
    <w:rsid w:val="00ED2B11"/>
    <w:rsid w:val="00ED5739"/>
    <w:rsid w:val="00ED645D"/>
    <w:rsid w:val="00ED665D"/>
    <w:rsid w:val="00ED7009"/>
    <w:rsid w:val="00ED75D9"/>
    <w:rsid w:val="00EE16CF"/>
    <w:rsid w:val="00EE1757"/>
    <w:rsid w:val="00EE2B2F"/>
    <w:rsid w:val="00EE3B49"/>
    <w:rsid w:val="00EE3CC0"/>
    <w:rsid w:val="00EF1A4E"/>
    <w:rsid w:val="00EF4177"/>
    <w:rsid w:val="00EF5A8D"/>
    <w:rsid w:val="00EF6ACF"/>
    <w:rsid w:val="00F00AA1"/>
    <w:rsid w:val="00F013CE"/>
    <w:rsid w:val="00F01B8B"/>
    <w:rsid w:val="00F04509"/>
    <w:rsid w:val="00F05175"/>
    <w:rsid w:val="00F0541C"/>
    <w:rsid w:val="00F064BC"/>
    <w:rsid w:val="00F1042B"/>
    <w:rsid w:val="00F11357"/>
    <w:rsid w:val="00F11B92"/>
    <w:rsid w:val="00F128EA"/>
    <w:rsid w:val="00F14B43"/>
    <w:rsid w:val="00F170F4"/>
    <w:rsid w:val="00F22B45"/>
    <w:rsid w:val="00F27523"/>
    <w:rsid w:val="00F30483"/>
    <w:rsid w:val="00F30775"/>
    <w:rsid w:val="00F31050"/>
    <w:rsid w:val="00F32FDD"/>
    <w:rsid w:val="00F33546"/>
    <w:rsid w:val="00F33A16"/>
    <w:rsid w:val="00F35EE2"/>
    <w:rsid w:val="00F374BA"/>
    <w:rsid w:val="00F41F2C"/>
    <w:rsid w:val="00F42A9F"/>
    <w:rsid w:val="00F4599A"/>
    <w:rsid w:val="00F45D0E"/>
    <w:rsid w:val="00F46454"/>
    <w:rsid w:val="00F50B0F"/>
    <w:rsid w:val="00F534A3"/>
    <w:rsid w:val="00F543F9"/>
    <w:rsid w:val="00F67BD1"/>
    <w:rsid w:val="00F71957"/>
    <w:rsid w:val="00F72557"/>
    <w:rsid w:val="00F73252"/>
    <w:rsid w:val="00F73E28"/>
    <w:rsid w:val="00F757FB"/>
    <w:rsid w:val="00F76B05"/>
    <w:rsid w:val="00F819CC"/>
    <w:rsid w:val="00F82872"/>
    <w:rsid w:val="00F8502A"/>
    <w:rsid w:val="00F85CFF"/>
    <w:rsid w:val="00F86BF0"/>
    <w:rsid w:val="00F86F8A"/>
    <w:rsid w:val="00F91581"/>
    <w:rsid w:val="00F91971"/>
    <w:rsid w:val="00F9387C"/>
    <w:rsid w:val="00F9729E"/>
    <w:rsid w:val="00FA6EDE"/>
    <w:rsid w:val="00FB134D"/>
    <w:rsid w:val="00FB1D92"/>
    <w:rsid w:val="00FB2801"/>
    <w:rsid w:val="00FB3D1F"/>
    <w:rsid w:val="00FB52C8"/>
    <w:rsid w:val="00FB577C"/>
    <w:rsid w:val="00FB650C"/>
    <w:rsid w:val="00FB6AEF"/>
    <w:rsid w:val="00FB728D"/>
    <w:rsid w:val="00FC0A72"/>
    <w:rsid w:val="00FC3122"/>
    <w:rsid w:val="00FC3F83"/>
    <w:rsid w:val="00FC4C2A"/>
    <w:rsid w:val="00FC5A8B"/>
    <w:rsid w:val="00FC62B2"/>
    <w:rsid w:val="00FC6541"/>
    <w:rsid w:val="00FC662F"/>
    <w:rsid w:val="00FD08D3"/>
    <w:rsid w:val="00FD1F50"/>
    <w:rsid w:val="00FD3160"/>
    <w:rsid w:val="00FD328D"/>
    <w:rsid w:val="00FD34BF"/>
    <w:rsid w:val="00FD5B32"/>
    <w:rsid w:val="00FD5BC3"/>
    <w:rsid w:val="00FD61AA"/>
    <w:rsid w:val="00FD7F37"/>
    <w:rsid w:val="00FE2518"/>
    <w:rsid w:val="00FE3F1C"/>
    <w:rsid w:val="00FE58C8"/>
    <w:rsid w:val="00FF0DDF"/>
    <w:rsid w:val="00FF123A"/>
    <w:rsid w:val="00FF3151"/>
    <w:rsid w:val="00FF320A"/>
    <w:rsid w:val="00FF4050"/>
    <w:rsid w:val="00FF40C3"/>
    <w:rsid w:val="00FF420B"/>
    <w:rsid w:val="00FF4CCE"/>
    <w:rsid w:val="00FF663E"/>
    <w:rsid w:val="00FF6D49"/>
    <w:rsid w:val="00FF6D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AB"/>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687235"/>
    <w:pPr>
      <w:keepNext/>
      <w:jc w:val="both"/>
      <w:outlineLvl w:val="3"/>
    </w:pPr>
    <w:rPr>
      <w:rFonts w:ascii="Arial Narrow" w:hAnsi="Arial Narrow"/>
      <w:b/>
      <w:color w:val="003366"/>
      <w:sz w:val="22"/>
      <w:szCs w:val="22"/>
    </w:rPr>
  </w:style>
  <w:style w:type="paragraph" w:styleId="5">
    <w:name w:val="heading 5"/>
    <w:basedOn w:val="10"/>
    <w:next w:val="10"/>
    <w:link w:val="5Char"/>
    <w:qFormat/>
    <w:rsid w:val="0006551E"/>
    <w:pPr>
      <w:keepNext/>
      <w:keepLines/>
      <w:spacing w:before="220" w:after="40"/>
      <w:contextualSpacing/>
      <w:outlineLvl w:val="4"/>
    </w:pPr>
    <w:rPr>
      <w:b/>
      <w:sz w:val="22"/>
      <w:szCs w:val="22"/>
    </w:rPr>
  </w:style>
  <w:style w:type="paragraph" w:styleId="6">
    <w:name w:val="heading 6"/>
    <w:basedOn w:val="a"/>
    <w:next w:val="a"/>
    <w:link w:val="6Char"/>
    <w:qFormat/>
    <w:rsid w:val="00687235"/>
    <w:pPr>
      <w:keepNext/>
      <w:jc w:val="both"/>
      <w:outlineLvl w:val="5"/>
    </w:pPr>
    <w:rPr>
      <w:rFonts w:ascii="Arial Narrow" w:hAnsi="Arial Narrow"/>
      <w:b/>
      <w:sz w:val="22"/>
      <w:szCs w:val="22"/>
    </w:rPr>
  </w:style>
  <w:style w:type="paragraph" w:styleId="7">
    <w:name w:val="heading 7"/>
    <w:basedOn w:val="a"/>
    <w:next w:val="a0"/>
    <w:link w:val="7Char"/>
    <w:qFormat/>
    <w:rsid w:val="00BD6F50"/>
    <w:pPr>
      <w:keepNext/>
      <w:tabs>
        <w:tab w:val="num" w:pos="0"/>
      </w:tabs>
      <w:suppressAutoHyphens/>
      <w:ind w:left="1296" w:hanging="1296"/>
      <w:jc w:val="both"/>
      <w:outlineLvl w:val="6"/>
    </w:pPr>
    <w:rPr>
      <w:rFonts w:ascii="Arial Narrow" w:eastAsia="SimSun" w:hAnsi="Arial Narrow" w:cs="Mangal"/>
      <w:b/>
      <w:i/>
      <w:kern w:val="1"/>
      <w:sz w:val="22"/>
      <w:szCs w:val="22"/>
      <w:lang w:eastAsia="hi-IN" w:bidi="hi-IN"/>
    </w:rPr>
  </w:style>
  <w:style w:type="paragraph" w:styleId="8">
    <w:name w:val="heading 8"/>
    <w:basedOn w:val="a"/>
    <w:next w:val="a"/>
    <w:link w:val="8Char"/>
    <w:qFormat/>
    <w:rsid w:val="00687235"/>
    <w:pPr>
      <w:keepNext/>
      <w:spacing w:before="100" w:beforeAutospacing="1" w:after="100" w:afterAutospacing="1"/>
      <w:jc w:val="both"/>
      <w:outlineLvl w:val="7"/>
    </w:pPr>
    <w:rPr>
      <w:rFonts w:ascii="Arial Narrow" w:hAnsi="Arial Narrow"/>
      <w:b/>
      <w:sz w:val="16"/>
      <w:szCs w:val="16"/>
    </w:rPr>
  </w:style>
  <w:style w:type="paragraph" w:styleId="9">
    <w:name w:val="heading 9"/>
    <w:basedOn w:val="a"/>
    <w:next w:val="a0"/>
    <w:link w:val="9Char"/>
    <w:qFormat/>
    <w:rsid w:val="00BD6F50"/>
    <w:pPr>
      <w:keepNext/>
      <w:tabs>
        <w:tab w:val="num" w:pos="0"/>
      </w:tabs>
      <w:suppressAutoHyphens/>
      <w:ind w:left="1584" w:hanging="1584"/>
      <w:jc w:val="both"/>
      <w:outlineLvl w:val="8"/>
    </w:pPr>
    <w:rPr>
      <w:rFonts w:ascii="Arial Narrow" w:eastAsia="SimSun" w:hAnsi="Arial Narrow" w:cs="Mangal"/>
      <w:b/>
      <w:color w:val="000080"/>
      <w:kern w:val="1"/>
      <w:szCs w:val="22"/>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AD40BF"/>
    <w:rPr>
      <w:rFonts w:ascii="Arial" w:hAnsi="Arial" w:cs="Arial"/>
      <w:b/>
      <w:bCs/>
      <w:kern w:val="32"/>
      <w:sz w:val="32"/>
      <w:szCs w:val="32"/>
    </w:rPr>
  </w:style>
  <w:style w:type="character" w:customStyle="1" w:styleId="2Char">
    <w:name w:val="Επικεφαλίδα 2 Char"/>
    <w:basedOn w:val="a1"/>
    <w:link w:val="2"/>
    <w:rsid w:val="00DB1755"/>
    <w:rPr>
      <w:rFonts w:ascii="Arial" w:hAnsi="Arial" w:cs="Arial"/>
      <w:b/>
      <w:bCs/>
      <w:i/>
      <w:iCs/>
      <w:sz w:val="28"/>
      <w:szCs w:val="28"/>
    </w:rPr>
  </w:style>
  <w:style w:type="character" w:customStyle="1" w:styleId="3Char">
    <w:name w:val="Επικεφαλίδα 3 Char"/>
    <w:basedOn w:val="a1"/>
    <w:link w:val="3"/>
    <w:rsid w:val="006D2901"/>
    <w:rPr>
      <w:rFonts w:ascii="Arial" w:hAnsi="Arial" w:cs="Arial"/>
      <w:b/>
      <w:bCs/>
      <w:sz w:val="26"/>
      <w:szCs w:val="26"/>
    </w:rPr>
  </w:style>
  <w:style w:type="character" w:customStyle="1" w:styleId="4Char">
    <w:name w:val="Επικεφαλίδα 4 Char"/>
    <w:basedOn w:val="a1"/>
    <w:link w:val="4"/>
    <w:rsid w:val="00AD40BF"/>
    <w:rPr>
      <w:rFonts w:ascii="Arial Narrow" w:hAnsi="Arial Narrow"/>
      <w:b/>
      <w:color w:val="003366"/>
      <w:sz w:val="22"/>
      <w:szCs w:val="22"/>
    </w:rPr>
  </w:style>
  <w:style w:type="paragraph" w:customStyle="1" w:styleId="10">
    <w:name w:val="Βασικό1"/>
    <w:rsid w:val="0006551E"/>
    <w:rPr>
      <w:color w:val="000000"/>
      <w:sz w:val="24"/>
      <w:szCs w:val="24"/>
    </w:rPr>
  </w:style>
  <w:style w:type="character" w:customStyle="1" w:styleId="5Char">
    <w:name w:val="Επικεφαλίδα 5 Char"/>
    <w:basedOn w:val="a1"/>
    <w:link w:val="5"/>
    <w:rsid w:val="0006551E"/>
    <w:rPr>
      <w:b/>
      <w:color w:val="000000"/>
      <w:sz w:val="22"/>
      <w:szCs w:val="22"/>
    </w:rPr>
  </w:style>
  <w:style w:type="character" w:customStyle="1" w:styleId="6Char">
    <w:name w:val="Επικεφαλίδα 6 Char"/>
    <w:basedOn w:val="a1"/>
    <w:link w:val="6"/>
    <w:rsid w:val="00AD40BF"/>
    <w:rPr>
      <w:rFonts w:ascii="Arial Narrow" w:hAnsi="Arial Narrow"/>
      <w:b/>
      <w:sz w:val="22"/>
      <w:szCs w:val="22"/>
    </w:rPr>
  </w:style>
  <w:style w:type="character" w:customStyle="1" w:styleId="8Char">
    <w:name w:val="Επικεφαλίδα 8 Char"/>
    <w:basedOn w:val="a1"/>
    <w:link w:val="8"/>
    <w:rsid w:val="00AD40BF"/>
    <w:rPr>
      <w:rFonts w:ascii="Arial Narrow" w:hAnsi="Arial Narrow"/>
      <w:b/>
      <w:sz w:val="16"/>
      <w:szCs w:val="16"/>
    </w:rPr>
  </w:style>
  <w:style w:type="paragraph" w:styleId="a4">
    <w:name w:val="header"/>
    <w:basedOn w:val="a"/>
    <w:link w:val="Char"/>
    <w:rsid w:val="00D40E4A"/>
    <w:pPr>
      <w:tabs>
        <w:tab w:val="center" w:pos="4153"/>
        <w:tab w:val="right" w:pos="8306"/>
      </w:tabs>
    </w:pPr>
  </w:style>
  <w:style w:type="character" w:customStyle="1" w:styleId="Char">
    <w:name w:val="Κεφαλίδα Char"/>
    <w:basedOn w:val="a1"/>
    <w:link w:val="a4"/>
    <w:rsid w:val="0006551E"/>
    <w:rPr>
      <w:sz w:val="24"/>
      <w:szCs w:val="24"/>
    </w:rPr>
  </w:style>
  <w:style w:type="paragraph" w:styleId="a5">
    <w:name w:val="footer"/>
    <w:basedOn w:val="a"/>
    <w:link w:val="Char0"/>
    <w:rsid w:val="00D40E4A"/>
    <w:pPr>
      <w:tabs>
        <w:tab w:val="center" w:pos="4153"/>
        <w:tab w:val="right" w:pos="8306"/>
      </w:tabs>
    </w:pPr>
  </w:style>
  <w:style w:type="character" w:customStyle="1" w:styleId="Char0">
    <w:name w:val="Υποσέλιδο Char"/>
    <w:basedOn w:val="a1"/>
    <w:link w:val="a5"/>
    <w:rsid w:val="0006551E"/>
    <w:rPr>
      <w:sz w:val="24"/>
      <w:szCs w:val="24"/>
    </w:rPr>
  </w:style>
  <w:style w:type="character" w:styleId="a6">
    <w:name w:val="page number"/>
    <w:basedOn w:val="a1"/>
    <w:rsid w:val="00D40E4A"/>
  </w:style>
  <w:style w:type="paragraph" w:styleId="a7">
    <w:name w:val="Balloon Text"/>
    <w:basedOn w:val="a"/>
    <w:link w:val="Char1"/>
    <w:uiPriority w:val="99"/>
    <w:semiHidden/>
    <w:rsid w:val="001561CD"/>
    <w:rPr>
      <w:rFonts w:ascii="Tahoma" w:hAnsi="Tahoma" w:cs="Tahoma"/>
      <w:sz w:val="16"/>
      <w:szCs w:val="16"/>
    </w:rPr>
  </w:style>
  <w:style w:type="character" w:customStyle="1" w:styleId="Char1">
    <w:name w:val="Κείμενο πλαισίου Char"/>
    <w:basedOn w:val="a1"/>
    <w:link w:val="a7"/>
    <w:uiPriority w:val="99"/>
    <w:semiHidden/>
    <w:rsid w:val="006D2901"/>
    <w:rPr>
      <w:rFonts w:ascii="Tahoma" w:hAnsi="Tahoma" w:cs="Tahoma"/>
      <w:sz w:val="16"/>
      <w:szCs w:val="16"/>
    </w:rPr>
  </w:style>
  <w:style w:type="paragraph" w:styleId="a0">
    <w:name w:val="Body Text"/>
    <w:basedOn w:val="a"/>
    <w:link w:val="Char2"/>
    <w:rsid w:val="00687235"/>
    <w:pPr>
      <w:jc w:val="both"/>
    </w:pPr>
    <w:rPr>
      <w:sz w:val="22"/>
      <w:szCs w:val="22"/>
    </w:rPr>
  </w:style>
  <w:style w:type="character" w:customStyle="1" w:styleId="Char2">
    <w:name w:val="Σώμα κειμένου Char"/>
    <w:basedOn w:val="a1"/>
    <w:link w:val="a0"/>
    <w:rsid w:val="006D2901"/>
    <w:rPr>
      <w:sz w:val="22"/>
      <w:szCs w:val="22"/>
    </w:rPr>
  </w:style>
  <w:style w:type="paragraph" w:styleId="20">
    <w:name w:val="Body Text Indent 2"/>
    <w:basedOn w:val="a"/>
    <w:link w:val="2Char0"/>
    <w:rsid w:val="00687235"/>
    <w:pPr>
      <w:ind w:left="284"/>
      <w:jc w:val="both"/>
    </w:pPr>
    <w:rPr>
      <w:sz w:val="22"/>
      <w:szCs w:val="22"/>
    </w:rPr>
  </w:style>
  <w:style w:type="character" w:customStyle="1" w:styleId="2Char0">
    <w:name w:val="Σώμα κείμενου με εσοχή 2 Char"/>
    <w:basedOn w:val="a1"/>
    <w:link w:val="20"/>
    <w:rsid w:val="00AD40BF"/>
    <w:rPr>
      <w:sz w:val="22"/>
      <w:szCs w:val="22"/>
    </w:rPr>
  </w:style>
  <w:style w:type="paragraph" w:styleId="21">
    <w:name w:val="Body Text 2"/>
    <w:basedOn w:val="a"/>
    <w:link w:val="2Char1"/>
    <w:rsid w:val="00687235"/>
    <w:pPr>
      <w:spacing w:after="120" w:line="480" w:lineRule="auto"/>
    </w:pPr>
  </w:style>
  <w:style w:type="character" w:customStyle="1" w:styleId="2Char1">
    <w:name w:val="Σώμα κείμενου 2 Char"/>
    <w:basedOn w:val="a1"/>
    <w:link w:val="21"/>
    <w:rsid w:val="00AD40BF"/>
    <w:rPr>
      <w:sz w:val="24"/>
      <w:szCs w:val="24"/>
    </w:rPr>
  </w:style>
  <w:style w:type="paragraph" w:styleId="30">
    <w:name w:val="Body Text 3"/>
    <w:basedOn w:val="a"/>
    <w:link w:val="3Char0"/>
    <w:rsid w:val="00687235"/>
    <w:pPr>
      <w:spacing w:after="120"/>
    </w:pPr>
    <w:rPr>
      <w:sz w:val="16"/>
      <w:szCs w:val="16"/>
      <w:lang w:val="en-US"/>
    </w:rPr>
  </w:style>
  <w:style w:type="character" w:customStyle="1" w:styleId="3Char0">
    <w:name w:val="Σώμα κείμενου 3 Char"/>
    <w:basedOn w:val="a1"/>
    <w:link w:val="30"/>
    <w:rsid w:val="00AD40BF"/>
    <w:rPr>
      <w:sz w:val="16"/>
      <w:szCs w:val="16"/>
      <w:lang w:val="en-US"/>
    </w:rPr>
  </w:style>
  <w:style w:type="paragraph" w:styleId="31">
    <w:name w:val="Body Text Indent 3"/>
    <w:basedOn w:val="a"/>
    <w:link w:val="3Char1"/>
    <w:rsid w:val="00687235"/>
    <w:pPr>
      <w:ind w:firstLine="720"/>
      <w:jc w:val="both"/>
    </w:pPr>
    <w:rPr>
      <w:sz w:val="22"/>
      <w:szCs w:val="22"/>
    </w:rPr>
  </w:style>
  <w:style w:type="character" w:customStyle="1" w:styleId="3Char1">
    <w:name w:val="Σώμα κείμενου με εσοχή 3 Char"/>
    <w:basedOn w:val="a1"/>
    <w:link w:val="31"/>
    <w:rsid w:val="00AD40BF"/>
    <w:rPr>
      <w:sz w:val="22"/>
      <w:szCs w:val="22"/>
    </w:rPr>
  </w:style>
  <w:style w:type="paragraph" w:styleId="a8">
    <w:name w:val="footnote text"/>
    <w:aliases w:val="lábléc,Footnote,Fußnote,C26 Footnote body, Char,Footnote Text Char,Footnote Text Char1 Char,Footnote Text Char Char Char,Footnote Char Char Char,Fußnote Char Char Char,FSR footnote Char Char Char,lábléc Char Char Char,Footnote Char"/>
    <w:basedOn w:val="a"/>
    <w:link w:val="Char3"/>
    <w:uiPriority w:val="99"/>
    <w:rsid w:val="000E6FEF"/>
    <w:rPr>
      <w:sz w:val="20"/>
      <w:szCs w:val="20"/>
      <w:lang w:val="en-GB" w:eastAsia="en-US"/>
    </w:rPr>
  </w:style>
  <w:style w:type="character" w:customStyle="1" w:styleId="Char3">
    <w:name w:val="Κείμενο υποσημείωσης Char"/>
    <w:aliases w:val="lábléc Char,Footnote Char1,Fußnote Char,C26 Footnote body Char, Char Char,Footnote Text Char Char,Footnote Text Char1 Char Char,Footnote Text Char Char Char Char,Footnote Char Char Char Char,Fußnote Char Char Char Char"/>
    <w:basedOn w:val="a1"/>
    <w:link w:val="a8"/>
    <w:uiPriority w:val="99"/>
    <w:rsid w:val="00FC5A8B"/>
    <w:rPr>
      <w:lang w:val="en-GB" w:eastAsia="en-US" w:bidi="ar-SA"/>
    </w:rPr>
  </w:style>
  <w:style w:type="character" w:styleId="a9">
    <w:name w:val="footnote reference"/>
    <w:aliases w:val="Footnote Reference Number,Footnote Reference_LVL6,Footnote Reference_LVL61,Footnote Reference_LVL62,Footnote Reference_LVL63,Footnote Reference_LVL64,C26 Footnote Number,Footnote Reference_LVL65,Footnote symbol,Footnote Reference1"/>
    <w:basedOn w:val="a1"/>
    <w:uiPriority w:val="99"/>
    <w:rsid w:val="000E6FEF"/>
    <w:rPr>
      <w:vertAlign w:val="superscript"/>
    </w:rPr>
  </w:style>
  <w:style w:type="paragraph" w:styleId="aa">
    <w:name w:val="Title"/>
    <w:basedOn w:val="a"/>
    <w:link w:val="Char4"/>
    <w:qFormat/>
    <w:rsid w:val="001A65AA"/>
    <w:pPr>
      <w:jc w:val="center"/>
    </w:pPr>
    <w:rPr>
      <w:rFonts w:ascii="Arial" w:hAnsi="Arial"/>
      <w:b/>
      <w:i/>
      <w:sz w:val="22"/>
      <w:szCs w:val="20"/>
      <w:lang w:eastAsia="en-US"/>
    </w:rPr>
  </w:style>
  <w:style w:type="character" w:customStyle="1" w:styleId="Char4">
    <w:name w:val="Τίτλος Char"/>
    <w:basedOn w:val="a1"/>
    <w:link w:val="aa"/>
    <w:rsid w:val="00AD40BF"/>
    <w:rPr>
      <w:rFonts w:ascii="Arial" w:hAnsi="Arial"/>
      <w:b/>
      <w:i/>
      <w:sz w:val="22"/>
      <w:lang w:eastAsia="en-US"/>
    </w:rPr>
  </w:style>
  <w:style w:type="character" w:styleId="ab">
    <w:name w:val="annotation reference"/>
    <w:basedOn w:val="a1"/>
    <w:uiPriority w:val="99"/>
    <w:semiHidden/>
    <w:rsid w:val="00142645"/>
    <w:rPr>
      <w:sz w:val="16"/>
      <w:szCs w:val="16"/>
    </w:rPr>
  </w:style>
  <w:style w:type="paragraph" w:styleId="ac">
    <w:name w:val="annotation text"/>
    <w:basedOn w:val="a"/>
    <w:link w:val="Char5"/>
    <w:uiPriority w:val="99"/>
    <w:semiHidden/>
    <w:rsid w:val="00142645"/>
    <w:rPr>
      <w:sz w:val="20"/>
      <w:szCs w:val="20"/>
    </w:rPr>
  </w:style>
  <w:style w:type="character" w:customStyle="1" w:styleId="Char5">
    <w:name w:val="Κείμενο σχολίου Char"/>
    <w:basedOn w:val="a1"/>
    <w:link w:val="ac"/>
    <w:uiPriority w:val="99"/>
    <w:semiHidden/>
    <w:rsid w:val="0006551E"/>
  </w:style>
  <w:style w:type="paragraph" w:styleId="ad">
    <w:name w:val="annotation subject"/>
    <w:basedOn w:val="ac"/>
    <w:next w:val="ac"/>
    <w:link w:val="Char6"/>
    <w:uiPriority w:val="99"/>
    <w:semiHidden/>
    <w:rsid w:val="00142645"/>
    <w:rPr>
      <w:b/>
      <w:bCs/>
    </w:rPr>
  </w:style>
  <w:style w:type="character" w:customStyle="1" w:styleId="Char6">
    <w:name w:val="Θέμα σχολίου Char"/>
    <w:basedOn w:val="Char5"/>
    <w:link w:val="ad"/>
    <w:uiPriority w:val="99"/>
    <w:semiHidden/>
    <w:rsid w:val="0006551E"/>
    <w:rPr>
      <w:b/>
      <w:bCs/>
    </w:rPr>
  </w:style>
  <w:style w:type="table" w:styleId="ae">
    <w:name w:val="Table Grid"/>
    <w:basedOn w:val="a2"/>
    <w:uiPriority w:val="59"/>
    <w:rsid w:val="0004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Παράγραφος λίστας1"/>
    <w:basedOn w:val="a"/>
    <w:qFormat/>
    <w:rsid w:val="00234956"/>
    <w:pPr>
      <w:spacing w:after="200" w:line="276" w:lineRule="auto"/>
      <w:ind w:left="720"/>
    </w:pPr>
    <w:rPr>
      <w:rFonts w:ascii="Calibri" w:eastAsia="Calibri" w:hAnsi="Calibri" w:cs="Calibri"/>
      <w:sz w:val="22"/>
      <w:szCs w:val="22"/>
      <w:lang w:eastAsia="en-US"/>
    </w:rPr>
  </w:style>
  <w:style w:type="paragraph" w:styleId="af">
    <w:name w:val="Body Text Indent"/>
    <w:basedOn w:val="a"/>
    <w:link w:val="Char7"/>
    <w:rsid w:val="00FC5A8B"/>
    <w:pPr>
      <w:spacing w:after="120"/>
      <w:ind w:left="283"/>
    </w:pPr>
  </w:style>
  <w:style w:type="character" w:customStyle="1" w:styleId="Char7">
    <w:name w:val="Σώμα κείμενου με εσοχή Char"/>
    <w:basedOn w:val="a1"/>
    <w:link w:val="af"/>
    <w:rsid w:val="00AD40BF"/>
    <w:rPr>
      <w:sz w:val="24"/>
      <w:szCs w:val="24"/>
    </w:rPr>
  </w:style>
  <w:style w:type="paragraph" w:customStyle="1" w:styleId="CM4">
    <w:name w:val="CM4"/>
    <w:basedOn w:val="a"/>
    <w:next w:val="a"/>
    <w:rsid w:val="00FC5A8B"/>
    <w:pPr>
      <w:autoSpaceDE w:val="0"/>
      <w:autoSpaceDN w:val="0"/>
      <w:adjustRightInd w:val="0"/>
      <w:spacing w:before="60" w:after="60"/>
    </w:pPr>
    <w:rPr>
      <w:rFonts w:ascii="EU Albertina" w:hAnsi="EU Albertina"/>
    </w:rPr>
  </w:style>
  <w:style w:type="character" w:customStyle="1" w:styleId="Char8">
    <w:name w:val="Κείμενο σημείωσης τέλους Char"/>
    <w:basedOn w:val="a1"/>
    <w:link w:val="af0"/>
    <w:semiHidden/>
    <w:rsid w:val="006E2D30"/>
    <w:rPr>
      <w:rFonts w:ascii="Cambria" w:eastAsia="Cambria" w:hAnsi="Cambria"/>
      <w:lang w:val="en-US" w:eastAsia="en-US" w:bidi="ar-SA"/>
    </w:rPr>
  </w:style>
  <w:style w:type="paragraph" w:styleId="af0">
    <w:name w:val="endnote text"/>
    <w:basedOn w:val="a"/>
    <w:link w:val="Char8"/>
    <w:semiHidden/>
    <w:unhideWhenUsed/>
    <w:rsid w:val="00786869"/>
    <w:pPr>
      <w:spacing w:after="200" w:line="276" w:lineRule="auto"/>
    </w:pPr>
    <w:rPr>
      <w:rFonts w:ascii="Cambria" w:eastAsia="Cambria" w:hAnsi="Cambria"/>
      <w:sz w:val="20"/>
      <w:szCs w:val="20"/>
      <w:lang w:val="en-US" w:eastAsia="en-US"/>
    </w:rPr>
  </w:style>
  <w:style w:type="character" w:styleId="af1">
    <w:name w:val="line number"/>
    <w:basedOn w:val="a1"/>
    <w:rsid w:val="006E2D30"/>
  </w:style>
  <w:style w:type="paragraph" w:styleId="af2">
    <w:name w:val="List Paragraph"/>
    <w:basedOn w:val="a"/>
    <w:uiPriority w:val="34"/>
    <w:qFormat/>
    <w:rsid w:val="006E2D3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B33F1D"/>
    <w:rPr>
      <w:rFonts w:ascii="Calibri" w:eastAsia="Calibri" w:hAnsi="Calibri"/>
      <w:sz w:val="22"/>
      <w:szCs w:val="22"/>
      <w:lang w:eastAsia="en-US"/>
    </w:rPr>
  </w:style>
  <w:style w:type="character" w:customStyle="1" w:styleId="af4">
    <w:name w:val="Σύμβολο υποσημείωσης"/>
    <w:rsid w:val="00B33F1D"/>
    <w:rPr>
      <w:vertAlign w:val="superscript"/>
    </w:rPr>
  </w:style>
  <w:style w:type="character" w:customStyle="1" w:styleId="12">
    <w:name w:val="Παραπομπή υποσημείωσης1"/>
    <w:rsid w:val="00B33F1D"/>
    <w:rPr>
      <w:vertAlign w:val="superscript"/>
    </w:rPr>
  </w:style>
  <w:style w:type="character" w:styleId="af5">
    <w:name w:val="endnote reference"/>
    <w:basedOn w:val="a1"/>
    <w:rsid w:val="00155440"/>
    <w:rPr>
      <w:vertAlign w:val="superscript"/>
    </w:rPr>
  </w:style>
  <w:style w:type="table" w:customStyle="1" w:styleId="TableNormal1">
    <w:name w:val="Table Normal1"/>
    <w:rsid w:val="0006551E"/>
    <w:rPr>
      <w:color w:val="000000"/>
      <w:sz w:val="24"/>
      <w:szCs w:val="24"/>
    </w:rPr>
    <w:tblPr>
      <w:tblCellMar>
        <w:top w:w="0" w:type="dxa"/>
        <w:left w:w="0" w:type="dxa"/>
        <w:bottom w:w="0" w:type="dxa"/>
        <w:right w:w="0" w:type="dxa"/>
      </w:tblCellMar>
    </w:tblPr>
  </w:style>
  <w:style w:type="paragraph" w:styleId="af6">
    <w:name w:val="Subtitle"/>
    <w:basedOn w:val="10"/>
    <w:next w:val="10"/>
    <w:link w:val="Char9"/>
    <w:rsid w:val="0006551E"/>
    <w:pPr>
      <w:keepNext/>
      <w:keepLines/>
      <w:spacing w:before="360" w:after="80"/>
      <w:contextualSpacing/>
    </w:pPr>
    <w:rPr>
      <w:rFonts w:ascii="Georgia" w:eastAsia="Georgia" w:hAnsi="Georgia" w:cs="Georgia"/>
      <w:i/>
      <w:color w:val="666666"/>
      <w:sz w:val="48"/>
      <w:szCs w:val="48"/>
    </w:rPr>
  </w:style>
  <w:style w:type="character" w:customStyle="1" w:styleId="Char9">
    <w:name w:val="Υπότιτλος Char"/>
    <w:basedOn w:val="a1"/>
    <w:link w:val="af6"/>
    <w:rsid w:val="0006551E"/>
    <w:rPr>
      <w:rFonts w:ascii="Georgia" w:eastAsia="Georgia" w:hAnsi="Georgia" w:cs="Georgia"/>
      <w:i/>
      <w:color w:val="666666"/>
      <w:sz w:val="48"/>
      <w:szCs w:val="48"/>
    </w:rPr>
  </w:style>
  <w:style w:type="table" w:customStyle="1" w:styleId="32">
    <w:name w:val="3"/>
    <w:basedOn w:val="TableNormal1"/>
    <w:rsid w:val="0006551E"/>
    <w:tblPr>
      <w:tblStyleRowBandSize w:val="1"/>
      <w:tblStyleColBandSize w:val="1"/>
      <w:tblCellMar>
        <w:top w:w="0" w:type="dxa"/>
        <w:left w:w="115" w:type="dxa"/>
        <w:bottom w:w="0" w:type="dxa"/>
        <w:right w:w="115" w:type="dxa"/>
      </w:tblCellMar>
    </w:tblPr>
  </w:style>
  <w:style w:type="table" w:customStyle="1" w:styleId="22">
    <w:name w:val="2"/>
    <w:basedOn w:val="TableNormal1"/>
    <w:rsid w:val="0006551E"/>
    <w:tblPr>
      <w:tblStyleRowBandSize w:val="1"/>
      <w:tblStyleColBandSize w:val="1"/>
      <w:tblCellMar>
        <w:top w:w="0" w:type="dxa"/>
        <w:left w:w="30" w:type="dxa"/>
        <w:bottom w:w="0" w:type="dxa"/>
        <w:right w:w="30" w:type="dxa"/>
      </w:tblCellMar>
    </w:tblPr>
  </w:style>
  <w:style w:type="table" w:customStyle="1" w:styleId="13">
    <w:name w:val="1"/>
    <w:basedOn w:val="TableNormal1"/>
    <w:rsid w:val="0006551E"/>
    <w:tblPr>
      <w:tblStyleRowBandSize w:val="1"/>
      <w:tblStyleColBandSize w:val="1"/>
      <w:tblCellMar>
        <w:top w:w="0" w:type="dxa"/>
        <w:left w:w="115" w:type="dxa"/>
        <w:bottom w:w="0" w:type="dxa"/>
        <w:right w:w="115" w:type="dxa"/>
      </w:tblCellMar>
    </w:tblPr>
  </w:style>
  <w:style w:type="character" w:customStyle="1" w:styleId="bog-bodytext">
    <w:name w:val="bog-bodytext"/>
    <w:rsid w:val="00AD40BF"/>
  </w:style>
  <w:style w:type="paragraph" w:styleId="Web">
    <w:name w:val="Normal (Web)"/>
    <w:basedOn w:val="a"/>
    <w:uiPriority w:val="99"/>
    <w:rsid w:val="00AD40BF"/>
    <w:pPr>
      <w:spacing w:before="100" w:beforeAutospacing="1" w:after="100" w:afterAutospacing="1"/>
    </w:pPr>
  </w:style>
  <w:style w:type="character" w:customStyle="1" w:styleId="7Char">
    <w:name w:val="Επικεφαλίδα 7 Char"/>
    <w:basedOn w:val="a1"/>
    <w:link w:val="7"/>
    <w:rsid w:val="00BD6F50"/>
    <w:rPr>
      <w:rFonts w:ascii="Arial Narrow" w:eastAsia="SimSun" w:hAnsi="Arial Narrow" w:cs="Mangal"/>
      <w:b/>
      <w:i/>
      <w:kern w:val="1"/>
      <w:sz w:val="22"/>
      <w:szCs w:val="22"/>
      <w:lang w:eastAsia="hi-IN" w:bidi="hi-IN"/>
    </w:rPr>
  </w:style>
  <w:style w:type="character" w:customStyle="1" w:styleId="9Char">
    <w:name w:val="Επικεφαλίδα 9 Char"/>
    <w:basedOn w:val="a1"/>
    <w:link w:val="9"/>
    <w:rsid w:val="00BD6F50"/>
    <w:rPr>
      <w:rFonts w:ascii="Arial Narrow" w:eastAsia="SimSun" w:hAnsi="Arial Narrow" w:cs="Mangal"/>
      <w:b/>
      <w:color w:val="000080"/>
      <w:kern w:val="1"/>
      <w:sz w:val="24"/>
      <w:szCs w:val="22"/>
      <w:lang w:eastAsia="hi-IN" w:bidi="hi-IN"/>
    </w:rPr>
  </w:style>
  <w:style w:type="character" w:customStyle="1" w:styleId="WW8Num2z0">
    <w:name w:val="WW8Num2z0"/>
    <w:rsid w:val="00BD6F50"/>
    <w:rPr>
      <w:rFonts w:ascii="Symbol" w:hAnsi="Symbol"/>
    </w:rPr>
  </w:style>
  <w:style w:type="character" w:customStyle="1" w:styleId="WW8Num2z1">
    <w:name w:val="WW8Num2z1"/>
    <w:rsid w:val="00BD6F50"/>
    <w:rPr>
      <w:rFonts w:ascii="Courier New" w:hAnsi="Courier New" w:cs="Courier New"/>
    </w:rPr>
  </w:style>
  <w:style w:type="character" w:customStyle="1" w:styleId="WW8Num2z2">
    <w:name w:val="WW8Num2z2"/>
    <w:rsid w:val="00BD6F50"/>
    <w:rPr>
      <w:rFonts w:ascii="Wingdings" w:hAnsi="Wingdings"/>
    </w:rPr>
  </w:style>
  <w:style w:type="character" w:customStyle="1" w:styleId="WW8Num3z0">
    <w:name w:val="WW8Num3z0"/>
    <w:rsid w:val="00BD6F50"/>
    <w:rPr>
      <w:rFonts w:ascii="Wingdings" w:hAnsi="Wingdings"/>
    </w:rPr>
  </w:style>
  <w:style w:type="character" w:customStyle="1" w:styleId="WW8Num3z1">
    <w:name w:val="WW8Num3z1"/>
    <w:rsid w:val="00BD6F50"/>
    <w:rPr>
      <w:rFonts w:ascii="Courier New" w:hAnsi="Courier New" w:cs="Courier New"/>
    </w:rPr>
  </w:style>
  <w:style w:type="character" w:customStyle="1" w:styleId="WW8Num3z3">
    <w:name w:val="WW8Num3z3"/>
    <w:rsid w:val="00BD6F50"/>
    <w:rPr>
      <w:rFonts w:ascii="Symbol" w:hAnsi="Symbol"/>
    </w:rPr>
  </w:style>
  <w:style w:type="character" w:customStyle="1" w:styleId="Absatz-Standardschriftart">
    <w:name w:val="Absatz-Standardschriftart"/>
    <w:rsid w:val="00BD6F50"/>
  </w:style>
  <w:style w:type="character" w:customStyle="1" w:styleId="14">
    <w:name w:val="Προεπιλεγμένη γραμματοσειρά1"/>
    <w:rsid w:val="00BD6F50"/>
  </w:style>
  <w:style w:type="character" w:customStyle="1" w:styleId="15">
    <w:name w:val="Αριθμός σελίδας1"/>
    <w:basedOn w:val="14"/>
    <w:rsid w:val="00BD6F50"/>
  </w:style>
  <w:style w:type="character" w:customStyle="1" w:styleId="16">
    <w:name w:val="Παραπομπή σχολίου1"/>
    <w:basedOn w:val="14"/>
    <w:rsid w:val="00BD6F50"/>
    <w:rPr>
      <w:sz w:val="16"/>
      <w:szCs w:val="16"/>
    </w:rPr>
  </w:style>
  <w:style w:type="character" w:customStyle="1" w:styleId="17">
    <w:name w:val="Αριθμός γραμμής1"/>
    <w:basedOn w:val="14"/>
    <w:rsid w:val="00BD6F50"/>
  </w:style>
  <w:style w:type="character" w:customStyle="1" w:styleId="ListLabel1">
    <w:name w:val="ListLabel 1"/>
    <w:rsid w:val="00BD6F50"/>
    <w:rPr>
      <w:rFonts w:cs="Courier New"/>
    </w:rPr>
  </w:style>
  <w:style w:type="character" w:customStyle="1" w:styleId="ListLabel2">
    <w:name w:val="ListLabel 2"/>
    <w:rsid w:val="00BD6F50"/>
    <w:rPr>
      <w:color w:val="00000A"/>
    </w:rPr>
  </w:style>
  <w:style w:type="character" w:customStyle="1" w:styleId="ListLabel3">
    <w:name w:val="ListLabel 3"/>
    <w:rsid w:val="00BD6F50"/>
    <w:rPr>
      <w:rFonts w:eastAsia="Times New Roman" w:cs="Times New Roman"/>
      <w:b/>
    </w:rPr>
  </w:style>
  <w:style w:type="character" w:customStyle="1" w:styleId="ListLabel4">
    <w:name w:val="ListLabel 4"/>
    <w:rsid w:val="00BD6F50"/>
    <w:rPr>
      <w:b/>
    </w:rPr>
  </w:style>
  <w:style w:type="character" w:customStyle="1" w:styleId="ListLabel5">
    <w:name w:val="ListLabel 5"/>
    <w:rsid w:val="00BD6F50"/>
    <w:rPr>
      <w:rFonts w:cs="Times New Roman"/>
    </w:rPr>
  </w:style>
  <w:style w:type="character" w:customStyle="1" w:styleId="af7">
    <w:name w:val="Σύμβολα σημείωσης τέλους"/>
    <w:rsid w:val="00BD6F50"/>
    <w:rPr>
      <w:vertAlign w:val="superscript"/>
    </w:rPr>
  </w:style>
  <w:style w:type="character" w:customStyle="1" w:styleId="WW-">
    <w:name w:val="WW-Σύμβολα σημείωσης τέλους"/>
    <w:rsid w:val="00BD6F50"/>
  </w:style>
  <w:style w:type="character" w:customStyle="1" w:styleId="af8">
    <w:name w:val="Χαρακτήρες αρίθμησης"/>
    <w:rsid w:val="00BD6F50"/>
  </w:style>
  <w:style w:type="paragraph" w:customStyle="1" w:styleId="af9">
    <w:name w:val="Επικεφαλίδα"/>
    <w:basedOn w:val="a"/>
    <w:next w:val="a0"/>
    <w:rsid w:val="00BD6F50"/>
    <w:pPr>
      <w:keepNext/>
      <w:suppressAutoHyphens/>
      <w:spacing w:before="240" w:after="120"/>
    </w:pPr>
    <w:rPr>
      <w:rFonts w:ascii="Arial" w:eastAsia="Microsoft YaHei" w:hAnsi="Arial" w:cs="Mangal"/>
      <w:kern w:val="1"/>
      <w:sz w:val="28"/>
      <w:szCs w:val="28"/>
      <w:lang w:eastAsia="hi-IN" w:bidi="hi-IN"/>
    </w:rPr>
  </w:style>
  <w:style w:type="paragraph" w:styleId="afa">
    <w:name w:val="List"/>
    <w:basedOn w:val="a0"/>
    <w:rsid w:val="00BD6F50"/>
    <w:pPr>
      <w:suppressAutoHyphens/>
    </w:pPr>
    <w:rPr>
      <w:rFonts w:eastAsia="SimSun" w:cs="Mangal"/>
      <w:kern w:val="1"/>
      <w:lang w:eastAsia="hi-IN" w:bidi="hi-IN"/>
    </w:rPr>
  </w:style>
  <w:style w:type="paragraph" w:customStyle="1" w:styleId="18">
    <w:name w:val="Λεζάντα1"/>
    <w:basedOn w:val="a"/>
    <w:rsid w:val="00BD6F50"/>
    <w:pPr>
      <w:suppressLineNumbers/>
      <w:suppressAutoHyphens/>
      <w:spacing w:before="120" w:after="120"/>
    </w:pPr>
    <w:rPr>
      <w:rFonts w:eastAsia="SimSun" w:cs="Mangal"/>
      <w:i/>
      <w:iCs/>
      <w:kern w:val="1"/>
      <w:lang w:eastAsia="hi-IN" w:bidi="hi-IN"/>
    </w:rPr>
  </w:style>
  <w:style w:type="paragraph" w:customStyle="1" w:styleId="afb">
    <w:name w:val="Ευρετήριο"/>
    <w:basedOn w:val="a"/>
    <w:rsid w:val="00BD6F50"/>
    <w:pPr>
      <w:suppressLineNumbers/>
      <w:suppressAutoHyphens/>
    </w:pPr>
    <w:rPr>
      <w:rFonts w:eastAsia="SimSun" w:cs="Mangal"/>
      <w:kern w:val="1"/>
      <w:lang w:eastAsia="hi-IN" w:bidi="hi-IN"/>
    </w:rPr>
  </w:style>
  <w:style w:type="paragraph" w:customStyle="1" w:styleId="19">
    <w:name w:val="Κείμενο πλαισίου1"/>
    <w:basedOn w:val="a"/>
    <w:rsid w:val="00BD6F50"/>
    <w:pPr>
      <w:suppressAutoHyphens/>
    </w:pPr>
    <w:rPr>
      <w:rFonts w:ascii="Tahoma" w:eastAsia="SimSun" w:hAnsi="Tahoma" w:cs="Tahoma"/>
      <w:kern w:val="1"/>
      <w:sz w:val="16"/>
      <w:szCs w:val="16"/>
      <w:lang w:eastAsia="hi-IN" w:bidi="hi-IN"/>
    </w:rPr>
  </w:style>
  <w:style w:type="paragraph" w:customStyle="1" w:styleId="210">
    <w:name w:val="Σώμα κείμενου με εσοχή 21"/>
    <w:basedOn w:val="a"/>
    <w:rsid w:val="00BD6F50"/>
    <w:pPr>
      <w:suppressAutoHyphens/>
      <w:ind w:left="284"/>
      <w:jc w:val="both"/>
    </w:pPr>
    <w:rPr>
      <w:rFonts w:eastAsia="SimSun" w:cs="Mangal"/>
      <w:kern w:val="1"/>
      <w:sz w:val="22"/>
      <w:szCs w:val="22"/>
      <w:lang w:eastAsia="hi-IN" w:bidi="hi-IN"/>
    </w:rPr>
  </w:style>
  <w:style w:type="paragraph" w:customStyle="1" w:styleId="1a">
    <w:name w:val="Απλό κείμενο1"/>
    <w:basedOn w:val="a"/>
    <w:rsid w:val="00BD6F50"/>
    <w:pPr>
      <w:suppressAutoHyphens/>
    </w:pPr>
    <w:rPr>
      <w:rFonts w:ascii="Courier New" w:eastAsia="SimSun" w:hAnsi="Courier New" w:cs="Mangal"/>
      <w:kern w:val="1"/>
      <w:sz w:val="20"/>
      <w:szCs w:val="20"/>
      <w:lang w:eastAsia="hi-IN" w:bidi="hi-IN"/>
    </w:rPr>
  </w:style>
  <w:style w:type="paragraph" w:customStyle="1" w:styleId="211">
    <w:name w:val="Σώμα κείμενου 21"/>
    <w:basedOn w:val="a"/>
    <w:rsid w:val="00BD6F50"/>
    <w:pPr>
      <w:suppressAutoHyphens/>
      <w:spacing w:after="120" w:line="480" w:lineRule="auto"/>
    </w:pPr>
    <w:rPr>
      <w:rFonts w:eastAsia="SimSun" w:cs="Mangal"/>
      <w:kern w:val="1"/>
      <w:lang w:eastAsia="hi-IN" w:bidi="hi-IN"/>
    </w:rPr>
  </w:style>
  <w:style w:type="paragraph" w:customStyle="1" w:styleId="1b">
    <w:name w:val="Κείμενο υποσημείωσης1"/>
    <w:basedOn w:val="a"/>
    <w:rsid w:val="00BD6F50"/>
    <w:pPr>
      <w:suppressAutoHyphens/>
    </w:pPr>
    <w:rPr>
      <w:rFonts w:eastAsia="SimSun" w:cs="Mangal"/>
      <w:kern w:val="1"/>
      <w:sz w:val="20"/>
      <w:szCs w:val="20"/>
      <w:lang w:val="en-GB" w:eastAsia="hi-IN" w:bidi="hi-IN"/>
    </w:rPr>
  </w:style>
  <w:style w:type="paragraph" w:customStyle="1" w:styleId="1c">
    <w:name w:val="Κείμενο σχολίου1"/>
    <w:basedOn w:val="a"/>
    <w:rsid w:val="00BD6F50"/>
    <w:pPr>
      <w:suppressAutoHyphens/>
    </w:pPr>
    <w:rPr>
      <w:rFonts w:eastAsia="SimSun" w:cs="Mangal"/>
      <w:kern w:val="1"/>
      <w:sz w:val="20"/>
      <w:szCs w:val="20"/>
      <w:lang w:eastAsia="hi-IN" w:bidi="hi-IN"/>
    </w:rPr>
  </w:style>
  <w:style w:type="paragraph" w:customStyle="1" w:styleId="1d">
    <w:name w:val="Θέμα σχολίου1"/>
    <w:basedOn w:val="1c"/>
    <w:rsid w:val="00BD6F50"/>
    <w:rPr>
      <w:b/>
      <w:bCs/>
    </w:rPr>
  </w:style>
  <w:style w:type="paragraph" w:customStyle="1" w:styleId="CharCharCharCharCharCharCharCharCharCharCharCharChar">
    <w:name w:val="Char Char Char Char Char Char Char Char Char Char Char Char Char"/>
    <w:basedOn w:val="a"/>
    <w:rsid w:val="00BD6F50"/>
    <w:pPr>
      <w:suppressAutoHyphens/>
      <w:spacing w:after="160" w:line="240" w:lineRule="exact"/>
      <w:jc w:val="both"/>
    </w:pPr>
    <w:rPr>
      <w:rFonts w:ascii="Verdana" w:eastAsia="SimSun" w:hAnsi="Verdana" w:cs="Mangal"/>
      <w:kern w:val="1"/>
      <w:sz w:val="20"/>
      <w:szCs w:val="20"/>
      <w:lang w:val="en-US" w:eastAsia="hi-IN" w:bidi="hi-IN"/>
    </w:rPr>
  </w:style>
  <w:style w:type="paragraph" w:customStyle="1" w:styleId="Web1">
    <w:name w:val="Κανονικό (Web)1"/>
    <w:basedOn w:val="a"/>
    <w:rsid w:val="00BD6F50"/>
    <w:pPr>
      <w:suppressAutoHyphens/>
      <w:spacing w:before="28" w:after="28"/>
    </w:pPr>
    <w:rPr>
      <w:rFonts w:eastAsia="SimSun" w:cs="Mangal"/>
      <w:kern w:val="1"/>
      <w:lang w:val="en-US" w:eastAsia="en-US" w:bidi="en-US"/>
    </w:rPr>
  </w:style>
  <w:style w:type="paragraph" w:customStyle="1" w:styleId="1e">
    <w:name w:val="Χωρίς διάστιχο1"/>
    <w:rsid w:val="00BD6F50"/>
    <w:pPr>
      <w:suppressAutoHyphens/>
    </w:pPr>
    <w:rPr>
      <w:rFonts w:ascii="Calibri" w:eastAsia="SimSun" w:hAnsi="Calibri" w:cs="Calibri"/>
      <w:kern w:val="1"/>
      <w:sz w:val="22"/>
      <w:szCs w:val="22"/>
      <w:lang w:eastAsia="hi-IN" w:bidi="hi-IN"/>
    </w:rPr>
  </w:style>
  <w:style w:type="paragraph" w:customStyle="1" w:styleId="1f">
    <w:name w:val="Αναθεώρηση1"/>
    <w:rsid w:val="00BD6F50"/>
    <w:pPr>
      <w:suppressAutoHyphens/>
    </w:pPr>
    <w:rPr>
      <w:rFonts w:eastAsia="SimSun" w:cs="Mangal"/>
      <w:kern w:val="1"/>
      <w:sz w:val="24"/>
      <w:szCs w:val="24"/>
      <w:lang w:eastAsia="hi-IN" w:bidi="hi-IN"/>
    </w:rPr>
  </w:style>
  <w:style w:type="paragraph" w:customStyle="1" w:styleId="afc">
    <w:name w:val="Περιεχόμενα πίνακα"/>
    <w:basedOn w:val="a"/>
    <w:rsid w:val="00BD6F50"/>
    <w:pPr>
      <w:suppressLineNumbers/>
      <w:suppressAutoHyphens/>
    </w:pPr>
    <w:rPr>
      <w:rFonts w:eastAsia="SimSun" w:cs="Mangal"/>
      <w:kern w:val="1"/>
      <w:lang w:eastAsia="hi-IN" w:bidi="hi-IN"/>
    </w:rPr>
  </w:style>
  <w:style w:type="paragraph" w:customStyle="1" w:styleId="afd">
    <w:name w:val="Επικεφαλίδα πίνακα"/>
    <w:basedOn w:val="afc"/>
    <w:rsid w:val="00BD6F50"/>
    <w:pPr>
      <w:jc w:val="center"/>
    </w:pPr>
    <w:rPr>
      <w:b/>
      <w:bCs/>
    </w:rPr>
  </w:style>
  <w:style w:type="character" w:customStyle="1" w:styleId="st">
    <w:name w:val="st"/>
    <w:basedOn w:val="a1"/>
    <w:rsid w:val="00BD6F50"/>
  </w:style>
  <w:style w:type="character" w:styleId="afe">
    <w:name w:val="Emphasis"/>
    <w:basedOn w:val="a1"/>
    <w:uiPriority w:val="20"/>
    <w:qFormat/>
    <w:rsid w:val="00BD6F50"/>
    <w:rPr>
      <w:i/>
      <w:iCs/>
    </w:rPr>
  </w:style>
  <w:style w:type="character" w:styleId="-">
    <w:name w:val="Hyperlink"/>
    <w:basedOn w:val="a1"/>
    <w:uiPriority w:val="99"/>
    <w:unhideWhenUsed/>
    <w:rsid w:val="00BD6F50"/>
    <w:rPr>
      <w:color w:val="0000FF"/>
      <w:u w:val="single"/>
    </w:rPr>
  </w:style>
  <w:style w:type="paragraph" w:styleId="aff">
    <w:name w:val="TOC Heading"/>
    <w:basedOn w:val="1"/>
    <w:next w:val="a"/>
    <w:uiPriority w:val="39"/>
    <w:semiHidden/>
    <w:unhideWhenUsed/>
    <w:qFormat/>
    <w:rsid w:val="00BD6F50"/>
    <w:pPr>
      <w:keepLines/>
      <w:spacing w:before="480" w:after="0" w:line="276" w:lineRule="auto"/>
      <w:outlineLvl w:val="9"/>
    </w:pPr>
    <w:rPr>
      <w:rFonts w:ascii="Cambria" w:hAnsi="Cambria" w:cs="Times New Roman"/>
      <w:color w:val="365F91"/>
      <w:kern w:val="0"/>
      <w:sz w:val="28"/>
      <w:szCs w:val="28"/>
      <w:lang w:eastAsia="en-US"/>
    </w:rPr>
  </w:style>
  <w:style w:type="paragraph" w:styleId="-HTML">
    <w:name w:val="HTML Preformatted"/>
    <w:basedOn w:val="a"/>
    <w:link w:val="-HTMLChar"/>
    <w:uiPriority w:val="99"/>
    <w:unhideWhenUsed/>
    <w:rsid w:val="00BD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uiPriority w:val="99"/>
    <w:rsid w:val="00BD6F50"/>
    <w:rPr>
      <w:rFonts w:ascii="Courier New" w:hAnsi="Courier New" w:cs="Courier New"/>
    </w:rPr>
  </w:style>
  <w:style w:type="paragraph" w:customStyle="1" w:styleId="Default">
    <w:name w:val="Default"/>
    <w:rsid w:val="00BD6F50"/>
    <w:pPr>
      <w:autoSpaceDE w:val="0"/>
      <w:autoSpaceDN w:val="0"/>
      <w:adjustRightInd w:val="0"/>
    </w:pPr>
    <w:rPr>
      <w:rFonts w:eastAsia="Calibri"/>
      <w:color w:val="000000"/>
      <w:sz w:val="24"/>
      <w:szCs w:val="24"/>
    </w:rPr>
  </w:style>
  <w:style w:type="character" w:customStyle="1" w:styleId="alt-edited">
    <w:name w:val="alt-edited"/>
    <w:basedOn w:val="a1"/>
    <w:rsid w:val="00BD6F50"/>
  </w:style>
  <w:style w:type="paragraph" w:customStyle="1" w:styleId="xl52844">
    <w:name w:val="xl52844"/>
    <w:basedOn w:val="a"/>
    <w:rsid w:val="00BD6F50"/>
    <w:pPr>
      <w:spacing w:before="100" w:beforeAutospacing="1" w:after="100" w:afterAutospacing="1"/>
      <w:jc w:val="center"/>
      <w:textAlignment w:val="center"/>
    </w:pPr>
    <w:rPr>
      <w:rFonts w:ascii="Segoe UI" w:hAnsi="Segoe UI" w:cs="Segoe UI"/>
      <w:sz w:val="16"/>
      <w:szCs w:val="16"/>
    </w:rPr>
  </w:style>
  <w:style w:type="character" w:styleId="-0">
    <w:name w:val="FollowedHyperlink"/>
    <w:basedOn w:val="a1"/>
    <w:uiPriority w:val="99"/>
    <w:unhideWhenUsed/>
    <w:rsid w:val="00BD6F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873215">
      <w:bodyDiv w:val="1"/>
      <w:marLeft w:val="0"/>
      <w:marRight w:val="0"/>
      <w:marTop w:val="0"/>
      <w:marBottom w:val="0"/>
      <w:divBdr>
        <w:top w:val="none" w:sz="0" w:space="0" w:color="auto"/>
        <w:left w:val="none" w:sz="0" w:space="0" w:color="auto"/>
        <w:bottom w:val="none" w:sz="0" w:space="0" w:color="auto"/>
        <w:right w:val="none" w:sz="0" w:space="0" w:color="auto"/>
      </w:divBdr>
    </w:div>
    <w:div w:id="77988290">
      <w:bodyDiv w:val="1"/>
      <w:marLeft w:val="0"/>
      <w:marRight w:val="0"/>
      <w:marTop w:val="0"/>
      <w:marBottom w:val="0"/>
      <w:divBdr>
        <w:top w:val="none" w:sz="0" w:space="0" w:color="auto"/>
        <w:left w:val="none" w:sz="0" w:space="0" w:color="auto"/>
        <w:bottom w:val="none" w:sz="0" w:space="0" w:color="auto"/>
        <w:right w:val="none" w:sz="0" w:space="0" w:color="auto"/>
      </w:divBdr>
    </w:div>
    <w:div w:id="157119650">
      <w:bodyDiv w:val="1"/>
      <w:marLeft w:val="0"/>
      <w:marRight w:val="0"/>
      <w:marTop w:val="0"/>
      <w:marBottom w:val="0"/>
      <w:divBdr>
        <w:top w:val="none" w:sz="0" w:space="0" w:color="auto"/>
        <w:left w:val="none" w:sz="0" w:space="0" w:color="auto"/>
        <w:bottom w:val="none" w:sz="0" w:space="0" w:color="auto"/>
        <w:right w:val="none" w:sz="0" w:space="0" w:color="auto"/>
      </w:divBdr>
    </w:div>
    <w:div w:id="227375903">
      <w:bodyDiv w:val="1"/>
      <w:marLeft w:val="0"/>
      <w:marRight w:val="0"/>
      <w:marTop w:val="0"/>
      <w:marBottom w:val="0"/>
      <w:divBdr>
        <w:top w:val="none" w:sz="0" w:space="0" w:color="auto"/>
        <w:left w:val="none" w:sz="0" w:space="0" w:color="auto"/>
        <w:bottom w:val="none" w:sz="0" w:space="0" w:color="auto"/>
        <w:right w:val="none" w:sz="0" w:space="0" w:color="auto"/>
      </w:divBdr>
    </w:div>
    <w:div w:id="240455877">
      <w:bodyDiv w:val="1"/>
      <w:marLeft w:val="0"/>
      <w:marRight w:val="0"/>
      <w:marTop w:val="0"/>
      <w:marBottom w:val="0"/>
      <w:divBdr>
        <w:top w:val="none" w:sz="0" w:space="0" w:color="auto"/>
        <w:left w:val="none" w:sz="0" w:space="0" w:color="auto"/>
        <w:bottom w:val="none" w:sz="0" w:space="0" w:color="auto"/>
        <w:right w:val="none" w:sz="0" w:space="0" w:color="auto"/>
      </w:divBdr>
    </w:div>
    <w:div w:id="257179088">
      <w:bodyDiv w:val="1"/>
      <w:marLeft w:val="0"/>
      <w:marRight w:val="0"/>
      <w:marTop w:val="0"/>
      <w:marBottom w:val="0"/>
      <w:divBdr>
        <w:top w:val="none" w:sz="0" w:space="0" w:color="auto"/>
        <w:left w:val="none" w:sz="0" w:space="0" w:color="auto"/>
        <w:bottom w:val="none" w:sz="0" w:space="0" w:color="auto"/>
        <w:right w:val="none" w:sz="0" w:space="0" w:color="auto"/>
      </w:divBdr>
    </w:div>
    <w:div w:id="259265060">
      <w:bodyDiv w:val="1"/>
      <w:marLeft w:val="0"/>
      <w:marRight w:val="0"/>
      <w:marTop w:val="0"/>
      <w:marBottom w:val="0"/>
      <w:divBdr>
        <w:top w:val="none" w:sz="0" w:space="0" w:color="auto"/>
        <w:left w:val="none" w:sz="0" w:space="0" w:color="auto"/>
        <w:bottom w:val="none" w:sz="0" w:space="0" w:color="auto"/>
        <w:right w:val="none" w:sz="0" w:space="0" w:color="auto"/>
      </w:divBdr>
    </w:div>
    <w:div w:id="271594238">
      <w:bodyDiv w:val="1"/>
      <w:marLeft w:val="0"/>
      <w:marRight w:val="0"/>
      <w:marTop w:val="0"/>
      <w:marBottom w:val="0"/>
      <w:divBdr>
        <w:top w:val="none" w:sz="0" w:space="0" w:color="auto"/>
        <w:left w:val="none" w:sz="0" w:space="0" w:color="auto"/>
        <w:bottom w:val="none" w:sz="0" w:space="0" w:color="auto"/>
        <w:right w:val="none" w:sz="0" w:space="0" w:color="auto"/>
      </w:divBdr>
    </w:div>
    <w:div w:id="281689762">
      <w:bodyDiv w:val="1"/>
      <w:marLeft w:val="0"/>
      <w:marRight w:val="0"/>
      <w:marTop w:val="0"/>
      <w:marBottom w:val="0"/>
      <w:divBdr>
        <w:top w:val="none" w:sz="0" w:space="0" w:color="auto"/>
        <w:left w:val="none" w:sz="0" w:space="0" w:color="auto"/>
        <w:bottom w:val="none" w:sz="0" w:space="0" w:color="auto"/>
        <w:right w:val="none" w:sz="0" w:space="0" w:color="auto"/>
      </w:divBdr>
    </w:div>
    <w:div w:id="326980128">
      <w:bodyDiv w:val="1"/>
      <w:marLeft w:val="0"/>
      <w:marRight w:val="0"/>
      <w:marTop w:val="0"/>
      <w:marBottom w:val="0"/>
      <w:divBdr>
        <w:top w:val="none" w:sz="0" w:space="0" w:color="auto"/>
        <w:left w:val="none" w:sz="0" w:space="0" w:color="auto"/>
        <w:bottom w:val="none" w:sz="0" w:space="0" w:color="auto"/>
        <w:right w:val="none" w:sz="0" w:space="0" w:color="auto"/>
      </w:divBdr>
    </w:div>
    <w:div w:id="357970030">
      <w:bodyDiv w:val="1"/>
      <w:marLeft w:val="0"/>
      <w:marRight w:val="0"/>
      <w:marTop w:val="0"/>
      <w:marBottom w:val="0"/>
      <w:divBdr>
        <w:top w:val="none" w:sz="0" w:space="0" w:color="auto"/>
        <w:left w:val="none" w:sz="0" w:space="0" w:color="auto"/>
        <w:bottom w:val="none" w:sz="0" w:space="0" w:color="auto"/>
        <w:right w:val="none" w:sz="0" w:space="0" w:color="auto"/>
      </w:divBdr>
    </w:div>
    <w:div w:id="409497976">
      <w:bodyDiv w:val="1"/>
      <w:marLeft w:val="0"/>
      <w:marRight w:val="0"/>
      <w:marTop w:val="0"/>
      <w:marBottom w:val="0"/>
      <w:divBdr>
        <w:top w:val="none" w:sz="0" w:space="0" w:color="auto"/>
        <w:left w:val="none" w:sz="0" w:space="0" w:color="auto"/>
        <w:bottom w:val="none" w:sz="0" w:space="0" w:color="auto"/>
        <w:right w:val="none" w:sz="0" w:space="0" w:color="auto"/>
      </w:divBdr>
    </w:div>
    <w:div w:id="444083764">
      <w:bodyDiv w:val="1"/>
      <w:marLeft w:val="0"/>
      <w:marRight w:val="0"/>
      <w:marTop w:val="0"/>
      <w:marBottom w:val="0"/>
      <w:divBdr>
        <w:top w:val="none" w:sz="0" w:space="0" w:color="auto"/>
        <w:left w:val="none" w:sz="0" w:space="0" w:color="auto"/>
        <w:bottom w:val="none" w:sz="0" w:space="0" w:color="auto"/>
        <w:right w:val="none" w:sz="0" w:space="0" w:color="auto"/>
      </w:divBdr>
    </w:div>
    <w:div w:id="449514788">
      <w:bodyDiv w:val="1"/>
      <w:marLeft w:val="0"/>
      <w:marRight w:val="0"/>
      <w:marTop w:val="0"/>
      <w:marBottom w:val="0"/>
      <w:divBdr>
        <w:top w:val="none" w:sz="0" w:space="0" w:color="auto"/>
        <w:left w:val="none" w:sz="0" w:space="0" w:color="auto"/>
        <w:bottom w:val="none" w:sz="0" w:space="0" w:color="auto"/>
        <w:right w:val="none" w:sz="0" w:space="0" w:color="auto"/>
      </w:divBdr>
    </w:div>
    <w:div w:id="463356692">
      <w:bodyDiv w:val="1"/>
      <w:marLeft w:val="0"/>
      <w:marRight w:val="0"/>
      <w:marTop w:val="0"/>
      <w:marBottom w:val="0"/>
      <w:divBdr>
        <w:top w:val="none" w:sz="0" w:space="0" w:color="auto"/>
        <w:left w:val="none" w:sz="0" w:space="0" w:color="auto"/>
        <w:bottom w:val="none" w:sz="0" w:space="0" w:color="auto"/>
        <w:right w:val="none" w:sz="0" w:space="0" w:color="auto"/>
      </w:divBdr>
    </w:div>
    <w:div w:id="483543470">
      <w:bodyDiv w:val="1"/>
      <w:marLeft w:val="0"/>
      <w:marRight w:val="0"/>
      <w:marTop w:val="0"/>
      <w:marBottom w:val="0"/>
      <w:divBdr>
        <w:top w:val="none" w:sz="0" w:space="0" w:color="auto"/>
        <w:left w:val="none" w:sz="0" w:space="0" w:color="auto"/>
        <w:bottom w:val="none" w:sz="0" w:space="0" w:color="auto"/>
        <w:right w:val="none" w:sz="0" w:space="0" w:color="auto"/>
      </w:divBdr>
    </w:div>
    <w:div w:id="518154461">
      <w:bodyDiv w:val="1"/>
      <w:marLeft w:val="0"/>
      <w:marRight w:val="0"/>
      <w:marTop w:val="0"/>
      <w:marBottom w:val="0"/>
      <w:divBdr>
        <w:top w:val="none" w:sz="0" w:space="0" w:color="auto"/>
        <w:left w:val="none" w:sz="0" w:space="0" w:color="auto"/>
        <w:bottom w:val="none" w:sz="0" w:space="0" w:color="auto"/>
        <w:right w:val="none" w:sz="0" w:space="0" w:color="auto"/>
      </w:divBdr>
    </w:div>
    <w:div w:id="596989290">
      <w:bodyDiv w:val="1"/>
      <w:marLeft w:val="0"/>
      <w:marRight w:val="0"/>
      <w:marTop w:val="0"/>
      <w:marBottom w:val="0"/>
      <w:divBdr>
        <w:top w:val="none" w:sz="0" w:space="0" w:color="auto"/>
        <w:left w:val="none" w:sz="0" w:space="0" w:color="auto"/>
        <w:bottom w:val="none" w:sz="0" w:space="0" w:color="auto"/>
        <w:right w:val="none" w:sz="0" w:space="0" w:color="auto"/>
      </w:divBdr>
    </w:div>
    <w:div w:id="649140898">
      <w:bodyDiv w:val="1"/>
      <w:marLeft w:val="0"/>
      <w:marRight w:val="0"/>
      <w:marTop w:val="0"/>
      <w:marBottom w:val="0"/>
      <w:divBdr>
        <w:top w:val="none" w:sz="0" w:space="0" w:color="auto"/>
        <w:left w:val="none" w:sz="0" w:space="0" w:color="auto"/>
        <w:bottom w:val="none" w:sz="0" w:space="0" w:color="auto"/>
        <w:right w:val="none" w:sz="0" w:space="0" w:color="auto"/>
      </w:divBdr>
    </w:div>
    <w:div w:id="719937437">
      <w:bodyDiv w:val="1"/>
      <w:marLeft w:val="0"/>
      <w:marRight w:val="0"/>
      <w:marTop w:val="0"/>
      <w:marBottom w:val="0"/>
      <w:divBdr>
        <w:top w:val="none" w:sz="0" w:space="0" w:color="auto"/>
        <w:left w:val="none" w:sz="0" w:space="0" w:color="auto"/>
        <w:bottom w:val="none" w:sz="0" w:space="0" w:color="auto"/>
        <w:right w:val="none" w:sz="0" w:space="0" w:color="auto"/>
      </w:divBdr>
    </w:div>
    <w:div w:id="722099404">
      <w:bodyDiv w:val="1"/>
      <w:marLeft w:val="0"/>
      <w:marRight w:val="0"/>
      <w:marTop w:val="0"/>
      <w:marBottom w:val="0"/>
      <w:divBdr>
        <w:top w:val="none" w:sz="0" w:space="0" w:color="auto"/>
        <w:left w:val="none" w:sz="0" w:space="0" w:color="auto"/>
        <w:bottom w:val="none" w:sz="0" w:space="0" w:color="auto"/>
        <w:right w:val="none" w:sz="0" w:space="0" w:color="auto"/>
      </w:divBdr>
    </w:div>
    <w:div w:id="724839135">
      <w:bodyDiv w:val="1"/>
      <w:marLeft w:val="0"/>
      <w:marRight w:val="0"/>
      <w:marTop w:val="0"/>
      <w:marBottom w:val="0"/>
      <w:divBdr>
        <w:top w:val="none" w:sz="0" w:space="0" w:color="auto"/>
        <w:left w:val="none" w:sz="0" w:space="0" w:color="auto"/>
        <w:bottom w:val="none" w:sz="0" w:space="0" w:color="auto"/>
        <w:right w:val="none" w:sz="0" w:space="0" w:color="auto"/>
      </w:divBdr>
    </w:div>
    <w:div w:id="744762566">
      <w:bodyDiv w:val="1"/>
      <w:marLeft w:val="0"/>
      <w:marRight w:val="0"/>
      <w:marTop w:val="0"/>
      <w:marBottom w:val="0"/>
      <w:divBdr>
        <w:top w:val="none" w:sz="0" w:space="0" w:color="auto"/>
        <w:left w:val="none" w:sz="0" w:space="0" w:color="auto"/>
        <w:bottom w:val="none" w:sz="0" w:space="0" w:color="auto"/>
        <w:right w:val="none" w:sz="0" w:space="0" w:color="auto"/>
      </w:divBdr>
    </w:div>
    <w:div w:id="765346723">
      <w:bodyDiv w:val="1"/>
      <w:marLeft w:val="0"/>
      <w:marRight w:val="0"/>
      <w:marTop w:val="0"/>
      <w:marBottom w:val="0"/>
      <w:divBdr>
        <w:top w:val="none" w:sz="0" w:space="0" w:color="auto"/>
        <w:left w:val="none" w:sz="0" w:space="0" w:color="auto"/>
        <w:bottom w:val="none" w:sz="0" w:space="0" w:color="auto"/>
        <w:right w:val="none" w:sz="0" w:space="0" w:color="auto"/>
      </w:divBdr>
    </w:div>
    <w:div w:id="866985997">
      <w:bodyDiv w:val="1"/>
      <w:marLeft w:val="0"/>
      <w:marRight w:val="0"/>
      <w:marTop w:val="0"/>
      <w:marBottom w:val="0"/>
      <w:divBdr>
        <w:top w:val="none" w:sz="0" w:space="0" w:color="auto"/>
        <w:left w:val="none" w:sz="0" w:space="0" w:color="auto"/>
        <w:bottom w:val="none" w:sz="0" w:space="0" w:color="auto"/>
        <w:right w:val="none" w:sz="0" w:space="0" w:color="auto"/>
      </w:divBdr>
    </w:div>
    <w:div w:id="883753120">
      <w:bodyDiv w:val="1"/>
      <w:marLeft w:val="0"/>
      <w:marRight w:val="0"/>
      <w:marTop w:val="0"/>
      <w:marBottom w:val="0"/>
      <w:divBdr>
        <w:top w:val="none" w:sz="0" w:space="0" w:color="auto"/>
        <w:left w:val="none" w:sz="0" w:space="0" w:color="auto"/>
        <w:bottom w:val="none" w:sz="0" w:space="0" w:color="auto"/>
        <w:right w:val="none" w:sz="0" w:space="0" w:color="auto"/>
      </w:divBdr>
    </w:div>
    <w:div w:id="929894743">
      <w:bodyDiv w:val="1"/>
      <w:marLeft w:val="0"/>
      <w:marRight w:val="0"/>
      <w:marTop w:val="0"/>
      <w:marBottom w:val="0"/>
      <w:divBdr>
        <w:top w:val="none" w:sz="0" w:space="0" w:color="auto"/>
        <w:left w:val="none" w:sz="0" w:space="0" w:color="auto"/>
        <w:bottom w:val="none" w:sz="0" w:space="0" w:color="auto"/>
        <w:right w:val="none" w:sz="0" w:space="0" w:color="auto"/>
      </w:divBdr>
    </w:div>
    <w:div w:id="948657477">
      <w:bodyDiv w:val="1"/>
      <w:marLeft w:val="0"/>
      <w:marRight w:val="0"/>
      <w:marTop w:val="0"/>
      <w:marBottom w:val="0"/>
      <w:divBdr>
        <w:top w:val="none" w:sz="0" w:space="0" w:color="auto"/>
        <w:left w:val="none" w:sz="0" w:space="0" w:color="auto"/>
        <w:bottom w:val="none" w:sz="0" w:space="0" w:color="auto"/>
        <w:right w:val="none" w:sz="0" w:space="0" w:color="auto"/>
      </w:divBdr>
    </w:div>
    <w:div w:id="995185788">
      <w:bodyDiv w:val="1"/>
      <w:marLeft w:val="0"/>
      <w:marRight w:val="0"/>
      <w:marTop w:val="0"/>
      <w:marBottom w:val="0"/>
      <w:divBdr>
        <w:top w:val="none" w:sz="0" w:space="0" w:color="auto"/>
        <w:left w:val="none" w:sz="0" w:space="0" w:color="auto"/>
        <w:bottom w:val="none" w:sz="0" w:space="0" w:color="auto"/>
        <w:right w:val="none" w:sz="0" w:space="0" w:color="auto"/>
      </w:divBdr>
    </w:div>
    <w:div w:id="1055349887">
      <w:bodyDiv w:val="1"/>
      <w:marLeft w:val="0"/>
      <w:marRight w:val="0"/>
      <w:marTop w:val="0"/>
      <w:marBottom w:val="0"/>
      <w:divBdr>
        <w:top w:val="none" w:sz="0" w:space="0" w:color="auto"/>
        <w:left w:val="none" w:sz="0" w:space="0" w:color="auto"/>
        <w:bottom w:val="none" w:sz="0" w:space="0" w:color="auto"/>
        <w:right w:val="none" w:sz="0" w:space="0" w:color="auto"/>
      </w:divBdr>
    </w:div>
    <w:div w:id="1056515681">
      <w:bodyDiv w:val="1"/>
      <w:marLeft w:val="0"/>
      <w:marRight w:val="0"/>
      <w:marTop w:val="0"/>
      <w:marBottom w:val="0"/>
      <w:divBdr>
        <w:top w:val="none" w:sz="0" w:space="0" w:color="auto"/>
        <w:left w:val="none" w:sz="0" w:space="0" w:color="auto"/>
        <w:bottom w:val="none" w:sz="0" w:space="0" w:color="auto"/>
        <w:right w:val="none" w:sz="0" w:space="0" w:color="auto"/>
      </w:divBdr>
    </w:div>
    <w:div w:id="1183517776">
      <w:bodyDiv w:val="1"/>
      <w:marLeft w:val="0"/>
      <w:marRight w:val="0"/>
      <w:marTop w:val="0"/>
      <w:marBottom w:val="0"/>
      <w:divBdr>
        <w:top w:val="none" w:sz="0" w:space="0" w:color="auto"/>
        <w:left w:val="none" w:sz="0" w:space="0" w:color="auto"/>
        <w:bottom w:val="none" w:sz="0" w:space="0" w:color="auto"/>
        <w:right w:val="none" w:sz="0" w:space="0" w:color="auto"/>
      </w:divBdr>
    </w:div>
    <w:div w:id="1263148354">
      <w:bodyDiv w:val="1"/>
      <w:marLeft w:val="0"/>
      <w:marRight w:val="0"/>
      <w:marTop w:val="0"/>
      <w:marBottom w:val="0"/>
      <w:divBdr>
        <w:top w:val="none" w:sz="0" w:space="0" w:color="auto"/>
        <w:left w:val="none" w:sz="0" w:space="0" w:color="auto"/>
        <w:bottom w:val="none" w:sz="0" w:space="0" w:color="auto"/>
        <w:right w:val="none" w:sz="0" w:space="0" w:color="auto"/>
      </w:divBdr>
    </w:div>
    <w:div w:id="1316103057">
      <w:bodyDiv w:val="1"/>
      <w:marLeft w:val="0"/>
      <w:marRight w:val="0"/>
      <w:marTop w:val="0"/>
      <w:marBottom w:val="0"/>
      <w:divBdr>
        <w:top w:val="none" w:sz="0" w:space="0" w:color="auto"/>
        <w:left w:val="none" w:sz="0" w:space="0" w:color="auto"/>
        <w:bottom w:val="none" w:sz="0" w:space="0" w:color="auto"/>
        <w:right w:val="none" w:sz="0" w:space="0" w:color="auto"/>
      </w:divBdr>
    </w:div>
    <w:div w:id="1344238812">
      <w:bodyDiv w:val="1"/>
      <w:marLeft w:val="0"/>
      <w:marRight w:val="0"/>
      <w:marTop w:val="0"/>
      <w:marBottom w:val="0"/>
      <w:divBdr>
        <w:top w:val="none" w:sz="0" w:space="0" w:color="auto"/>
        <w:left w:val="none" w:sz="0" w:space="0" w:color="auto"/>
        <w:bottom w:val="none" w:sz="0" w:space="0" w:color="auto"/>
        <w:right w:val="none" w:sz="0" w:space="0" w:color="auto"/>
      </w:divBdr>
    </w:div>
    <w:div w:id="1355568979">
      <w:bodyDiv w:val="1"/>
      <w:marLeft w:val="0"/>
      <w:marRight w:val="0"/>
      <w:marTop w:val="0"/>
      <w:marBottom w:val="0"/>
      <w:divBdr>
        <w:top w:val="none" w:sz="0" w:space="0" w:color="auto"/>
        <w:left w:val="none" w:sz="0" w:space="0" w:color="auto"/>
        <w:bottom w:val="none" w:sz="0" w:space="0" w:color="auto"/>
        <w:right w:val="none" w:sz="0" w:space="0" w:color="auto"/>
      </w:divBdr>
    </w:div>
    <w:div w:id="1362976073">
      <w:bodyDiv w:val="1"/>
      <w:marLeft w:val="0"/>
      <w:marRight w:val="0"/>
      <w:marTop w:val="0"/>
      <w:marBottom w:val="0"/>
      <w:divBdr>
        <w:top w:val="none" w:sz="0" w:space="0" w:color="auto"/>
        <w:left w:val="none" w:sz="0" w:space="0" w:color="auto"/>
        <w:bottom w:val="none" w:sz="0" w:space="0" w:color="auto"/>
        <w:right w:val="none" w:sz="0" w:space="0" w:color="auto"/>
      </w:divBdr>
    </w:div>
    <w:div w:id="1447432443">
      <w:bodyDiv w:val="1"/>
      <w:marLeft w:val="0"/>
      <w:marRight w:val="0"/>
      <w:marTop w:val="0"/>
      <w:marBottom w:val="0"/>
      <w:divBdr>
        <w:top w:val="none" w:sz="0" w:space="0" w:color="auto"/>
        <w:left w:val="none" w:sz="0" w:space="0" w:color="auto"/>
        <w:bottom w:val="none" w:sz="0" w:space="0" w:color="auto"/>
        <w:right w:val="none" w:sz="0" w:space="0" w:color="auto"/>
      </w:divBdr>
    </w:div>
    <w:div w:id="1473786361">
      <w:bodyDiv w:val="1"/>
      <w:marLeft w:val="0"/>
      <w:marRight w:val="0"/>
      <w:marTop w:val="0"/>
      <w:marBottom w:val="0"/>
      <w:divBdr>
        <w:top w:val="none" w:sz="0" w:space="0" w:color="auto"/>
        <w:left w:val="none" w:sz="0" w:space="0" w:color="auto"/>
        <w:bottom w:val="none" w:sz="0" w:space="0" w:color="auto"/>
        <w:right w:val="none" w:sz="0" w:space="0" w:color="auto"/>
      </w:divBdr>
    </w:div>
    <w:div w:id="1493258961">
      <w:bodyDiv w:val="1"/>
      <w:marLeft w:val="0"/>
      <w:marRight w:val="0"/>
      <w:marTop w:val="0"/>
      <w:marBottom w:val="0"/>
      <w:divBdr>
        <w:top w:val="none" w:sz="0" w:space="0" w:color="auto"/>
        <w:left w:val="none" w:sz="0" w:space="0" w:color="auto"/>
        <w:bottom w:val="none" w:sz="0" w:space="0" w:color="auto"/>
        <w:right w:val="none" w:sz="0" w:space="0" w:color="auto"/>
      </w:divBdr>
    </w:div>
    <w:div w:id="1587612366">
      <w:bodyDiv w:val="1"/>
      <w:marLeft w:val="0"/>
      <w:marRight w:val="0"/>
      <w:marTop w:val="0"/>
      <w:marBottom w:val="0"/>
      <w:divBdr>
        <w:top w:val="none" w:sz="0" w:space="0" w:color="auto"/>
        <w:left w:val="none" w:sz="0" w:space="0" w:color="auto"/>
        <w:bottom w:val="none" w:sz="0" w:space="0" w:color="auto"/>
        <w:right w:val="none" w:sz="0" w:space="0" w:color="auto"/>
      </w:divBdr>
    </w:div>
    <w:div w:id="1591352837">
      <w:bodyDiv w:val="1"/>
      <w:marLeft w:val="0"/>
      <w:marRight w:val="0"/>
      <w:marTop w:val="0"/>
      <w:marBottom w:val="0"/>
      <w:divBdr>
        <w:top w:val="none" w:sz="0" w:space="0" w:color="auto"/>
        <w:left w:val="none" w:sz="0" w:space="0" w:color="auto"/>
        <w:bottom w:val="none" w:sz="0" w:space="0" w:color="auto"/>
        <w:right w:val="none" w:sz="0" w:space="0" w:color="auto"/>
      </w:divBdr>
    </w:div>
    <w:div w:id="1616016219">
      <w:bodyDiv w:val="1"/>
      <w:marLeft w:val="0"/>
      <w:marRight w:val="0"/>
      <w:marTop w:val="0"/>
      <w:marBottom w:val="0"/>
      <w:divBdr>
        <w:top w:val="none" w:sz="0" w:space="0" w:color="auto"/>
        <w:left w:val="none" w:sz="0" w:space="0" w:color="auto"/>
        <w:bottom w:val="none" w:sz="0" w:space="0" w:color="auto"/>
        <w:right w:val="none" w:sz="0" w:space="0" w:color="auto"/>
      </w:divBdr>
    </w:div>
    <w:div w:id="1672758229">
      <w:bodyDiv w:val="1"/>
      <w:marLeft w:val="0"/>
      <w:marRight w:val="0"/>
      <w:marTop w:val="0"/>
      <w:marBottom w:val="0"/>
      <w:divBdr>
        <w:top w:val="none" w:sz="0" w:space="0" w:color="auto"/>
        <w:left w:val="none" w:sz="0" w:space="0" w:color="auto"/>
        <w:bottom w:val="none" w:sz="0" w:space="0" w:color="auto"/>
        <w:right w:val="none" w:sz="0" w:space="0" w:color="auto"/>
      </w:divBdr>
    </w:div>
    <w:div w:id="1709724596">
      <w:bodyDiv w:val="1"/>
      <w:marLeft w:val="0"/>
      <w:marRight w:val="0"/>
      <w:marTop w:val="0"/>
      <w:marBottom w:val="0"/>
      <w:divBdr>
        <w:top w:val="none" w:sz="0" w:space="0" w:color="auto"/>
        <w:left w:val="none" w:sz="0" w:space="0" w:color="auto"/>
        <w:bottom w:val="none" w:sz="0" w:space="0" w:color="auto"/>
        <w:right w:val="none" w:sz="0" w:space="0" w:color="auto"/>
      </w:divBdr>
    </w:div>
    <w:div w:id="1717702679">
      <w:bodyDiv w:val="1"/>
      <w:marLeft w:val="0"/>
      <w:marRight w:val="0"/>
      <w:marTop w:val="0"/>
      <w:marBottom w:val="0"/>
      <w:divBdr>
        <w:top w:val="none" w:sz="0" w:space="0" w:color="auto"/>
        <w:left w:val="none" w:sz="0" w:space="0" w:color="auto"/>
        <w:bottom w:val="none" w:sz="0" w:space="0" w:color="auto"/>
        <w:right w:val="none" w:sz="0" w:space="0" w:color="auto"/>
      </w:divBdr>
    </w:div>
    <w:div w:id="1767338769">
      <w:bodyDiv w:val="1"/>
      <w:marLeft w:val="0"/>
      <w:marRight w:val="0"/>
      <w:marTop w:val="0"/>
      <w:marBottom w:val="0"/>
      <w:divBdr>
        <w:top w:val="none" w:sz="0" w:space="0" w:color="auto"/>
        <w:left w:val="none" w:sz="0" w:space="0" w:color="auto"/>
        <w:bottom w:val="none" w:sz="0" w:space="0" w:color="auto"/>
        <w:right w:val="none" w:sz="0" w:space="0" w:color="auto"/>
      </w:divBdr>
    </w:div>
    <w:div w:id="1780835037">
      <w:bodyDiv w:val="1"/>
      <w:marLeft w:val="0"/>
      <w:marRight w:val="0"/>
      <w:marTop w:val="0"/>
      <w:marBottom w:val="0"/>
      <w:divBdr>
        <w:top w:val="none" w:sz="0" w:space="0" w:color="auto"/>
        <w:left w:val="none" w:sz="0" w:space="0" w:color="auto"/>
        <w:bottom w:val="none" w:sz="0" w:space="0" w:color="auto"/>
        <w:right w:val="none" w:sz="0" w:space="0" w:color="auto"/>
      </w:divBdr>
    </w:div>
    <w:div w:id="1820657131">
      <w:bodyDiv w:val="1"/>
      <w:marLeft w:val="0"/>
      <w:marRight w:val="0"/>
      <w:marTop w:val="0"/>
      <w:marBottom w:val="0"/>
      <w:divBdr>
        <w:top w:val="none" w:sz="0" w:space="0" w:color="auto"/>
        <w:left w:val="none" w:sz="0" w:space="0" w:color="auto"/>
        <w:bottom w:val="none" w:sz="0" w:space="0" w:color="auto"/>
        <w:right w:val="none" w:sz="0" w:space="0" w:color="auto"/>
      </w:divBdr>
    </w:div>
    <w:div w:id="1833906448">
      <w:bodyDiv w:val="1"/>
      <w:marLeft w:val="0"/>
      <w:marRight w:val="0"/>
      <w:marTop w:val="0"/>
      <w:marBottom w:val="0"/>
      <w:divBdr>
        <w:top w:val="none" w:sz="0" w:space="0" w:color="auto"/>
        <w:left w:val="none" w:sz="0" w:space="0" w:color="auto"/>
        <w:bottom w:val="none" w:sz="0" w:space="0" w:color="auto"/>
        <w:right w:val="none" w:sz="0" w:space="0" w:color="auto"/>
      </w:divBdr>
    </w:div>
    <w:div w:id="1891114747">
      <w:bodyDiv w:val="1"/>
      <w:marLeft w:val="0"/>
      <w:marRight w:val="0"/>
      <w:marTop w:val="0"/>
      <w:marBottom w:val="0"/>
      <w:divBdr>
        <w:top w:val="none" w:sz="0" w:space="0" w:color="auto"/>
        <w:left w:val="none" w:sz="0" w:space="0" w:color="auto"/>
        <w:bottom w:val="none" w:sz="0" w:space="0" w:color="auto"/>
        <w:right w:val="none" w:sz="0" w:space="0" w:color="auto"/>
      </w:divBdr>
    </w:div>
    <w:div w:id="1935430984">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67736416">
      <w:bodyDiv w:val="1"/>
      <w:marLeft w:val="0"/>
      <w:marRight w:val="0"/>
      <w:marTop w:val="0"/>
      <w:marBottom w:val="0"/>
      <w:divBdr>
        <w:top w:val="none" w:sz="0" w:space="0" w:color="auto"/>
        <w:left w:val="none" w:sz="0" w:space="0" w:color="auto"/>
        <w:bottom w:val="none" w:sz="0" w:space="0" w:color="auto"/>
        <w:right w:val="none" w:sz="0" w:space="0" w:color="auto"/>
      </w:divBdr>
    </w:div>
    <w:div w:id="1978532442">
      <w:bodyDiv w:val="1"/>
      <w:marLeft w:val="0"/>
      <w:marRight w:val="0"/>
      <w:marTop w:val="0"/>
      <w:marBottom w:val="0"/>
      <w:divBdr>
        <w:top w:val="none" w:sz="0" w:space="0" w:color="auto"/>
        <w:left w:val="none" w:sz="0" w:space="0" w:color="auto"/>
        <w:bottom w:val="none" w:sz="0" w:space="0" w:color="auto"/>
        <w:right w:val="none" w:sz="0" w:space="0" w:color="auto"/>
      </w:divBdr>
    </w:div>
    <w:div w:id="2089840098">
      <w:bodyDiv w:val="1"/>
      <w:marLeft w:val="0"/>
      <w:marRight w:val="0"/>
      <w:marTop w:val="0"/>
      <w:marBottom w:val="0"/>
      <w:divBdr>
        <w:top w:val="none" w:sz="0" w:space="0" w:color="auto"/>
        <w:left w:val="none" w:sz="0" w:space="0" w:color="auto"/>
        <w:bottom w:val="none" w:sz="0" w:space="0" w:color="auto"/>
        <w:right w:val="none" w:sz="0" w:space="0" w:color="auto"/>
      </w:divBdr>
    </w:div>
    <w:div w:id="2102405674">
      <w:bodyDiv w:val="1"/>
      <w:marLeft w:val="0"/>
      <w:marRight w:val="0"/>
      <w:marTop w:val="0"/>
      <w:marBottom w:val="0"/>
      <w:divBdr>
        <w:top w:val="none" w:sz="0" w:space="0" w:color="auto"/>
        <w:left w:val="none" w:sz="0" w:space="0" w:color="auto"/>
        <w:bottom w:val="none" w:sz="0" w:space="0" w:color="auto"/>
        <w:right w:val="none" w:sz="0" w:space="0" w:color="auto"/>
      </w:divBdr>
    </w:div>
    <w:div w:id="21127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iorities/jobs-growth-and-investment/investment-plan-europe-juncker-plan/investment-plan-result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vlach\Application%20Data\Microsoft\&#928;&#961;&#972;&#964;&#965;&#960;&#945;\EIS_200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________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manualLayout>
          <c:layoutTarget val="inner"/>
          <c:xMode val="edge"/>
          <c:yMode val="edge"/>
          <c:x val="7.5253981230488612E-2"/>
          <c:y val="4.0226520597968725E-2"/>
          <c:w val="0.8701599185347817"/>
          <c:h val="0.76393415496975925"/>
        </c:manualLayout>
      </c:layout>
      <c:barChart>
        <c:barDir val="col"/>
        <c:grouping val="clustered"/>
        <c:ser>
          <c:idx val="0"/>
          <c:order val="0"/>
          <c:tx>
            <c:strRef>
              <c:f>'Graph 1.4'!$C$2</c:f>
              <c:strCache>
                <c:ptCount val="1"/>
                <c:pt idx="0">
                  <c:v>Δείκτης (2000=100) </c:v>
                </c:pt>
              </c:strCache>
            </c:strRef>
          </c:tx>
          <c:spPr>
            <a:solidFill>
              <a:srgbClr val="3737D7"/>
            </a:solidFill>
          </c:spPr>
          <c:cat>
            <c:numRef>
              <c:f>'Graph 1.4'!$E$1:$M$1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'Graph 1.4'!$E$2:$M$2</c:f>
              <c:numCache>
                <c:formatCode>General</c:formatCode>
                <c:ptCount val="9"/>
                <c:pt idx="0">
                  <c:v>128.30000000000001</c:v>
                </c:pt>
                <c:pt idx="1">
                  <c:v>126.3</c:v>
                </c:pt>
                <c:pt idx="2">
                  <c:v>123.4</c:v>
                </c:pt>
                <c:pt idx="3">
                  <c:v>115.4</c:v>
                </c:pt>
                <c:pt idx="4">
                  <c:v>107.8</c:v>
                </c:pt>
                <c:pt idx="5">
                  <c:v>105.3</c:v>
                </c:pt>
                <c:pt idx="6">
                  <c:v>100</c:v>
                </c:pt>
                <c:pt idx="7">
                  <c:v>99.4</c:v>
                </c:pt>
                <c:pt idx="8">
                  <c:v>100</c:v>
                </c:pt>
              </c:numCache>
            </c:numRef>
          </c:val>
        </c:ser>
        <c:axId val="143456896"/>
        <c:axId val="143532416"/>
      </c:barChart>
      <c:lineChart>
        <c:grouping val="standard"/>
        <c:ser>
          <c:idx val="1"/>
          <c:order val="1"/>
          <c:tx>
            <c:strRef>
              <c:f>'Graph 1.4'!$C$3</c:f>
              <c:strCache>
                <c:ptCount val="1"/>
                <c:pt idx="0">
                  <c:v>Ποσοστιαία μεταβολή έναντι προηγούμενης περιόδου (δεξιός άξονας)</c:v>
                </c:pt>
              </c:strCache>
            </c:strRef>
          </c:tx>
          <c:spPr>
            <a:ln>
              <a:solidFill>
                <a:srgbClr val="FF0000"/>
              </a:solidFill>
            </a:ln>
          </c:spPr>
          <c:marker>
            <c:symbol val="square"/>
            <c:size val="5"/>
          </c:marker>
          <c:cat>
            <c:numRef>
              <c:f>'Graph 1.4'!$E$1:$M$1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'Graph 1.4'!$E$3:$M$3</c:f>
              <c:numCache>
                <c:formatCode>General</c:formatCode>
                <c:ptCount val="9"/>
                <c:pt idx="0">
                  <c:v>4</c:v>
                </c:pt>
                <c:pt idx="1">
                  <c:v>-1.6</c:v>
                </c:pt>
                <c:pt idx="2">
                  <c:v>-2.2999999999999998</c:v>
                </c:pt>
                <c:pt idx="3">
                  <c:v>-6.5</c:v>
                </c:pt>
                <c:pt idx="4">
                  <c:v>-6.6</c:v>
                </c:pt>
                <c:pt idx="5">
                  <c:v>-2.2999999999999998</c:v>
                </c:pt>
                <c:pt idx="6">
                  <c:v>-5</c:v>
                </c:pt>
                <c:pt idx="7">
                  <c:v>-0.60000000000000064</c:v>
                </c:pt>
                <c:pt idx="8">
                  <c:v>0.60000000000000064</c:v>
                </c:pt>
              </c:numCache>
            </c:numRef>
          </c:val>
        </c:ser>
        <c:marker val="1"/>
        <c:axId val="143535488"/>
        <c:axId val="143533952"/>
      </c:lineChart>
      <c:catAx>
        <c:axId val="143456896"/>
        <c:scaling>
          <c:orientation val="minMax"/>
        </c:scaling>
        <c:axPos val="b"/>
        <c:numFmt formatCode="General" sourceLinked="1"/>
        <c:tickLblPos val="nextTo"/>
        <c:crossAx val="143532416"/>
        <c:crosses val="autoZero"/>
        <c:auto val="1"/>
        <c:lblAlgn val="ctr"/>
        <c:lblOffset val="100"/>
      </c:catAx>
      <c:valAx>
        <c:axId val="143532416"/>
        <c:scaling>
          <c:orientation val="minMax"/>
        </c:scaling>
        <c:axPos val="l"/>
        <c:numFmt formatCode="General" sourceLinked="1"/>
        <c:tickLblPos val="nextTo"/>
        <c:crossAx val="143456896"/>
        <c:crosses val="autoZero"/>
        <c:crossBetween val="between"/>
      </c:valAx>
      <c:valAx>
        <c:axId val="143533952"/>
        <c:scaling>
          <c:orientation val="minMax"/>
        </c:scaling>
        <c:axPos val="r"/>
        <c:numFmt formatCode="General" sourceLinked="1"/>
        <c:tickLblPos val="nextTo"/>
        <c:crossAx val="143535488"/>
        <c:crosses val="max"/>
        <c:crossBetween val="between"/>
      </c:valAx>
      <c:catAx>
        <c:axId val="143535488"/>
        <c:scaling>
          <c:orientation val="minMax"/>
        </c:scaling>
        <c:delete val="1"/>
        <c:axPos val="b"/>
        <c:numFmt formatCode="General" sourceLinked="1"/>
        <c:tickLblPos val="none"/>
        <c:crossAx val="143533952"/>
        <c:crosses val="autoZero"/>
        <c:auto val="1"/>
        <c:lblAlgn val="ctr"/>
        <c:lblOffset val="100"/>
      </c:catAx>
    </c:plotArea>
    <c:legend>
      <c:legendPos val="b"/>
      <c:txPr>
        <a:bodyPr/>
        <a:lstStyle/>
        <a:p>
          <a:pPr>
            <a:defRPr sz="800"/>
          </a:pPr>
          <a:endParaRPr lang="el-GR"/>
        </a:p>
      </c:txPr>
    </c:legend>
    <c:plotVisOnly val="1"/>
    <c:dispBlanksAs val="gap"/>
  </c:chart>
  <c:spPr>
    <a:ln>
      <a:noFill/>
    </a:ln>
  </c:spPr>
  <c:txPr>
    <a:bodyPr/>
    <a:lstStyle/>
    <a:p>
      <a:pPr>
        <a:defRPr sz="900">
          <a:latin typeface="Arial Narrow" pitchFamily="34" charset="0"/>
        </a:defRPr>
      </a:pPr>
      <a:endParaRPr lang="el-G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0.08197</cdr:x>
      <cdr:y>0.36413</cdr:y>
    </cdr:from>
    <cdr:to>
      <cdr:x>0.95264</cdr:x>
      <cdr:y>0.36685</cdr:y>
    </cdr:to>
    <cdr:sp macro="" textlink="">
      <cdr:nvSpPr>
        <cdr:cNvPr id="3" name="2 - Ευθεία γραμμή σύνδεσης"/>
        <cdr:cNvSpPr/>
      </cdr:nvSpPr>
      <cdr:spPr>
        <a:xfrm xmlns:a="http://schemas.openxmlformats.org/drawingml/2006/main" flipH="1" flipV="1">
          <a:off x="428626" y="1276349"/>
          <a:ext cx="4552950" cy="9525"/>
        </a:xfrm>
        <a:prstGeom xmlns:a="http://schemas.openxmlformats.org/drawingml/2006/main" prst="line">
          <a:avLst/>
        </a:prstGeom>
        <a:ln xmlns:a="http://schemas.openxmlformats.org/drawingml/2006/main">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2919-1995-467D-8EF9-AD3BE8BA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0</TotalTime>
  <Pages>20</Pages>
  <Words>10219</Words>
  <Characters>55187</Characters>
  <Application>Microsoft Office Word</Application>
  <DocSecurity>0</DocSecurity>
  <Lines>459</Lines>
  <Paragraphs>130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mvlach</dc:creator>
  <cp:lastModifiedBy>ΛΙΑΚΟΠΟΥΛΟΥ ΧΡΙΣΤΙΝΑ</cp:lastModifiedBy>
  <cp:revision>2</cp:revision>
  <cp:lastPrinted>2018-11-20T23:15:00Z</cp:lastPrinted>
  <dcterms:created xsi:type="dcterms:W3CDTF">2018-11-21T12:49:00Z</dcterms:created>
  <dcterms:modified xsi:type="dcterms:W3CDTF">2018-11-21T12:49:00Z</dcterms:modified>
</cp:coreProperties>
</file>