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23E" w:rsidRDefault="001A423E" w:rsidP="001A423E">
      <w:pPr>
        <w:pStyle w:val="4"/>
        <w:rPr>
          <w:rFonts w:ascii="Arial Narrow" w:hAnsi="Arial Narrow"/>
          <w:lang w:val="en-US"/>
        </w:rPr>
      </w:pPr>
    </w:p>
    <w:p w:rsidR="001A423E" w:rsidRPr="0015043C" w:rsidRDefault="001A423E" w:rsidP="001A423E">
      <w:pPr>
        <w:pStyle w:val="4"/>
        <w:rPr>
          <w:rFonts w:ascii="Arial Narrow" w:hAnsi="Arial Narrow"/>
        </w:rPr>
      </w:pPr>
      <w:r w:rsidRPr="0015043C">
        <w:rPr>
          <w:rFonts w:ascii="Arial Narrow" w:hAnsi="Arial Narrow"/>
        </w:rPr>
        <w:t xml:space="preserve">ΔΗΜΟΣΙΟ ΧΡΕΟΣ – ΕΓΓΥΗΣΕΙΣ </w:t>
      </w:r>
    </w:p>
    <w:p w:rsidR="001A423E" w:rsidRPr="0018754F" w:rsidRDefault="001A423E" w:rsidP="001A423E">
      <w:pPr>
        <w:jc w:val="both"/>
        <w:rPr>
          <w:sz w:val="22"/>
          <w:szCs w:val="22"/>
        </w:rPr>
      </w:pPr>
    </w:p>
    <w:p w:rsidR="001A423E" w:rsidRPr="0015043C" w:rsidRDefault="001A423E" w:rsidP="001A423E">
      <w:pPr>
        <w:jc w:val="both"/>
        <w:rPr>
          <w:sz w:val="22"/>
          <w:szCs w:val="22"/>
        </w:rPr>
      </w:pPr>
    </w:p>
    <w:p w:rsidR="001A423E" w:rsidRPr="0015043C" w:rsidRDefault="001A423E" w:rsidP="001A423E">
      <w:pPr>
        <w:pStyle w:val="5"/>
        <w:shd w:val="clear" w:color="auto" w:fill="595959" w:themeFill="text1" w:themeFillTint="A6"/>
        <w:rPr>
          <w:rFonts w:ascii="Arial Narrow" w:hAnsi="Arial Narrow"/>
        </w:rPr>
      </w:pPr>
      <w:r w:rsidRPr="0015043C">
        <w:rPr>
          <w:rFonts w:ascii="Arial Narrow" w:hAnsi="Arial Narrow"/>
        </w:rPr>
        <w:t>ΔΗΜΟΣΙΟ ΧΡΕΟΣ</w:t>
      </w:r>
    </w:p>
    <w:p w:rsidR="001A423E" w:rsidRPr="0015043C" w:rsidRDefault="001A423E" w:rsidP="001A423E">
      <w:pPr>
        <w:jc w:val="both"/>
        <w:rPr>
          <w:sz w:val="22"/>
          <w:szCs w:val="22"/>
        </w:rPr>
      </w:pPr>
    </w:p>
    <w:p w:rsidR="001A423E" w:rsidRPr="0015043C" w:rsidRDefault="001A423E" w:rsidP="001A423E">
      <w:pPr>
        <w:jc w:val="both"/>
        <w:rPr>
          <w:sz w:val="22"/>
          <w:szCs w:val="22"/>
        </w:rPr>
      </w:pPr>
    </w:p>
    <w:p w:rsidR="001A423E" w:rsidRPr="00DD5F89" w:rsidRDefault="001A423E" w:rsidP="001A423E">
      <w:pPr>
        <w:jc w:val="both"/>
        <w:rPr>
          <w:sz w:val="22"/>
          <w:szCs w:val="22"/>
        </w:rPr>
      </w:pPr>
      <w:r w:rsidRPr="00DD5F89">
        <w:rPr>
          <w:sz w:val="22"/>
          <w:szCs w:val="22"/>
        </w:rPr>
        <w:t xml:space="preserve">Μετά την ολοκλήρωση της εφαρμογής των βραχυχρόνιων μέτρων ελάφρυνσης του χρέους στο τέλος του προηγούμενου έτους, το </w:t>
      </w:r>
      <w:r w:rsidRPr="00DD5F89">
        <w:rPr>
          <w:sz w:val="22"/>
          <w:szCs w:val="22"/>
          <w:lang w:val="en-US"/>
        </w:rPr>
        <w:t>Eurogroup</w:t>
      </w:r>
      <w:r w:rsidRPr="00DD5F89">
        <w:rPr>
          <w:sz w:val="22"/>
          <w:szCs w:val="22"/>
        </w:rPr>
        <w:t xml:space="preserve"> της 22</w:t>
      </w:r>
      <w:r w:rsidRPr="00DD5F89">
        <w:rPr>
          <w:sz w:val="22"/>
          <w:szCs w:val="22"/>
          <w:vertAlign w:val="superscript"/>
        </w:rPr>
        <w:t>ας</w:t>
      </w:r>
      <w:r w:rsidRPr="00DD5F89">
        <w:rPr>
          <w:sz w:val="22"/>
          <w:szCs w:val="22"/>
        </w:rPr>
        <w:t xml:space="preserve"> Ιουνίου 2018 εξειδίκευσε τα μεσοπρόθεσμα μέτρα ελάφρυνσης</w:t>
      </w:r>
      <w:r w:rsidR="00977014">
        <w:rPr>
          <w:sz w:val="22"/>
          <w:szCs w:val="22"/>
        </w:rPr>
        <w:t>,</w:t>
      </w:r>
      <w:r w:rsidRPr="00DD5F89">
        <w:rPr>
          <w:sz w:val="22"/>
          <w:szCs w:val="22"/>
        </w:rPr>
        <w:t xml:space="preserve"> τα οποία ενισχύουν περαιτέρω τη βιωσιμότητα του ελληνικού δημοσίου χρέους, προκε</w:t>
      </w:r>
      <w:r w:rsidRPr="00DD5F89">
        <w:rPr>
          <w:sz w:val="22"/>
          <w:szCs w:val="22"/>
        </w:rPr>
        <w:t>ι</w:t>
      </w:r>
      <w:r w:rsidRPr="00DD5F89">
        <w:rPr>
          <w:sz w:val="22"/>
          <w:szCs w:val="22"/>
        </w:rPr>
        <w:t>μένου οι ετήσιες μικτές χρηματοδοτικές ανάγκες</w:t>
      </w:r>
      <w:r w:rsidR="009B2045">
        <w:rPr>
          <w:sz w:val="22"/>
          <w:szCs w:val="22"/>
        </w:rPr>
        <w:t xml:space="preserve"> (</w:t>
      </w:r>
      <w:r w:rsidR="009B2045">
        <w:rPr>
          <w:sz w:val="22"/>
          <w:szCs w:val="22"/>
          <w:lang w:val="en-GB"/>
        </w:rPr>
        <w:t>GFN</w:t>
      </w:r>
      <w:r w:rsidR="009B2045" w:rsidRPr="009B2045">
        <w:rPr>
          <w:sz w:val="22"/>
          <w:szCs w:val="22"/>
        </w:rPr>
        <w:t xml:space="preserve"> </w:t>
      </w:r>
      <w:r w:rsidR="009B2045">
        <w:rPr>
          <w:sz w:val="22"/>
          <w:szCs w:val="22"/>
          <w:lang w:val="en-GB"/>
        </w:rPr>
        <w:t>ratio</w:t>
      </w:r>
      <w:r w:rsidR="009B2045" w:rsidRPr="009B2045">
        <w:rPr>
          <w:sz w:val="22"/>
          <w:szCs w:val="22"/>
        </w:rPr>
        <w:t>)</w:t>
      </w:r>
      <w:r w:rsidRPr="00DD5F89">
        <w:rPr>
          <w:sz w:val="22"/>
          <w:szCs w:val="22"/>
        </w:rPr>
        <w:t xml:space="preserve"> να παραμένουν κάτω του 15% ως π</w:t>
      </w:r>
      <w:r w:rsidRPr="00DD5F89">
        <w:rPr>
          <w:sz w:val="22"/>
          <w:szCs w:val="22"/>
        </w:rPr>
        <w:t>ο</w:t>
      </w:r>
      <w:r w:rsidRPr="00DD5F89">
        <w:rPr>
          <w:sz w:val="22"/>
          <w:szCs w:val="22"/>
        </w:rPr>
        <w:t>σοστό του ΑΕΠ μεσοπρόθεσμα και κάτω του 20% μακροπρόθεσμα. Τα μεσοπρόθεσμα μέτρα ελά</w:t>
      </w:r>
      <w:r w:rsidRPr="00DD5F89">
        <w:rPr>
          <w:sz w:val="22"/>
          <w:szCs w:val="22"/>
        </w:rPr>
        <w:t>φ</w:t>
      </w:r>
      <w:r w:rsidRPr="00DD5F89">
        <w:rPr>
          <w:sz w:val="22"/>
          <w:szCs w:val="22"/>
        </w:rPr>
        <w:t>ρυνσης του χρέους περιλαμβάνουν την πλήρη κατάργηση από το 2018 του περιθωρίου</w:t>
      </w:r>
      <w:r w:rsidR="00C711F6">
        <w:rPr>
          <w:sz w:val="22"/>
          <w:szCs w:val="22"/>
        </w:rPr>
        <w:t xml:space="preserve"> επιτοκίου</w:t>
      </w:r>
      <w:r w:rsidRPr="00DD5F89">
        <w:rPr>
          <w:sz w:val="22"/>
          <w:szCs w:val="22"/>
        </w:rPr>
        <w:t xml:space="preserve"> του δανείου για την επα</w:t>
      </w:r>
      <w:r w:rsidR="00365B8D">
        <w:rPr>
          <w:sz w:val="22"/>
          <w:szCs w:val="22"/>
        </w:rPr>
        <w:t>ναγορά χρέους του 2012, τη χρή</w:t>
      </w:r>
      <w:r w:rsidRPr="00DD5F89">
        <w:rPr>
          <w:sz w:val="22"/>
          <w:szCs w:val="22"/>
        </w:rPr>
        <w:t xml:space="preserve">ση από το 2017 των </w:t>
      </w:r>
      <w:r w:rsidR="006F4F20">
        <w:rPr>
          <w:sz w:val="22"/>
          <w:szCs w:val="22"/>
        </w:rPr>
        <w:t xml:space="preserve">κερδών από τα ελληνικά </w:t>
      </w:r>
      <w:r w:rsidR="006F4F20">
        <w:rPr>
          <w:sz w:val="22"/>
          <w:szCs w:val="22"/>
        </w:rPr>
        <w:t>ο</w:t>
      </w:r>
      <w:r w:rsidR="006F4F20">
        <w:rPr>
          <w:sz w:val="22"/>
          <w:szCs w:val="22"/>
        </w:rPr>
        <w:t>μόλογα «</w:t>
      </w:r>
      <w:r w:rsidRPr="00DD5F89">
        <w:rPr>
          <w:sz w:val="22"/>
          <w:szCs w:val="22"/>
          <w:lang w:val="en-US"/>
        </w:rPr>
        <w:t>ANFA</w:t>
      </w:r>
      <w:r w:rsidR="006F4F20">
        <w:rPr>
          <w:sz w:val="22"/>
          <w:szCs w:val="22"/>
        </w:rPr>
        <w:t>» και «</w:t>
      </w:r>
      <w:r w:rsidRPr="00DD5F89">
        <w:rPr>
          <w:sz w:val="22"/>
          <w:szCs w:val="22"/>
          <w:lang w:val="en-US"/>
        </w:rPr>
        <w:t>SMP</w:t>
      </w:r>
      <w:r w:rsidR="006F4F20">
        <w:rPr>
          <w:sz w:val="22"/>
          <w:szCs w:val="22"/>
        </w:rPr>
        <w:t xml:space="preserve">» </w:t>
      </w:r>
      <w:r w:rsidRPr="00DD5F89">
        <w:rPr>
          <w:sz w:val="22"/>
          <w:szCs w:val="22"/>
        </w:rPr>
        <w:t>για τη μείωση των μικτών χρηματοδοτικών αναγκών, περιλαμβανομ</w:t>
      </w:r>
      <w:r w:rsidRPr="00DD5F89">
        <w:rPr>
          <w:sz w:val="22"/>
          <w:szCs w:val="22"/>
        </w:rPr>
        <w:t>έ</w:t>
      </w:r>
      <w:r w:rsidRPr="00DD5F89">
        <w:rPr>
          <w:sz w:val="22"/>
          <w:szCs w:val="22"/>
        </w:rPr>
        <w:t xml:space="preserve">νων και των κερδών του έτους 2014 και την περαιτέρω εξομάλυνση των λήξεων των δανείων του </w:t>
      </w:r>
      <w:r w:rsidRPr="00DD5F89">
        <w:rPr>
          <w:sz w:val="22"/>
          <w:szCs w:val="22"/>
          <w:lang w:val="en-US"/>
        </w:rPr>
        <w:t>EFSF</w:t>
      </w:r>
      <w:r w:rsidR="00365B8D">
        <w:rPr>
          <w:sz w:val="22"/>
          <w:szCs w:val="22"/>
        </w:rPr>
        <w:t xml:space="preserve"> μέσω της</w:t>
      </w:r>
      <w:r w:rsidRPr="00DD5F89">
        <w:rPr>
          <w:sz w:val="22"/>
          <w:szCs w:val="22"/>
        </w:rPr>
        <w:t xml:space="preserve"> επιμήκυνση</w:t>
      </w:r>
      <w:r w:rsidR="00365B8D">
        <w:rPr>
          <w:sz w:val="22"/>
          <w:szCs w:val="22"/>
        </w:rPr>
        <w:t>ς</w:t>
      </w:r>
      <w:r w:rsidRPr="00DD5F89">
        <w:rPr>
          <w:sz w:val="22"/>
          <w:szCs w:val="22"/>
        </w:rPr>
        <w:t xml:space="preserve"> της μέσης σταθμικής τους διάρκειας και </w:t>
      </w:r>
      <w:r w:rsidR="004E6EF0">
        <w:rPr>
          <w:sz w:val="22"/>
          <w:szCs w:val="22"/>
        </w:rPr>
        <w:t xml:space="preserve">της </w:t>
      </w:r>
      <w:r w:rsidRPr="00DD5F89">
        <w:rPr>
          <w:sz w:val="22"/>
          <w:szCs w:val="22"/>
        </w:rPr>
        <w:t>αναβολή</w:t>
      </w:r>
      <w:r w:rsidR="004E6EF0">
        <w:rPr>
          <w:sz w:val="22"/>
          <w:szCs w:val="22"/>
        </w:rPr>
        <w:t>ς</w:t>
      </w:r>
      <w:r w:rsidRPr="00DD5F89">
        <w:rPr>
          <w:sz w:val="22"/>
          <w:szCs w:val="22"/>
        </w:rPr>
        <w:t xml:space="preserve"> πληρωμής τόκων κατά δέκα επιπλέον έτη.</w:t>
      </w:r>
    </w:p>
    <w:p w:rsidR="001A423E" w:rsidRPr="00DD5F89" w:rsidRDefault="001A423E" w:rsidP="001A423E">
      <w:pPr>
        <w:jc w:val="both"/>
        <w:rPr>
          <w:sz w:val="22"/>
          <w:szCs w:val="22"/>
        </w:rPr>
      </w:pPr>
    </w:p>
    <w:p w:rsidR="001A423E" w:rsidRPr="00DD5F89" w:rsidRDefault="001A423E" w:rsidP="001A423E">
      <w:pPr>
        <w:jc w:val="both"/>
        <w:rPr>
          <w:sz w:val="22"/>
          <w:szCs w:val="22"/>
        </w:rPr>
      </w:pPr>
      <w:r w:rsidRPr="00DD5F89">
        <w:rPr>
          <w:sz w:val="22"/>
          <w:szCs w:val="22"/>
        </w:rPr>
        <w:t>Σε μακροπρόθεσμο ορίζοντα προβλέπεται η ενεργοποίηση ενός μηχανισμού αντιμετώπισης έκτακτων καταστάσεων αναφορικά με το χρέος, προκειμένου να διασφαλιστεί η βιωσιμότητά του με την εφα</w:t>
      </w:r>
      <w:r w:rsidRPr="00DD5F89">
        <w:rPr>
          <w:sz w:val="22"/>
          <w:szCs w:val="22"/>
        </w:rPr>
        <w:t>ρ</w:t>
      </w:r>
      <w:r w:rsidRPr="00DD5F89">
        <w:rPr>
          <w:sz w:val="22"/>
          <w:szCs w:val="22"/>
        </w:rPr>
        <w:t xml:space="preserve">μογή </w:t>
      </w:r>
      <w:r w:rsidR="00977014">
        <w:rPr>
          <w:sz w:val="22"/>
          <w:szCs w:val="22"/>
        </w:rPr>
        <w:t>επιπλέον</w:t>
      </w:r>
      <w:r w:rsidRPr="00DD5F89">
        <w:rPr>
          <w:sz w:val="22"/>
          <w:szCs w:val="22"/>
        </w:rPr>
        <w:t xml:space="preserve"> μέτρων ελάφρυνσης, όπως </w:t>
      </w:r>
      <w:r w:rsidR="00977014">
        <w:rPr>
          <w:sz w:val="22"/>
          <w:szCs w:val="22"/>
        </w:rPr>
        <w:t>περαιτέρω</w:t>
      </w:r>
      <w:r w:rsidR="00977014" w:rsidRPr="00DD5F89">
        <w:rPr>
          <w:sz w:val="22"/>
          <w:szCs w:val="22"/>
        </w:rPr>
        <w:t xml:space="preserve"> </w:t>
      </w:r>
      <w:r w:rsidRPr="00DD5F89">
        <w:rPr>
          <w:sz w:val="22"/>
          <w:szCs w:val="22"/>
        </w:rPr>
        <w:t>εξομάλυνση των λήξεων των δανείων του EFSF, καθώς επίσης και περαιτέρω σταθεροποίηση των επιτοκίων τους και αναβολή πληρωμής τόκων έτσι ώστε να ικανοποιείται ο δείκτης των ετήσιων μικτών χρηματοδοτικών αναγκών (GFN ratio).</w:t>
      </w:r>
    </w:p>
    <w:p w:rsidR="001A423E" w:rsidRPr="00DD5F89" w:rsidRDefault="001A423E" w:rsidP="001A423E">
      <w:pPr>
        <w:jc w:val="both"/>
        <w:rPr>
          <w:sz w:val="22"/>
          <w:szCs w:val="22"/>
        </w:rPr>
      </w:pPr>
    </w:p>
    <w:p w:rsidR="001A423E" w:rsidRPr="00DD5F89" w:rsidRDefault="001A423E" w:rsidP="001A423E">
      <w:pPr>
        <w:jc w:val="both"/>
        <w:rPr>
          <w:sz w:val="22"/>
          <w:szCs w:val="22"/>
        </w:rPr>
      </w:pPr>
      <w:r w:rsidRPr="00DD5F89">
        <w:rPr>
          <w:sz w:val="22"/>
          <w:szCs w:val="22"/>
        </w:rPr>
        <w:t xml:space="preserve">Οι χρηματοδοτικές ανάγκες του Ελληνικού Δημοσίου </w:t>
      </w:r>
      <w:r w:rsidR="00365B8D">
        <w:rPr>
          <w:sz w:val="22"/>
          <w:szCs w:val="22"/>
        </w:rPr>
        <w:t xml:space="preserve">(ΕΔ) </w:t>
      </w:r>
      <w:r w:rsidRPr="00DD5F89">
        <w:rPr>
          <w:sz w:val="22"/>
          <w:szCs w:val="22"/>
        </w:rPr>
        <w:t xml:space="preserve">κατά τη διάρκεια του 2018 καλύφθηκαν από μακροπρόθεσμα δάνεια συνολικού ύψους 21.700 εκατ. ευρώ που εκταμιεύθηκαν από τον </w:t>
      </w:r>
      <w:r w:rsidR="00B51B09">
        <w:rPr>
          <w:sz w:val="22"/>
          <w:szCs w:val="22"/>
        </w:rPr>
        <w:t>Ευρ</w:t>
      </w:r>
      <w:r w:rsidR="00B51B09">
        <w:rPr>
          <w:sz w:val="22"/>
          <w:szCs w:val="22"/>
        </w:rPr>
        <w:t>ω</w:t>
      </w:r>
      <w:r w:rsidR="00B51B09">
        <w:rPr>
          <w:sz w:val="22"/>
          <w:szCs w:val="22"/>
        </w:rPr>
        <w:t>παϊκό Μηχανισμό Σταθερότητας (</w:t>
      </w:r>
      <w:r w:rsidRPr="00DD5F89">
        <w:rPr>
          <w:sz w:val="22"/>
          <w:szCs w:val="22"/>
          <w:lang w:val="en-US"/>
        </w:rPr>
        <w:t>ESM</w:t>
      </w:r>
      <w:r w:rsidR="00B51B09">
        <w:rPr>
          <w:sz w:val="22"/>
          <w:szCs w:val="22"/>
        </w:rPr>
        <w:t>)</w:t>
      </w:r>
      <w:r w:rsidRPr="00DD5F89">
        <w:rPr>
          <w:sz w:val="22"/>
          <w:szCs w:val="22"/>
        </w:rPr>
        <w:t>, κοινοπρακτική έκδοση ομολόγου σταθερού επιτοκίου, επτ</w:t>
      </w:r>
      <w:r w:rsidRPr="00DD5F89">
        <w:rPr>
          <w:sz w:val="22"/>
          <w:szCs w:val="22"/>
        </w:rPr>
        <w:t>α</w:t>
      </w:r>
      <w:r w:rsidRPr="00DD5F89">
        <w:rPr>
          <w:sz w:val="22"/>
          <w:szCs w:val="22"/>
        </w:rPr>
        <w:t>ετούς διάρκειας, ύψους 3.000 εκατ. ευρώ και αναχρηματοδότηση βραχυπρόθεσμου χρέους. Ο βρ</w:t>
      </w:r>
      <w:r w:rsidRPr="00DD5F89">
        <w:rPr>
          <w:sz w:val="22"/>
          <w:szCs w:val="22"/>
        </w:rPr>
        <w:t>α</w:t>
      </w:r>
      <w:r w:rsidRPr="00DD5F89">
        <w:rPr>
          <w:sz w:val="22"/>
          <w:szCs w:val="22"/>
        </w:rPr>
        <w:t xml:space="preserve">χυπρόθεσμος δανεισμός του ΕΔ πραγματοποιήθηκε μέσω εκδόσεων εντόκων γραμματίων τρίμηνης, εξάμηνης και ετήσιας διάρκειας (για πρώτη φορά μετά τον Απρίλιο του 2010), καθώς επίσης και μέσω πράξεων διαχείρισης ταμειακής ρευστότητας υπό τη μορφή repo agreements, τις οποίες συνάπτει ο Οργανισμός Διαχείρισης Δημοσίου Χρέους (ΟΔΔΗΧ) για την αξιοποίηση των διαθεσίμων, κυρίως, των φορέων της Γενικής Κυβέρνησης. </w:t>
      </w:r>
    </w:p>
    <w:p w:rsidR="001A423E" w:rsidRPr="00DD5F89" w:rsidRDefault="001A423E" w:rsidP="001A423E">
      <w:pPr>
        <w:jc w:val="both"/>
        <w:rPr>
          <w:sz w:val="22"/>
          <w:szCs w:val="22"/>
        </w:rPr>
      </w:pPr>
    </w:p>
    <w:p w:rsidR="001A423E" w:rsidRPr="00DD5F89" w:rsidRDefault="001A423E" w:rsidP="001A423E">
      <w:pPr>
        <w:jc w:val="both"/>
        <w:rPr>
          <w:sz w:val="22"/>
          <w:szCs w:val="22"/>
        </w:rPr>
      </w:pPr>
      <w:r w:rsidRPr="00DD5F89">
        <w:rPr>
          <w:sz w:val="22"/>
          <w:szCs w:val="22"/>
        </w:rPr>
        <w:t xml:space="preserve">Με την εκταμίευση της τελευταίας δόσης από τον ESM ύψους 15.000 εκατ. </w:t>
      </w:r>
      <w:r w:rsidR="006F4F20">
        <w:rPr>
          <w:sz w:val="22"/>
          <w:szCs w:val="22"/>
        </w:rPr>
        <w:t xml:space="preserve">ευρώ </w:t>
      </w:r>
      <w:r w:rsidRPr="00DD5F89">
        <w:rPr>
          <w:sz w:val="22"/>
          <w:szCs w:val="22"/>
        </w:rPr>
        <w:t>ολοκληρώθηκε το τρίτο πρόγραμμα στήριξης της ελληνικής οικονομίας, στις 20</w:t>
      </w:r>
      <w:r w:rsidR="00977014">
        <w:rPr>
          <w:sz w:val="22"/>
          <w:szCs w:val="22"/>
        </w:rPr>
        <w:t xml:space="preserve"> Αυγούστου </w:t>
      </w:r>
      <w:r w:rsidRPr="00DD5F89">
        <w:rPr>
          <w:sz w:val="22"/>
          <w:szCs w:val="22"/>
        </w:rPr>
        <w:t>2018, ενισχύοντας σημαντ</w:t>
      </w:r>
      <w:r w:rsidRPr="00DD5F89">
        <w:rPr>
          <w:sz w:val="22"/>
          <w:szCs w:val="22"/>
        </w:rPr>
        <w:t>ι</w:t>
      </w:r>
      <w:r w:rsidRPr="00DD5F89">
        <w:rPr>
          <w:sz w:val="22"/>
          <w:szCs w:val="22"/>
        </w:rPr>
        <w:t>κά τα ταμειακά διαθέσιμα ασφαλείας (cash buffer)</w:t>
      </w:r>
      <w:r w:rsidR="0099665D">
        <w:rPr>
          <w:sz w:val="22"/>
          <w:szCs w:val="22"/>
        </w:rPr>
        <w:t>,</w:t>
      </w:r>
      <w:r w:rsidRPr="00DD5F89">
        <w:rPr>
          <w:sz w:val="22"/>
          <w:szCs w:val="22"/>
        </w:rPr>
        <w:t xml:space="preserve"> τα οποία σε συνδυασμό με τα υπάρχοντα διαθέσ</w:t>
      </w:r>
      <w:r w:rsidRPr="00DD5F89">
        <w:rPr>
          <w:sz w:val="22"/>
          <w:szCs w:val="22"/>
        </w:rPr>
        <w:t>ι</w:t>
      </w:r>
      <w:r w:rsidRPr="00DD5F89">
        <w:rPr>
          <w:sz w:val="22"/>
          <w:szCs w:val="22"/>
        </w:rPr>
        <w:t>μα εκτιμάται ότι, κάτω από τις πλέον αντίξοες συνθήκες, μπορούν να καλύψουν τις χρηματοδοτικές ανάγκες του ΕΔ μέχρι και τα τέλη του 2020. Η δημιουργία ταμειακών διαθεσίμων ασφαλείας είχε ως αποτέλεσμα μία προσωρινή αύξηση του δημοσίου χρέους για το 2018.</w:t>
      </w:r>
    </w:p>
    <w:p w:rsidR="001A423E" w:rsidRPr="00DD5F89" w:rsidRDefault="001A423E" w:rsidP="001A423E">
      <w:pPr>
        <w:jc w:val="both"/>
        <w:rPr>
          <w:sz w:val="22"/>
          <w:szCs w:val="22"/>
        </w:rPr>
      </w:pPr>
    </w:p>
    <w:p w:rsidR="001A423E" w:rsidRPr="00DD5F89" w:rsidRDefault="001A423E" w:rsidP="001A423E">
      <w:pPr>
        <w:jc w:val="both"/>
        <w:rPr>
          <w:sz w:val="22"/>
          <w:szCs w:val="22"/>
        </w:rPr>
      </w:pPr>
      <w:r w:rsidRPr="00DD5F89">
        <w:rPr>
          <w:sz w:val="22"/>
          <w:szCs w:val="22"/>
        </w:rPr>
        <w:t xml:space="preserve">Στις </w:t>
      </w:r>
      <w:r w:rsidRPr="00F14A44">
        <w:rPr>
          <w:sz w:val="22"/>
          <w:szCs w:val="22"/>
        </w:rPr>
        <w:t>30</w:t>
      </w:r>
      <w:r w:rsidR="00977014">
        <w:rPr>
          <w:sz w:val="22"/>
          <w:szCs w:val="22"/>
        </w:rPr>
        <w:t xml:space="preserve"> Σεπτεμβρίου </w:t>
      </w:r>
      <w:r w:rsidRPr="00F14A44">
        <w:rPr>
          <w:sz w:val="22"/>
          <w:szCs w:val="22"/>
        </w:rPr>
        <w:t>2018, τ</w:t>
      </w:r>
      <w:r w:rsidRPr="00DD5F89">
        <w:rPr>
          <w:sz w:val="22"/>
          <w:szCs w:val="22"/>
        </w:rPr>
        <w:t xml:space="preserve">ο σύνολο των ευρωπαϊκών δανείων του πρώτου, δεύτερου και τρίτου προγράμματος στήριξης (GLF, EFSF, ESM) ανήλθε σε </w:t>
      </w:r>
      <w:r w:rsidRPr="002A6579">
        <w:rPr>
          <w:sz w:val="22"/>
          <w:szCs w:val="22"/>
        </w:rPr>
        <w:t>243.682,3</w:t>
      </w:r>
      <w:r w:rsidRPr="00DD5F89">
        <w:rPr>
          <w:sz w:val="22"/>
          <w:szCs w:val="22"/>
        </w:rPr>
        <w:t xml:space="preserve"> εκατ. ευρώ, ενώ τα ανεξόφλητα δ</w:t>
      </w:r>
      <w:r w:rsidRPr="00DD5F89">
        <w:rPr>
          <w:sz w:val="22"/>
          <w:szCs w:val="22"/>
        </w:rPr>
        <w:t>ά</w:t>
      </w:r>
      <w:r w:rsidRPr="00DD5F89">
        <w:rPr>
          <w:sz w:val="22"/>
          <w:szCs w:val="22"/>
        </w:rPr>
        <w:t xml:space="preserve">νεια προς το Διεθνές Νομισματικό Ταμείο διαμορφώθηκαν σε </w:t>
      </w:r>
      <w:r w:rsidRPr="002A6579">
        <w:rPr>
          <w:sz w:val="22"/>
          <w:szCs w:val="22"/>
        </w:rPr>
        <w:t>10.172,4</w:t>
      </w:r>
      <w:r w:rsidRPr="00DD5F89">
        <w:rPr>
          <w:sz w:val="22"/>
          <w:szCs w:val="22"/>
        </w:rPr>
        <w:t xml:space="preserve"> εκατ. ευρώ.</w:t>
      </w:r>
    </w:p>
    <w:p w:rsidR="001A423E" w:rsidRPr="0015043C" w:rsidRDefault="001A423E" w:rsidP="001A423E">
      <w:pPr>
        <w:jc w:val="both"/>
        <w:rPr>
          <w:sz w:val="22"/>
          <w:szCs w:val="22"/>
        </w:rPr>
      </w:pPr>
    </w:p>
    <w:p w:rsidR="001A423E" w:rsidRPr="0015043C" w:rsidRDefault="001A423E" w:rsidP="001A423E">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t>1.</w:t>
      </w:r>
      <w:r w:rsidRPr="0015043C">
        <w:rPr>
          <w:rFonts w:ascii="Arial Narrow" w:hAnsi="Arial Narrow"/>
          <w:b/>
          <w:bCs/>
          <w:color w:val="FFFFFF"/>
          <w:sz w:val="26"/>
          <w:szCs w:val="22"/>
        </w:rPr>
        <w:tab/>
        <w:t xml:space="preserve">Χρέος Κεντρικής </w:t>
      </w:r>
      <w:r>
        <w:rPr>
          <w:rFonts w:ascii="Arial Narrow" w:hAnsi="Arial Narrow"/>
          <w:b/>
          <w:bCs/>
          <w:color w:val="FFFFFF"/>
          <w:sz w:val="26"/>
          <w:szCs w:val="22"/>
        </w:rPr>
        <w:t xml:space="preserve">Διοίκησης </w:t>
      </w:r>
      <w:r w:rsidRPr="0015043C">
        <w:rPr>
          <w:rFonts w:ascii="Arial Narrow" w:hAnsi="Arial Narrow"/>
          <w:b/>
          <w:bCs/>
          <w:color w:val="FFFFFF"/>
          <w:sz w:val="26"/>
          <w:szCs w:val="22"/>
        </w:rPr>
        <w:t>και Γενικής Κυβέρνησης</w:t>
      </w:r>
    </w:p>
    <w:p w:rsidR="001A423E" w:rsidRPr="00133A8F" w:rsidRDefault="001A423E" w:rsidP="001A423E">
      <w:pPr>
        <w:jc w:val="both"/>
        <w:rPr>
          <w:sz w:val="22"/>
          <w:szCs w:val="22"/>
        </w:rPr>
      </w:pPr>
    </w:p>
    <w:p w:rsidR="001A423E" w:rsidRPr="006E60EA" w:rsidRDefault="001A423E" w:rsidP="001A423E">
      <w:pPr>
        <w:jc w:val="both"/>
        <w:rPr>
          <w:sz w:val="22"/>
          <w:szCs w:val="22"/>
        </w:rPr>
      </w:pPr>
      <w:r w:rsidRPr="006E60EA">
        <w:rPr>
          <w:sz w:val="22"/>
          <w:szCs w:val="22"/>
        </w:rPr>
        <w:t>Το χρέος της Κεντρικής Διοίκησης εκτιμάται ότι θα διαμορφωθεί στα 3</w:t>
      </w:r>
      <w:r>
        <w:rPr>
          <w:sz w:val="22"/>
          <w:szCs w:val="22"/>
        </w:rPr>
        <w:t>57</w:t>
      </w:r>
      <w:r w:rsidRPr="006E60EA">
        <w:rPr>
          <w:sz w:val="22"/>
          <w:szCs w:val="22"/>
        </w:rPr>
        <w:t>.</w:t>
      </w:r>
      <w:r>
        <w:rPr>
          <w:sz w:val="22"/>
          <w:szCs w:val="22"/>
        </w:rPr>
        <w:t>250</w:t>
      </w:r>
      <w:r w:rsidRPr="006E60EA">
        <w:rPr>
          <w:sz w:val="22"/>
          <w:szCs w:val="22"/>
        </w:rPr>
        <w:t xml:space="preserve"> εκατ. ευρώ ή 1</w:t>
      </w:r>
      <w:r w:rsidRPr="00782B3C">
        <w:rPr>
          <w:sz w:val="22"/>
          <w:szCs w:val="22"/>
        </w:rPr>
        <w:t>92</w:t>
      </w:r>
      <w:r w:rsidRPr="006E60EA">
        <w:rPr>
          <w:sz w:val="22"/>
          <w:szCs w:val="22"/>
        </w:rPr>
        <w:t>,</w:t>
      </w:r>
      <w:r w:rsidRPr="00782B3C">
        <w:rPr>
          <w:sz w:val="22"/>
          <w:szCs w:val="22"/>
        </w:rPr>
        <w:t>4</w:t>
      </w:r>
      <w:r w:rsidRPr="006E60EA">
        <w:rPr>
          <w:sz w:val="22"/>
          <w:szCs w:val="22"/>
        </w:rPr>
        <w:t>% ως ποσοστό του ΑΕΠ στο τέλος του 201</w:t>
      </w:r>
      <w:r>
        <w:rPr>
          <w:sz w:val="22"/>
          <w:szCs w:val="22"/>
        </w:rPr>
        <w:t>8</w:t>
      </w:r>
      <w:r w:rsidRPr="006E60EA">
        <w:rPr>
          <w:sz w:val="22"/>
          <w:szCs w:val="22"/>
        </w:rPr>
        <w:t>, έναντι 32</w:t>
      </w:r>
      <w:r>
        <w:rPr>
          <w:sz w:val="22"/>
          <w:szCs w:val="22"/>
        </w:rPr>
        <w:t>8</w:t>
      </w:r>
      <w:r w:rsidRPr="006E60EA">
        <w:rPr>
          <w:sz w:val="22"/>
          <w:szCs w:val="22"/>
        </w:rPr>
        <w:t>.</w:t>
      </w:r>
      <w:r>
        <w:rPr>
          <w:sz w:val="22"/>
          <w:szCs w:val="22"/>
        </w:rPr>
        <w:t>704</w:t>
      </w:r>
      <w:r w:rsidRPr="006E60EA">
        <w:rPr>
          <w:sz w:val="22"/>
          <w:szCs w:val="22"/>
        </w:rPr>
        <w:t xml:space="preserve"> εκατ. ευρώ ή 18</w:t>
      </w:r>
      <w:r>
        <w:rPr>
          <w:sz w:val="22"/>
          <w:szCs w:val="22"/>
        </w:rPr>
        <w:t>2</w:t>
      </w:r>
      <w:r w:rsidRPr="006E60EA">
        <w:rPr>
          <w:sz w:val="22"/>
          <w:szCs w:val="22"/>
        </w:rPr>
        <w:t>,</w:t>
      </w:r>
      <w:r>
        <w:rPr>
          <w:sz w:val="22"/>
          <w:szCs w:val="22"/>
        </w:rPr>
        <w:t>4</w:t>
      </w:r>
      <w:r w:rsidRPr="006E60EA">
        <w:rPr>
          <w:sz w:val="22"/>
          <w:szCs w:val="22"/>
        </w:rPr>
        <w:t>% ως ποσοστό του ΑΕΠ το 201</w:t>
      </w:r>
      <w:r>
        <w:rPr>
          <w:sz w:val="22"/>
          <w:szCs w:val="22"/>
        </w:rPr>
        <w:t>7</w:t>
      </w:r>
      <w:r w:rsidRPr="006E60EA">
        <w:rPr>
          <w:sz w:val="22"/>
          <w:szCs w:val="22"/>
        </w:rPr>
        <w:t xml:space="preserve">. </w:t>
      </w:r>
      <w:r w:rsidRPr="0063747A">
        <w:rPr>
          <w:sz w:val="22"/>
          <w:szCs w:val="22"/>
        </w:rPr>
        <w:t>Η αύξηση αυτή είναι προσωρινή και οφείλεται στη δημιουργία των ταμ</w:t>
      </w:r>
      <w:r w:rsidR="0099665D">
        <w:rPr>
          <w:sz w:val="22"/>
          <w:szCs w:val="22"/>
        </w:rPr>
        <w:t>ε</w:t>
      </w:r>
      <w:r w:rsidRPr="0063747A">
        <w:rPr>
          <w:sz w:val="22"/>
          <w:szCs w:val="22"/>
        </w:rPr>
        <w:t>ιακών διαθεσίμων ασφαλείας (</w:t>
      </w:r>
      <w:r w:rsidRPr="0063747A">
        <w:rPr>
          <w:sz w:val="22"/>
          <w:szCs w:val="22"/>
          <w:lang w:val="en-US"/>
        </w:rPr>
        <w:t>cash</w:t>
      </w:r>
      <w:r w:rsidRPr="0063747A">
        <w:rPr>
          <w:sz w:val="22"/>
          <w:szCs w:val="22"/>
        </w:rPr>
        <w:t xml:space="preserve"> </w:t>
      </w:r>
      <w:r w:rsidRPr="0063747A">
        <w:rPr>
          <w:sz w:val="22"/>
          <w:szCs w:val="22"/>
          <w:lang w:val="en-US"/>
        </w:rPr>
        <w:t>buffer</w:t>
      </w:r>
      <w:r w:rsidRPr="0063747A">
        <w:rPr>
          <w:sz w:val="22"/>
          <w:szCs w:val="22"/>
        </w:rPr>
        <w:t>)</w:t>
      </w:r>
      <w:r>
        <w:rPr>
          <w:sz w:val="22"/>
          <w:szCs w:val="22"/>
        </w:rPr>
        <w:t>.</w:t>
      </w:r>
    </w:p>
    <w:p w:rsidR="001A423E" w:rsidRPr="0058367A" w:rsidRDefault="001A423E" w:rsidP="001A423E">
      <w:pPr>
        <w:jc w:val="both"/>
        <w:rPr>
          <w:sz w:val="22"/>
          <w:szCs w:val="22"/>
        </w:rPr>
      </w:pPr>
    </w:p>
    <w:p w:rsidR="001A423E" w:rsidRPr="006E60EA" w:rsidRDefault="001A423E" w:rsidP="001A423E">
      <w:pPr>
        <w:jc w:val="both"/>
        <w:rPr>
          <w:sz w:val="22"/>
          <w:szCs w:val="22"/>
        </w:rPr>
      </w:pPr>
      <w:r w:rsidRPr="000D7698">
        <w:rPr>
          <w:sz w:val="22"/>
          <w:szCs w:val="22"/>
        </w:rPr>
        <w:lastRenderedPageBreak/>
        <w:t>Το 2019 το ύψος του χρέους της Κεντρικής Διοίκησης προβλέπεται ότι θα διαμορφω</w:t>
      </w:r>
      <w:r>
        <w:rPr>
          <w:sz w:val="22"/>
          <w:szCs w:val="22"/>
        </w:rPr>
        <w:t>θεί στα 346.200 εκατ. ευρώ ή 1</w:t>
      </w:r>
      <w:r w:rsidRPr="005470D5">
        <w:rPr>
          <w:sz w:val="22"/>
          <w:szCs w:val="22"/>
        </w:rPr>
        <w:t>79</w:t>
      </w:r>
      <w:r w:rsidRPr="000D7698">
        <w:rPr>
          <w:sz w:val="22"/>
          <w:szCs w:val="22"/>
        </w:rPr>
        <w:t>,</w:t>
      </w:r>
      <w:r w:rsidRPr="005470D5">
        <w:rPr>
          <w:sz w:val="22"/>
          <w:szCs w:val="22"/>
        </w:rPr>
        <w:t>6</w:t>
      </w:r>
      <w:r w:rsidRPr="000D7698">
        <w:rPr>
          <w:sz w:val="22"/>
          <w:szCs w:val="22"/>
        </w:rPr>
        <w:t>% ως ποσοστό του ΑΕΠ, παρουσιάζοντας μείωση κατά 1</w:t>
      </w:r>
      <w:r w:rsidRPr="002C67D2">
        <w:rPr>
          <w:sz w:val="22"/>
          <w:szCs w:val="22"/>
        </w:rPr>
        <w:t>2,8</w:t>
      </w:r>
      <w:r w:rsidRPr="000D7698">
        <w:rPr>
          <w:sz w:val="22"/>
          <w:szCs w:val="22"/>
        </w:rPr>
        <w:t xml:space="preserve"> ποσοστιαίες μονάδες έναντι του 2018</w:t>
      </w:r>
      <w:r>
        <w:rPr>
          <w:sz w:val="22"/>
          <w:szCs w:val="22"/>
        </w:rPr>
        <w:t xml:space="preserve"> </w:t>
      </w:r>
      <w:r w:rsidRPr="006E60EA">
        <w:rPr>
          <w:sz w:val="22"/>
          <w:szCs w:val="22"/>
        </w:rPr>
        <w:t>(πίνακας 4.1).</w:t>
      </w:r>
    </w:p>
    <w:p w:rsidR="001A423E" w:rsidRPr="006E60EA" w:rsidRDefault="001A423E" w:rsidP="001A423E">
      <w:pPr>
        <w:jc w:val="both"/>
        <w:rPr>
          <w:sz w:val="22"/>
          <w:szCs w:val="22"/>
        </w:rPr>
      </w:pPr>
    </w:p>
    <w:p w:rsidR="001A423E" w:rsidRPr="006E60EA" w:rsidRDefault="001A423E" w:rsidP="001A423E">
      <w:pPr>
        <w:jc w:val="both"/>
        <w:rPr>
          <w:sz w:val="22"/>
          <w:szCs w:val="22"/>
        </w:rPr>
      </w:pPr>
      <w:r w:rsidRPr="00CE721F">
        <w:rPr>
          <w:sz w:val="22"/>
          <w:szCs w:val="22"/>
        </w:rPr>
        <w:t>Το χρέος της Γενικής Κυβέρνησης εκτιμάται ότι θα ανέλθει στα 335.000 εκατ. ευρώ ή 18</w:t>
      </w:r>
      <w:r w:rsidRPr="00C0504D">
        <w:rPr>
          <w:sz w:val="22"/>
          <w:szCs w:val="22"/>
        </w:rPr>
        <w:t>0</w:t>
      </w:r>
      <w:r w:rsidRPr="00CE721F">
        <w:rPr>
          <w:sz w:val="22"/>
          <w:szCs w:val="22"/>
        </w:rPr>
        <w:t>,</w:t>
      </w:r>
      <w:r w:rsidRPr="00C0504D">
        <w:rPr>
          <w:sz w:val="22"/>
          <w:szCs w:val="22"/>
        </w:rPr>
        <w:t>4</w:t>
      </w:r>
      <w:r w:rsidRPr="00CE721F">
        <w:rPr>
          <w:sz w:val="22"/>
          <w:szCs w:val="22"/>
        </w:rPr>
        <w:t>% ως π</w:t>
      </w:r>
      <w:r w:rsidRPr="00CE721F">
        <w:rPr>
          <w:sz w:val="22"/>
          <w:szCs w:val="22"/>
        </w:rPr>
        <w:t>ο</w:t>
      </w:r>
      <w:r w:rsidRPr="00CE721F">
        <w:rPr>
          <w:sz w:val="22"/>
          <w:szCs w:val="22"/>
        </w:rPr>
        <w:t>σοστό του ΑΕΠ στο τέλος του 2018, έναντι 317.4</w:t>
      </w:r>
      <w:r>
        <w:rPr>
          <w:sz w:val="22"/>
          <w:szCs w:val="22"/>
        </w:rPr>
        <w:t>14</w:t>
      </w:r>
      <w:r w:rsidRPr="00CE721F">
        <w:rPr>
          <w:sz w:val="22"/>
          <w:szCs w:val="22"/>
        </w:rPr>
        <w:t xml:space="preserve"> εκατ. ευρώ ή 17</w:t>
      </w:r>
      <w:r>
        <w:rPr>
          <w:sz w:val="22"/>
          <w:szCs w:val="22"/>
        </w:rPr>
        <w:t>6</w:t>
      </w:r>
      <w:r w:rsidRPr="00CE721F">
        <w:rPr>
          <w:sz w:val="22"/>
          <w:szCs w:val="22"/>
        </w:rPr>
        <w:t>,</w:t>
      </w:r>
      <w:r>
        <w:rPr>
          <w:sz w:val="22"/>
          <w:szCs w:val="22"/>
        </w:rPr>
        <w:t>1</w:t>
      </w:r>
      <w:r w:rsidRPr="00CE721F">
        <w:rPr>
          <w:sz w:val="22"/>
          <w:szCs w:val="22"/>
        </w:rPr>
        <w:t>% ως ποσοστό του ΑΕΠ το 2017. Το 2019 το χρέος της Γενικής Κυβέρνησης προβλέπεται ότι θα διαμορφω</w:t>
      </w:r>
      <w:r>
        <w:rPr>
          <w:sz w:val="22"/>
          <w:szCs w:val="22"/>
        </w:rPr>
        <w:t>θεί στα 323.500 εκατ. ευρώ ή 1</w:t>
      </w:r>
      <w:r w:rsidRPr="004D05C2">
        <w:rPr>
          <w:sz w:val="22"/>
          <w:szCs w:val="22"/>
        </w:rPr>
        <w:t>67</w:t>
      </w:r>
      <w:r w:rsidRPr="00CE721F">
        <w:rPr>
          <w:sz w:val="22"/>
          <w:szCs w:val="22"/>
        </w:rPr>
        <w:t>,</w:t>
      </w:r>
      <w:r w:rsidRPr="004D05C2">
        <w:rPr>
          <w:sz w:val="22"/>
          <w:szCs w:val="22"/>
        </w:rPr>
        <w:t>8</w:t>
      </w:r>
      <w:r w:rsidRPr="00CE721F">
        <w:rPr>
          <w:sz w:val="22"/>
          <w:szCs w:val="22"/>
        </w:rPr>
        <w:t>% ως ποσοστό του ΑΕΠ, παρουσιάζοντας μείωση κατά 12,</w:t>
      </w:r>
      <w:r w:rsidRPr="006E457A">
        <w:rPr>
          <w:sz w:val="22"/>
          <w:szCs w:val="22"/>
        </w:rPr>
        <w:t>6</w:t>
      </w:r>
      <w:r w:rsidRPr="00CE721F">
        <w:rPr>
          <w:sz w:val="22"/>
          <w:szCs w:val="22"/>
        </w:rPr>
        <w:t xml:space="preserve"> ποσοστιαίες μονάδες έναντι του 2018</w:t>
      </w:r>
      <w:r w:rsidRPr="006E60EA">
        <w:rPr>
          <w:sz w:val="22"/>
          <w:szCs w:val="22"/>
        </w:rPr>
        <w:t xml:space="preserve"> (πίνακας 4.2).</w:t>
      </w:r>
    </w:p>
    <w:p w:rsidR="009468BC" w:rsidRPr="00B435D9" w:rsidRDefault="009468BC">
      <w:pPr>
        <w:rPr>
          <w:rFonts w:ascii="Arial Narrow" w:hAnsi="Arial Narrow"/>
          <w:b/>
          <w:color w:val="FFFFFF"/>
          <w:sz w:val="26"/>
          <w:szCs w:val="26"/>
        </w:rPr>
      </w:pPr>
    </w:p>
    <w:tbl>
      <w:tblPr>
        <w:tblW w:w="9018" w:type="dxa"/>
        <w:jc w:val="center"/>
        <w:tblLayout w:type="fixed"/>
        <w:tblLook w:val="0000"/>
      </w:tblPr>
      <w:tblGrid>
        <w:gridCol w:w="348"/>
        <w:gridCol w:w="3890"/>
        <w:gridCol w:w="1180"/>
        <w:gridCol w:w="1260"/>
        <w:gridCol w:w="1260"/>
        <w:gridCol w:w="1080"/>
      </w:tblGrid>
      <w:tr w:rsidR="009468BC" w:rsidRPr="0015043C" w:rsidTr="0099665D">
        <w:trPr>
          <w:trHeight w:val="560"/>
          <w:jc w:val="center"/>
        </w:trPr>
        <w:tc>
          <w:tcPr>
            <w:tcW w:w="9018" w:type="dxa"/>
            <w:gridSpan w:val="6"/>
            <w:tcBorders>
              <w:top w:val="single" w:sz="4" w:space="0" w:color="auto"/>
              <w:left w:val="single" w:sz="4" w:space="0" w:color="auto"/>
              <w:right w:val="single" w:sz="4" w:space="0" w:color="auto"/>
            </w:tcBorders>
            <w:shd w:val="clear" w:color="auto" w:fill="404040" w:themeFill="text1" w:themeFillTint="BF"/>
            <w:noWrap/>
            <w:tcMar>
              <w:left w:w="28" w:type="dxa"/>
              <w:right w:w="28" w:type="dxa"/>
            </w:tcMar>
            <w:vAlign w:val="bottom"/>
          </w:tcPr>
          <w:p w:rsidR="009468BC" w:rsidRPr="006547D6" w:rsidRDefault="009468BC" w:rsidP="0099665D">
            <w:pPr>
              <w:spacing w:before="120"/>
              <w:jc w:val="center"/>
              <w:rPr>
                <w:rFonts w:ascii="Arial Narrow" w:hAnsi="Arial Narrow"/>
                <w:b/>
                <w:bCs/>
                <w:color w:val="FFFFFF"/>
                <w:szCs w:val="16"/>
              </w:rPr>
            </w:pPr>
            <w:r w:rsidRPr="006547D6">
              <w:rPr>
                <w:rFonts w:ascii="Arial Narrow" w:hAnsi="Arial Narrow"/>
                <w:b/>
                <w:bCs/>
                <w:color w:val="FFFFFF"/>
                <w:szCs w:val="16"/>
              </w:rPr>
              <w:t xml:space="preserve">Πίνακας 4.1 Σύνθεση χρέους Κεντρικής </w:t>
            </w:r>
            <w:r>
              <w:rPr>
                <w:rFonts w:ascii="Arial Narrow" w:hAnsi="Arial Narrow"/>
                <w:b/>
                <w:bCs/>
                <w:color w:val="FFFFFF"/>
                <w:szCs w:val="16"/>
              </w:rPr>
              <w:t>Διοίκησης</w:t>
            </w:r>
          </w:p>
          <w:p w:rsidR="009468BC" w:rsidRPr="0015043C" w:rsidRDefault="009468BC" w:rsidP="0099665D">
            <w:pPr>
              <w:spacing w:after="120"/>
              <w:jc w:val="center"/>
              <w:rPr>
                <w:rFonts w:ascii="Arial Narrow" w:hAnsi="Arial Narrow"/>
                <w:b/>
                <w:bCs/>
                <w:color w:val="FFFFFF"/>
                <w:szCs w:val="16"/>
              </w:rPr>
            </w:pPr>
            <w:r w:rsidRPr="0015043C">
              <w:rPr>
                <w:rFonts w:ascii="Arial Narrow" w:hAnsi="Arial Narrow"/>
                <w:b/>
                <w:color w:val="FFFFFF"/>
                <w:szCs w:val="16"/>
              </w:rPr>
              <w:t>(σε εκατ. ευρώ)</w:t>
            </w:r>
          </w:p>
        </w:tc>
      </w:tr>
      <w:tr w:rsidR="009468BC" w:rsidRPr="0015043C" w:rsidTr="0099665D">
        <w:trPr>
          <w:jc w:val="center"/>
        </w:trPr>
        <w:tc>
          <w:tcPr>
            <w:tcW w:w="9018" w:type="dxa"/>
            <w:gridSpan w:val="6"/>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9468BC" w:rsidRPr="0015043C" w:rsidRDefault="009468BC" w:rsidP="0099665D">
            <w:pPr>
              <w:jc w:val="center"/>
              <w:rPr>
                <w:rFonts w:ascii="Arial Narrow" w:hAnsi="Arial Narrow"/>
                <w:b/>
                <w:bCs/>
                <w:color w:val="FFFFFF"/>
                <w:sz w:val="14"/>
                <w:szCs w:val="16"/>
              </w:rPr>
            </w:pPr>
          </w:p>
        </w:tc>
      </w:tr>
      <w:tr w:rsidR="009468BC" w:rsidRPr="0015043C" w:rsidTr="0099665D">
        <w:trPr>
          <w:jc w:val="center"/>
        </w:trPr>
        <w:tc>
          <w:tcPr>
            <w:tcW w:w="348"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bottom"/>
          </w:tcPr>
          <w:p w:rsidR="009468BC" w:rsidRPr="0015043C" w:rsidRDefault="009468BC" w:rsidP="0099665D">
            <w:pPr>
              <w:spacing w:before="60" w:after="60"/>
              <w:rPr>
                <w:rFonts w:ascii="Arial Narrow" w:hAnsi="Arial Narrow"/>
                <w:b/>
                <w:bCs/>
                <w:sz w:val="16"/>
                <w:szCs w:val="16"/>
              </w:rPr>
            </w:pPr>
          </w:p>
        </w:tc>
        <w:tc>
          <w:tcPr>
            <w:tcW w:w="3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9468BC" w:rsidRPr="0015043C" w:rsidRDefault="009468BC" w:rsidP="0099665D">
            <w:pPr>
              <w:pStyle w:val="a6"/>
              <w:spacing w:before="60" w:after="60"/>
              <w:rPr>
                <w:rFonts w:ascii="Arial Narrow" w:hAnsi="Arial Narrow" w:cs="Times New Roma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9468BC" w:rsidRPr="009468BC" w:rsidRDefault="009468BC" w:rsidP="0099665D">
            <w:pPr>
              <w:spacing w:before="60" w:after="60"/>
              <w:jc w:val="center"/>
              <w:rPr>
                <w:rFonts w:ascii="Arial Narrow" w:hAnsi="Arial Narrow"/>
                <w:b/>
                <w:bCs/>
                <w:sz w:val="16"/>
                <w:szCs w:val="16"/>
                <w:lang w:val="en-US"/>
              </w:rPr>
            </w:pPr>
            <w:r w:rsidRPr="0015043C">
              <w:rPr>
                <w:rFonts w:ascii="Arial Narrow" w:hAnsi="Arial Narrow"/>
                <w:b/>
                <w:bCs/>
                <w:sz w:val="16"/>
                <w:szCs w:val="16"/>
              </w:rPr>
              <w:t>20</w:t>
            </w:r>
            <w:r>
              <w:rPr>
                <w:rFonts w:ascii="Arial Narrow" w:hAnsi="Arial Narrow"/>
                <w:b/>
                <w:bCs/>
                <w:sz w:val="16"/>
                <w:szCs w:val="16"/>
              </w:rPr>
              <w:t>1</w:t>
            </w:r>
            <w:r>
              <w:rPr>
                <w:rFonts w:ascii="Arial Narrow" w:hAnsi="Arial Narrow"/>
                <w:b/>
                <w:bCs/>
                <w:sz w:val="16"/>
                <w:szCs w:val="16"/>
                <w:lang w:val="en-US"/>
              </w:rPr>
              <w:t>6</w:t>
            </w:r>
          </w:p>
        </w:tc>
        <w:tc>
          <w:tcPr>
            <w:tcW w:w="12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9468BC" w:rsidRPr="009468BC" w:rsidRDefault="009468BC" w:rsidP="0099665D">
            <w:pPr>
              <w:spacing w:before="60" w:after="60"/>
              <w:jc w:val="center"/>
              <w:rPr>
                <w:rFonts w:ascii="Arial Narrow" w:hAnsi="Arial Narrow"/>
                <w:b/>
                <w:bCs/>
                <w:sz w:val="16"/>
                <w:szCs w:val="16"/>
                <w:lang w:val="en-US"/>
              </w:rPr>
            </w:pPr>
            <w:r w:rsidRPr="0015043C">
              <w:rPr>
                <w:rFonts w:ascii="Arial Narrow" w:hAnsi="Arial Narrow"/>
                <w:b/>
                <w:bCs/>
                <w:sz w:val="16"/>
                <w:szCs w:val="16"/>
              </w:rPr>
              <w:t>20</w:t>
            </w:r>
            <w:r>
              <w:rPr>
                <w:rFonts w:ascii="Arial Narrow" w:hAnsi="Arial Narrow"/>
                <w:b/>
                <w:bCs/>
                <w:sz w:val="16"/>
                <w:szCs w:val="16"/>
                <w:lang w:val="en-GB"/>
              </w:rPr>
              <w:t>1</w:t>
            </w:r>
            <w:r>
              <w:rPr>
                <w:rFonts w:ascii="Arial Narrow" w:hAnsi="Arial Narrow"/>
                <w:b/>
                <w:bCs/>
                <w:sz w:val="16"/>
                <w:szCs w:val="16"/>
                <w:lang w:val="en-US"/>
              </w:rPr>
              <w:t>7</w:t>
            </w:r>
          </w:p>
        </w:tc>
        <w:tc>
          <w:tcPr>
            <w:tcW w:w="12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9468BC" w:rsidRPr="0015043C" w:rsidRDefault="009468BC" w:rsidP="0099665D">
            <w:pPr>
              <w:spacing w:before="60" w:after="60"/>
              <w:jc w:val="center"/>
              <w:rPr>
                <w:rFonts w:ascii="Arial Narrow" w:hAnsi="Arial Narrow"/>
                <w:b/>
                <w:bCs/>
                <w:sz w:val="16"/>
                <w:szCs w:val="16"/>
              </w:rPr>
            </w:pPr>
            <w:r>
              <w:rPr>
                <w:rFonts w:ascii="Arial Narrow" w:hAnsi="Arial Narrow"/>
                <w:b/>
                <w:bCs/>
                <w:sz w:val="16"/>
                <w:szCs w:val="16"/>
                <w:lang w:val="en-US"/>
              </w:rPr>
              <w:t>2018</w:t>
            </w:r>
            <w:r w:rsidRPr="0015043C">
              <w:rPr>
                <w:rFonts w:ascii="Arial Narrow" w:hAnsi="Arial Narrow"/>
                <w:b/>
                <w:bCs/>
                <w:sz w:val="16"/>
                <w:szCs w:val="16"/>
                <w:lang w:val="en-US"/>
              </w:rPr>
              <w:t>*</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9468BC" w:rsidRPr="0015043C" w:rsidRDefault="009468BC" w:rsidP="0099665D">
            <w:pPr>
              <w:spacing w:before="60" w:after="60"/>
              <w:jc w:val="center"/>
              <w:rPr>
                <w:rFonts w:ascii="Arial Narrow" w:hAnsi="Arial Narrow"/>
                <w:b/>
                <w:bCs/>
                <w:sz w:val="16"/>
                <w:szCs w:val="16"/>
              </w:rPr>
            </w:pPr>
            <w:r>
              <w:rPr>
                <w:rFonts w:ascii="Arial Narrow" w:hAnsi="Arial Narrow"/>
                <w:b/>
                <w:bCs/>
                <w:sz w:val="16"/>
                <w:szCs w:val="16"/>
              </w:rPr>
              <w:t>201</w:t>
            </w:r>
            <w:r>
              <w:rPr>
                <w:rFonts w:ascii="Arial Narrow" w:hAnsi="Arial Narrow"/>
                <w:b/>
                <w:bCs/>
                <w:sz w:val="16"/>
                <w:szCs w:val="16"/>
                <w:lang w:val="en-US"/>
              </w:rPr>
              <w:t>9</w:t>
            </w:r>
            <w:r w:rsidRPr="0015043C">
              <w:rPr>
                <w:rFonts w:ascii="Arial Narrow" w:hAnsi="Arial Narrow"/>
                <w:b/>
                <w:bCs/>
                <w:sz w:val="16"/>
                <w:szCs w:val="16"/>
              </w:rPr>
              <w:t>**</w:t>
            </w:r>
          </w:p>
        </w:tc>
      </w:tr>
      <w:tr w:rsidR="009468BC" w:rsidRPr="0015043C" w:rsidTr="009468BC">
        <w:trPr>
          <w:jc w:val="center"/>
        </w:trPr>
        <w:tc>
          <w:tcPr>
            <w:tcW w:w="348" w:type="dxa"/>
            <w:tcBorders>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r>
              <w:rPr>
                <w:rFonts w:ascii="Arial Narrow" w:hAnsi="Arial Narrow"/>
                <w:b/>
                <w:bCs/>
                <w:sz w:val="16"/>
                <w:szCs w:val="16"/>
              </w:rPr>
              <w:t>Α.</w:t>
            </w:r>
          </w:p>
        </w:tc>
        <w:tc>
          <w:tcPr>
            <w:tcW w:w="3890" w:type="dxa"/>
            <w:tcBorders>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b/>
                <w:bCs/>
                <w:sz w:val="16"/>
                <w:szCs w:val="16"/>
              </w:rPr>
            </w:pPr>
            <w:r w:rsidRPr="006547D6">
              <w:rPr>
                <w:rFonts w:ascii="Arial Narrow" w:hAnsi="Arial Narrow" w:cs="Arial"/>
                <w:b/>
                <w:bCs/>
                <w:sz w:val="16"/>
                <w:szCs w:val="16"/>
              </w:rPr>
              <w:t>Ομόλογα</w:t>
            </w:r>
          </w:p>
        </w:tc>
        <w:tc>
          <w:tcPr>
            <w:tcW w:w="1180" w:type="dxa"/>
            <w:tcBorders>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56.717</w:t>
            </w:r>
          </w:p>
        </w:tc>
        <w:tc>
          <w:tcPr>
            <w:tcW w:w="1260" w:type="dxa"/>
            <w:tcBorders>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50.457</w:t>
            </w:r>
          </w:p>
        </w:tc>
        <w:tc>
          <w:tcPr>
            <w:tcW w:w="1260" w:type="dxa"/>
            <w:tcBorders>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51.540</w:t>
            </w:r>
          </w:p>
        </w:tc>
        <w:tc>
          <w:tcPr>
            <w:tcW w:w="1080" w:type="dxa"/>
            <w:tcBorders>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44.650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Pr>
                <w:rFonts w:ascii="Arial Narrow" w:hAnsi="Arial Narrow" w:cs="Arial"/>
                <w:sz w:val="16"/>
                <w:szCs w:val="16"/>
              </w:rPr>
              <w:t>Ομόλογα στην α</w:t>
            </w:r>
            <w:r w:rsidRPr="006547D6">
              <w:rPr>
                <w:rFonts w:ascii="Arial Narrow" w:hAnsi="Arial Narrow" w:cs="Arial"/>
                <w:sz w:val="16"/>
                <w:szCs w:val="16"/>
              </w:rPr>
              <w:t xml:space="preserve">γορά </w:t>
            </w:r>
            <w:r>
              <w:rPr>
                <w:rFonts w:ascii="Arial Narrow" w:hAnsi="Arial Narrow" w:cs="Arial"/>
                <w:sz w:val="16"/>
                <w:szCs w:val="16"/>
              </w:rPr>
              <w:t>ε</w:t>
            </w:r>
            <w:r w:rsidRPr="006547D6">
              <w:rPr>
                <w:rFonts w:ascii="Arial Narrow" w:hAnsi="Arial Narrow" w:cs="Arial"/>
                <w:sz w:val="16"/>
                <w:szCs w:val="16"/>
              </w:rPr>
              <w:t>σωτερικού</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54.354</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48.681</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49.778</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42.954</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 xml:space="preserve">Ομόλογα στις </w:t>
            </w:r>
            <w:r>
              <w:rPr>
                <w:rFonts w:ascii="Arial Narrow" w:hAnsi="Arial Narrow" w:cs="Arial"/>
                <w:sz w:val="16"/>
                <w:szCs w:val="16"/>
              </w:rPr>
              <w:t>α</w:t>
            </w:r>
            <w:r w:rsidRPr="006547D6">
              <w:rPr>
                <w:rFonts w:ascii="Arial Narrow" w:hAnsi="Arial Narrow" w:cs="Arial"/>
                <w:sz w:val="16"/>
                <w:szCs w:val="16"/>
              </w:rPr>
              <w:t xml:space="preserve">γορές </w:t>
            </w:r>
            <w:r>
              <w:rPr>
                <w:rFonts w:ascii="Arial Narrow" w:hAnsi="Arial Narrow" w:cs="Arial"/>
                <w:sz w:val="16"/>
                <w:szCs w:val="16"/>
              </w:rPr>
              <w:t>ε</w:t>
            </w:r>
            <w:r w:rsidRPr="006547D6">
              <w:rPr>
                <w:rFonts w:ascii="Arial Narrow" w:hAnsi="Arial Narrow" w:cs="Arial"/>
                <w:sz w:val="16"/>
                <w:szCs w:val="16"/>
              </w:rPr>
              <w:t>ξωτερικού</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2.277</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1.717</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1.732</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1.696</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Pr>
                <w:rFonts w:ascii="Arial Narrow" w:hAnsi="Arial Narrow" w:cs="Arial"/>
                <w:sz w:val="16"/>
                <w:szCs w:val="16"/>
              </w:rPr>
              <w:t>Τιτλοποιήσεις στο ε</w:t>
            </w:r>
            <w:r w:rsidRPr="006547D6">
              <w:rPr>
                <w:rFonts w:ascii="Arial Narrow" w:hAnsi="Arial Narrow" w:cs="Arial"/>
                <w:sz w:val="16"/>
                <w:szCs w:val="16"/>
              </w:rPr>
              <w:t>ξωτερικό</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86</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59</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30</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 </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r>
              <w:rPr>
                <w:rFonts w:ascii="Arial Narrow" w:hAnsi="Arial Narrow"/>
                <w:b/>
                <w:bCs/>
                <w:sz w:val="16"/>
                <w:szCs w:val="16"/>
              </w:rPr>
              <w:t>Β.</w:t>
            </w: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b/>
                <w:bCs/>
                <w:sz w:val="16"/>
                <w:szCs w:val="16"/>
              </w:rPr>
            </w:pPr>
            <w:r w:rsidRPr="006547D6">
              <w:rPr>
                <w:rFonts w:ascii="Arial Narrow" w:hAnsi="Arial Narrow" w:cs="Arial"/>
                <w:b/>
                <w:bCs/>
                <w:sz w:val="16"/>
                <w:szCs w:val="16"/>
              </w:rPr>
              <w:t>Βραχυπρόθεσμοι Τίτλοι</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14.890</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14.943</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15.200</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14.000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Έντοκα Γραμμάτια</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14.890</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14.943</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15.200</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14.000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 </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r>
              <w:rPr>
                <w:rFonts w:ascii="Arial Narrow" w:hAnsi="Arial Narrow"/>
                <w:b/>
                <w:bCs/>
                <w:sz w:val="16"/>
                <w:szCs w:val="16"/>
              </w:rPr>
              <w:t>Γ.</w:t>
            </w:r>
          </w:p>
        </w:tc>
        <w:tc>
          <w:tcPr>
            <w:tcW w:w="3890" w:type="dxa"/>
            <w:tcBorders>
              <w:top w:val="nil"/>
              <w:bottom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b/>
                <w:bCs/>
                <w:sz w:val="16"/>
                <w:szCs w:val="16"/>
              </w:rPr>
            </w:pPr>
            <w:r w:rsidRPr="006547D6">
              <w:rPr>
                <w:rFonts w:ascii="Arial Narrow" w:hAnsi="Arial Narrow" w:cs="Arial"/>
                <w:b/>
                <w:bCs/>
                <w:sz w:val="16"/>
                <w:szCs w:val="16"/>
              </w:rPr>
              <w:t>Δάνεια</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243.388</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248.373</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267.510</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264.550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Δάνεια Τραπέζης Ελλάδος</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3.321</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2.849</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2.376</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1.904</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Λοι</w:t>
            </w:r>
            <w:r>
              <w:rPr>
                <w:rFonts w:ascii="Arial Narrow" w:hAnsi="Arial Narrow" w:cs="Arial"/>
                <w:sz w:val="16"/>
                <w:szCs w:val="16"/>
              </w:rPr>
              <w:t>πά Δάνεια Ε</w:t>
            </w:r>
            <w:r w:rsidRPr="006547D6">
              <w:rPr>
                <w:rFonts w:ascii="Arial Narrow" w:hAnsi="Arial Narrow" w:cs="Arial"/>
                <w:sz w:val="16"/>
                <w:szCs w:val="16"/>
              </w:rPr>
              <w:t>σωτερικού</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188</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247</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229</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211</w:t>
            </w:r>
          </w:p>
        </w:tc>
      </w:tr>
      <w:tr w:rsidR="009468BC" w:rsidRPr="0015043C" w:rsidTr="009468BC">
        <w:trPr>
          <w:jc w:val="center"/>
        </w:trPr>
        <w:tc>
          <w:tcPr>
            <w:tcW w:w="348" w:type="dxa"/>
            <w:tcBorders>
              <w:top w:val="nil"/>
              <w:left w:val="single" w:sz="4" w:space="0" w:color="auto"/>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0"/>
                <w:szCs w:val="16"/>
              </w:rPr>
            </w:pPr>
          </w:p>
        </w:tc>
        <w:tc>
          <w:tcPr>
            <w:tcW w:w="3890" w:type="dxa"/>
            <w:tcBorders>
              <w:top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Ειδικά και Διακρατικά Δάνεια</w:t>
            </w:r>
          </w:p>
        </w:tc>
        <w:tc>
          <w:tcPr>
            <w:tcW w:w="1180" w:type="dxa"/>
            <w:tcBorders>
              <w:top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7.480</w:t>
            </w:r>
          </w:p>
        </w:tc>
        <w:tc>
          <w:tcPr>
            <w:tcW w:w="1260" w:type="dxa"/>
            <w:tcBorders>
              <w:top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7.993</w:t>
            </w:r>
          </w:p>
        </w:tc>
        <w:tc>
          <w:tcPr>
            <w:tcW w:w="1260" w:type="dxa"/>
            <w:tcBorders>
              <w:top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7.685</w:t>
            </w:r>
          </w:p>
        </w:tc>
        <w:tc>
          <w:tcPr>
            <w:tcW w:w="1080" w:type="dxa"/>
            <w:tcBorders>
              <w:top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7.361</w:t>
            </w:r>
          </w:p>
        </w:tc>
      </w:tr>
      <w:tr w:rsidR="009468BC" w:rsidRPr="0015043C" w:rsidTr="009468BC">
        <w:trPr>
          <w:jc w:val="center"/>
        </w:trPr>
        <w:tc>
          <w:tcPr>
            <w:tcW w:w="348" w:type="dxa"/>
            <w:tcBorders>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bottom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Δάνεια Μηχανισμού Στήριξης</w:t>
            </w:r>
          </w:p>
        </w:tc>
        <w:tc>
          <w:tcPr>
            <w:tcW w:w="1180" w:type="dxa"/>
            <w:tcBorders>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227.660</w:t>
            </w:r>
          </w:p>
        </w:tc>
        <w:tc>
          <w:tcPr>
            <w:tcW w:w="1260" w:type="dxa"/>
            <w:tcBorders>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232.959</w:t>
            </w:r>
          </w:p>
        </w:tc>
        <w:tc>
          <w:tcPr>
            <w:tcW w:w="1260" w:type="dxa"/>
            <w:tcBorders>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253.054</w:t>
            </w:r>
          </w:p>
        </w:tc>
        <w:tc>
          <w:tcPr>
            <w:tcW w:w="1080" w:type="dxa"/>
            <w:tcBorders>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251.075</w:t>
            </w:r>
          </w:p>
        </w:tc>
      </w:tr>
      <w:tr w:rsidR="009468BC" w:rsidRPr="0015043C" w:rsidTr="009468BC">
        <w:trPr>
          <w:jc w:val="center"/>
        </w:trPr>
        <w:tc>
          <w:tcPr>
            <w:tcW w:w="348" w:type="dxa"/>
            <w:tcBorders>
              <w:top w:val="nil"/>
              <w:left w:val="single" w:sz="4" w:space="0" w:color="auto"/>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Λοιπά Δάνεια Εξωτερικού</w:t>
            </w:r>
          </w:p>
        </w:tc>
        <w:tc>
          <w:tcPr>
            <w:tcW w:w="1180" w:type="dxa"/>
            <w:tcBorders>
              <w:top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4.739</w:t>
            </w:r>
          </w:p>
        </w:tc>
        <w:tc>
          <w:tcPr>
            <w:tcW w:w="1260" w:type="dxa"/>
            <w:tcBorders>
              <w:top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4.325</w:t>
            </w:r>
          </w:p>
        </w:tc>
        <w:tc>
          <w:tcPr>
            <w:tcW w:w="1260" w:type="dxa"/>
            <w:tcBorders>
              <w:top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4.166</w:t>
            </w:r>
          </w:p>
        </w:tc>
        <w:tc>
          <w:tcPr>
            <w:tcW w:w="1080" w:type="dxa"/>
            <w:tcBorders>
              <w:top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3.999</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Pr="009468BC" w:rsidRDefault="009468BC" w:rsidP="009468BC">
            <w:pPr>
              <w:ind w:right="284"/>
              <w:jc w:val="right"/>
              <w:rPr>
                <w:rFonts w:ascii="Arial Narrow" w:hAnsi="Arial Narrow" w:cs="Arial"/>
                <w:sz w:val="16"/>
                <w:szCs w:val="16"/>
                <w:lang w:val="en-US"/>
              </w:rPr>
            </w:pP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r>
              <w:rPr>
                <w:rFonts w:ascii="Arial Narrow" w:hAnsi="Arial Narrow"/>
                <w:b/>
                <w:bCs/>
                <w:sz w:val="16"/>
                <w:szCs w:val="16"/>
              </w:rPr>
              <w:t>Δ.</w:t>
            </w:r>
          </w:p>
        </w:tc>
        <w:tc>
          <w:tcPr>
            <w:tcW w:w="3890" w:type="dxa"/>
            <w:tcBorders>
              <w:top w:val="nil"/>
              <w:bottom w:val="nil"/>
            </w:tcBorders>
            <w:shd w:val="clear" w:color="auto" w:fill="auto"/>
            <w:tcMar>
              <w:left w:w="28" w:type="dxa"/>
              <w:right w:w="28" w:type="dxa"/>
            </w:tcMar>
            <w:vAlign w:val="bottom"/>
          </w:tcPr>
          <w:p w:rsidR="009468BC" w:rsidRPr="006547D6" w:rsidRDefault="009468BC" w:rsidP="0099665D">
            <w:pPr>
              <w:spacing w:before="40" w:after="40"/>
              <w:rPr>
                <w:rFonts w:ascii="Arial Narrow" w:hAnsi="Arial Narrow" w:cs="Arial"/>
                <w:b/>
                <w:bCs/>
                <w:sz w:val="16"/>
                <w:szCs w:val="16"/>
              </w:rPr>
            </w:pPr>
            <w:r>
              <w:rPr>
                <w:rFonts w:ascii="Arial Narrow" w:hAnsi="Arial Narrow" w:cs="Arial"/>
                <w:b/>
                <w:bCs/>
                <w:sz w:val="16"/>
                <w:szCs w:val="16"/>
              </w:rPr>
              <w:t>Βραχυπρόθεσμα δ</w:t>
            </w:r>
            <w:r w:rsidRPr="006547D6">
              <w:rPr>
                <w:rFonts w:ascii="Arial Narrow" w:hAnsi="Arial Narrow" w:cs="Arial"/>
                <w:b/>
                <w:bCs/>
                <w:sz w:val="16"/>
                <w:szCs w:val="16"/>
              </w:rPr>
              <w:t>άνεια</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11.363</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14.931</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23.000</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23.000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F65459" w:rsidRDefault="009468BC" w:rsidP="0099665D">
            <w:pPr>
              <w:spacing w:before="40" w:after="40"/>
              <w:rPr>
                <w:rFonts w:ascii="Arial Narrow" w:hAnsi="Arial Narrow" w:cs="Arial"/>
                <w:sz w:val="16"/>
                <w:szCs w:val="16"/>
              </w:rPr>
            </w:pPr>
            <w:r>
              <w:rPr>
                <w:rFonts w:ascii="Arial Narrow" w:hAnsi="Arial Narrow" w:cs="Arial"/>
                <w:sz w:val="16"/>
                <w:szCs w:val="16"/>
              </w:rPr>
              <w:t>Πώληση τίτλων με σύμφωνο επαναγοράς (</w:t>
            </w:r>
            <w:r>
              <w:rPr>
                <w:rFonts w:ascii="Arial Narrow" w:hAnsi="Arial Narrow" w:cs="Arial"/>
                <w:sz w:val="16"/>
                <w:szCs w:val="16"/>
                <w:lang w:val="en-GB"/>
              </w:rPr>
              <w:t>repos</w:t>
            </w:r>
            <w:r w:rsidRPr="00F65459">
              <w:rPr>
                <w:rFonts w:ascii="Arial Narrow" w:hAnsi="Arial Narrow" w:cs="Arial"/>
                <w:sz w:val="16"/>
                <w:szCs w:val="16"/>
              </w:rPr>
              <w:t>)</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11.363</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14.931</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23.000</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23.000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Pr="009468BC" w:rsidRDefault="009468BC" w:rsidP="009468BC">
            <w:pPr>
              <w:ind w:right="284"/>
              <w:jc w:val="right"/>
              <w:rPr>
                <w:rFonts w:ascii="Arial Narrow" w:hAnsi="Arial Narrow" w:cs="Arial"/>
                <w:sz w:val="16"/>
                <w:szCs w:val="16"/>
                <w:lang w:val="en-US"/>
              </w:rPr>
            </w:pPr>
          </w:p>
        </w:tc>
      </w:tr>
      <w:tr w:rsidR="009468BC" w:rsidRPr="0015043C" w:rsidTr="009468BC">
        <w:trPr>
          <w:jc w:val="center"/>
        </w:trPr>
        <w:tc>
          <w:tcPr>
            <w:tcW w:w="348" w:type="dxa"/>
            <w:tcBorders>
              <w:top w:val="nil"/>
              <w:left w:val="single" w:sz="4" w:space="0" w:color="auto"/>
              <w:bottom w:val="nil"/>
            </w:tcBorders>
            <w:shd w:val="clear" w:color="auto" w:fill="D9D9D9" w:themeFill="background1" w:themeFillShade="D9"/>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r>
              <w:rPr>
                <w:rFonts w:ascii="Arial Narrow" w:hAnsi="Arial Narrow"/>
                <w:b/>
                <w:bCs/>
                <w:sz w:val="16"/>
                <w:szCs w:val="16"/>
              </w:rPr>
              <w:t>Ε.</w:t>
            </w:r>
          </w:p>
        </w:tc>
        <w:tc>
          <w:tcPr>
            <w:tcW w:w="3890" w:type="dxa"/>
            <w:tcBorders>
              <w:top w:val="nil"/>
              <w:bottom w:val="nil"/>
            </w:tcBorders>
            <w:shd w:val="clear" w:color="auto" w:fill="D9D9D9" w:themeFill="background1" w:themeFillShade="D9"/>
            <w:noWrap/>
            <w:tcMar>
              <w:left w:w="28" w:type="dxa"/>
              <w:right w:w="28" w:type="dxa"/>
            </w:tcMar>
            <w:vAlign w:val="bottom"/>
          </w:tcPr>
          <w:p w:rsidR="009468BC" w:rsidRPr="006547D6" w:rsidRDefault="009468BC" w:rsidP="0099665D">
            <w:pPr>
              <w:spacing w:before="40" w:after="40"/>
              <w:rPr>
                <w:rFonts w:ascii="Arial Narrow" w:hAnsi="Arial Narrow" w:cs="Arial"/>
                <w:b/>
                <w:bCs/>
                <w:sz w:val="16"/>
                <w:szCs w:val="16"/>
              </w:rPr>
            </w:pPr>
            <w:r w:rsidRPr="006547D6">
              <w:rPr>
                <w:rFonts w:ascii="Arial Narrow" w:hAnsi="Arial Narrow" w:cs="Arial"/>
                <w:b/>
                <w:bCs/>
                <w:sz w:val="16"/>
                <w:szCs w:val="16"/>
              </w:rPr>
              <w:t>Σύνολο χρέους Κεντρικής Διοίκησης (Α+Β+Γ</w:t>
            </w:r>
            <w:r>
              <w:rPr>
                <w:rFonts w:ascii="Arial Narrow" w:hAnsi="Arial Narrow" w:cs="Arial"/>
                <w:b/>
                <w:bCs/>
                <w:sz w:val="16"/>
                <w:szCs w:val="16"/>
              </w:rPr>
              <w:t>+Δ</w:t>
            </w:r>
            <w:r w:rsidRPr="006547D6">
              <w:rPr>
                <w:rFonts w:ascii="Arial Narrow" w:hAnsi="Arial Narrow" w:cs="Arial"/>
                <w:b/>
                <w:bCs/>
                <w:sz w:val="16"/>
                <w:szCs w:val="16"/>
              </w:rPr>
              <w:t>)</w:t>
            </w:r>
          </w:p>
        </w:tc>
        <w:tc>
          <w:tcPr>
            <w:tcW w:w="1180" w:type="dxa"/>
            <w:tcBorders>
              <w:top w:val="nil"/>
              <w:bottom w:val="nil"/>
            </w:tcBorders>
            <w:shd w:val="clear" w:color="auto" w:fill="D9D9D9" w:themeFill="background1" w:themeFillShade="D9"/>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326.358</w:t>
            </w:r>
          </w:p>
        </w:tc>
        <w:tc>
          <w:tcPr>
            <w:tcW w:w="1260" w:type="dxa"/>
            <w:tcBorders>
              <w:top w:val="nil"/>
              <w:bottom w:val="nil"/>
            </w:tcBorders>
            <w:shd w:val="clear" w:color="auto" w:fill="D9D9D9" w:themeFill="background1" w:themeFillShade="D9"/>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328.704</w:t>
            </w:r>
          </w:p>
        </w:tc>
        <w:tc>
          <w:tcPr>
            <w:tcW w:w="1260" w:type="dxa"/>
            <w:tcBorders>
              <w:top w:val="nil"/>
              <w:bottom w:val="nil"/>
            </w:tcBorders>
            <w:shd w:val="clear" w:color="auto" w:fill="D9D9D9" w:themeFill="background1" w:themeFillShade="D9"/>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357.250</w:t>
            </w:r>
          </w:p>
        </w:tc>
        <w:tc>
          <w:tcPr>
            <w:tcW w:w="1080" w:type="dxa"/>
            <w:tcBorders>
              <w:top w:val="nil"/>
              <w:bottom w:val="nil"/>
              <w:right w:val="single" w:sz="4" w:space="0" w:color="auto"/>
            </w:tcBorders>
            <w:shd w:val="clear" w:color="auto" w:fill="D9D9D9" w:themeFill="background1" w:themeFillShade="D9"/>
            <w:noWrap/>
            <w:tcMar>
              <w:left w:w="28" w:type="dxa"/>
              <w:right w:w="28" w:type="dxa"/>
            </w:tcMar>
            <w:vAlign w:val="center"/>
          </w:tcPr>
          <w:p w:rsidR="009468BC" w:rsidRDefault="009468BC" w:rsidP="009468BC">
            <w:pPr>
              <w:ind w:right="284"/>
              <w:jc w:val="right"/>
              <w:rPr>
                <w:rFonts w:ascii="Arial Narrow" w:hAnsi="Arial Narrow" w:cs="Arial"/>
                <w:b/>
                <w:bCs/>
                <w:sz w:val="16"/>
                <w:szCs w:val="16"/>
              </w:rPr>
            </w:pPr>
            <w:r>
              <w:rPr>
                <w:rFonts w:ascii="Arial Narrow" w:hAnsi="Arial Narrow" w:cs="Arial"/>
                <w:b/>
                <w:bCs/>
                <w:sz w:val="16"/>
                <w:szCs w:val="16"/>
              </w:rPr>
              <w:t>346.200</w:t>
            </w:r>
          </w:p>
        </w:tc>
      </w:tr>
      <w:tr w:rsidR="009468BC" w:rsidRPr="0015043C" w:rsidTr="009468BC">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(ως % του ΑΕΠ)</w:t>
            </w:r>
          </w:p>
        </w:tc>
        <w:tc>
          <w:tcPr>
            <w:tcW w:w="118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184,9%</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182,4%</w:t>
            </w:r>
          </w:p>
        </w:tc>
        <w:tc>
          <w:tcPr>
            <w:tcW w:w="1260" w:type="dxa"/>
            <w:tcBorders>
              <w:top w:val="nil"/>
              <w:bottom w:val="nil"/>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192,4%</w:t>
            </w:r>
          </w:p>
        </w:tc>
        <w:tc>
          <w:tcPr>
            <w:tcW w:w="1080" w:type="dxa"/>
            <w:tcBorders>
              <w:top w:val="nil"/>
              <w:bottom w:val="nil"/>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179,6%</w:t>
            </w:r>
          </w:p>
        </w:tc>
      </w:tr>
      <w:tr w:rsidR="009468BC" w:rsidRPr="0015043C" w:rsidTr="009468BC">
        <w:trPr>
          <w:jc w:val="center"/>
        </w:trPr>
        <w:tc>
          <w:tcPr>
            <w:tcW w:w="348" w:type="dxa"/>
            <w:tcBorders>
              <w:top w:val="nil"/>
              <w:left w:val="single" w:sz="4" w:space="0" w:color="auto"/>
              <w:bottom w:val="single" w:sz="4" w:space="0" w:color="auto"/>
            </w:tcBorders>
            <w:shd w:val="clear" w:color="auto" w:fill="auto"/>
            <w:noWrap/>
            <w:tcMar>
              <w:left w:w="28" w:type="dxa"/>
              <w:right w:w="28" w:type="dxa"/>
            </w:tcMar>
            <w:vAlign w:val="center"/>
          </w:tcPr>
          <w:p w:rsidR="009468BC" w:rsidRPr="0015043C" w:rsidRDefault="009468BC" w:rsidP="0099665D">
            <w:pPr>
              <w:spacing w:before="40" w:after="40"/>
              <w:rPr>
                <w:rFonts w:ascii="Arial Narrow" w:hAnsi="Arial Narrow"/>
                <w:b/>
                <w:bCs/>
                <w:sz w:val="16"/>
                <w:szCs w:val="16"/>
              </w:rPr>
            </w:pPr>
          </w:p>
        </w:tc>
        <w:tc>
          <w:tcPr>
            <w:tcW w:w="3890" w:type="dxa"/>
            <w:tcBorders>
              <w:top w:val="nil"/>
              <w:bottom w:val="single" w:sz="4" w:space="0" w:color="auto"/>
            </w:tcBorders>
            <w:shd w:val="clear" w:color="auto" w:fill="auto"/>
            <w:noWrap/>
            <w:tcMar>
              <w:left w:w="28" w:type="dxa"/>
              <w:right w:w="28" w:type="dxa"/>
            </w:tcMar>
            <w:vAlign w:val="bottom"/>
          </w:tcPr>
          <w:p w:rsidR="009468BC" w:rsidRPr="006547D6" w:rsidRDefault="009468BC" w:rsidP="0099665D">
            <w:pPr>
              <w:spacing w:before="40" w:after="40"/>
              <w:rPr>
                <w:rFonts w:ascii="Arial Narrow" w:hAnsi="Arial Narrow" w:cs="Arial"/>
                <w:sz w:val="16"/>
                <w:szCs w:val="16"/>
              </w:rPr>
            </w:pPr>
            <w:r w:rsidRPr="006547D6">
              <w:rPr>
                <w:rFonts w:ascii="Arial Narrow" w:hAnsi="Arial Narrow" w:cs="Arial"/>
                <w:sz w:val="16"/>
                <w:szCs w:val="16"/>
              </w:rPr>
              <w:t>ΑΕΠ</w:t>
            </w:r>
          </w:p>
        </w:tc>
        <w:tc>
          <w:tcPr>
            <w:tcW w:w="1180" w:type="dxa"/>
            <w:tcBorders>
              <w:top w:val="nil"/>
              <w:bottom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176.488</w:t>
            </w:r>
          </w:p>
        </w:tc>
        <w:tc>
          <w:tcPr>
            <w:tcW w:w="1260" w:type="dxa"/>
            <w:tcBorders>
              <w:top w:val="nil"/>
              <w:bottom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180.218</w:t>
            </w:r>
          </w:p>
        </w:tc>
        <w:tc>
          <w:tcPr>
            <w:tcW w:w="1260" w:type="dxa"/>
            <w:tcBorders>
              <w:top w:val="nil"/>
              <w:bottom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185.658</w:t>
            </w:r>
          </w:p>
        </w:tc>
        <w:tc>
          <w:tcPr>
            <w:tcW w:w="1080" w:type="dxa"/>
            <w:tcBorders>
              <w:top w:val="nil"/>
              <w:bottom w:val="single" w:sz="4" w:space="0" w:color="auto"/>
              <w:right w:val="single" w:sz="4" w:space="0" w:color="auto"/>
            </w:tcBorders>
            <w:shd w:val="clear" w:color="auto" w:fill="auto"/>
            <w:noWrap/>
            <w:tcMar>
              <w:left w:w="28" w:type="dxa"/>
              <w:right w:w="28" w:type="dxa"/>
            </w:tcMar>
            <w:vAlign w:val="center"/>
          </w:tcPr>
          <w:p w:rsidR="009468BC" w:rsidRDefault="009468BC" w:rsidP="009468BC">
            <w:pPr>
              <w:ind w:right="284"/>
              <w:jc w:val="right"/>
              <w:rPr>
                <w:rFonts w:ascii="Arial Narrow" w:hAnsi="Arial Narrow" w:cs="Arial"/>
                <w:sz w:val="16"/>
                <w:szCs w:val="16"/>
              </w:rPr>
            </w:pPr>
            <w:r>
              <w:rPr>
                <w:rFonts w:ascii="Arial Narrow" w:hAnsi="Arial Narrow" w:cs="Arial"/>
                <w:sz w:val="16"/>
                <w:szCs w:val="16"/>
              </w:rPr>
              <w:t>192.749</w:t>
            </w:r>
          </w:p>
        </w:tc>
      </w:tr>
    </w:tbl>
    <w:p w:rsidR="009468BC" w:rsidRPr="006547D6" w:rsidRDefault="009468BC" w:rsidP="009468BC">
      <w:pPr>
        <w:tabs>
          <w:tab w:val="left" w:pos="180"/>
          <w:tab w:val="left" w:pos="8320"/>
        </w:tabs>
        <w:jc w:val="both"/>
        <w:rPr>
          <w:rFonts w:ascii="Arial Narrow" w:hAnsi="Arial Narrow"/>
          <w:sz w:val="16"/>
          <w:szCs w:val="16"/>
        </w:rPr>
      </w:pPr>
      <w:r w:rsidRPr="0015043C">
        <w:rPr>
          <w:rFonts w:ascii="Arial Narrow" w:hAnsi="Arial Narrow"/>
          <w:sz w:val="16"/>
          <w:szCs w:val="16"/>
        </w:rPr>
        <w:t>*</w:t>
      </w:r>
      <w:r w:rsidRPr="0015043C">
        <w:rPr>
          <w:rFonts w:ascii="Arial Narrow" w:hAnsi="Arial Narrow"/>
          <w:sz w:val="16"/>
          <w:szCs w:val="16"/>
        </w:rPr>
        <w:tab/>
        <w:t>Εκτιμήσεις      **Προβλέψεις</w:t>
      </w:r>
      <w:r>
        <w:rPr>
          <w:rFonts w:ascii="Arial Narrow" w:hAnsi="Arial Narrow"/>
          <w:sz w:val="16"/>
          <w:szCs w:val="16"/>
        </w:rPr>
        <w:tab/>
      </w:r>
    </w:p>
    <w:p w:rsidR="009468BC" w:rsidRPr="006547D6" w:rsidRDefault="009468BC" w:rsidP="009468BC">
      <w:pPr>
        <w:tabs>
          <w:tab w:val="left" w:pos="180"/>
        </w:tabs>
        <w:jc w:val="both"/>
        <w:rPr>
          <w:rFonts w:ascii="Arial Narrow" w:hAnsi="Arial Narrow"/>
          <w:sz w:val="16"/>
          <w:szCs w:val="16"/>
        </w:rPr>
      </w:pPr>
      <w:r w:rsidRPr="0015043C">
        <w:rPr>
          <w:rFonts w:ascii="Arial Narrow" w:hAnsi="Arial Narrow"/>
          <w:sz w:val="16"/>
          <w:szCs w:val="16"/>
        </w:rPr>
        <w:t xml:space="preserve">Πηγή:  </w:t>
      </w:r>
      <w:r>
        <w:rPr>
          <w:rFonts w:ascii="Arial Narrow" w:hAnsi="Arial Narrow"/>
          <w:sz w:val="16"/>
          <w:szCs w:val="16"/>
        </w:rPr>
        <w:t>ΟΔΔΗΧ</w:t>
      </w:r>
    </w:p>
    <w:p w:rsidR="009468BC" w:rsidRDefault="009468BC">
      <w:pPr>
        <w:rPr>
          <w:rFonts w:ascii="Arial Narrow" w:hAnsi="Arial Narrow"/>
          <w:b/>
          <w:color w:val="FFFFFF"/>
          <w:sz w:val="26"/>
          <w:szCs w:val="26"/>
          <w:lang w:val="en-US"/>
        </w:rPr>
      </w:pPr>
    </w:p>
    <w:tbl>
      <w:tblPr>
        <w:tblW w:w="9440" w:type="dxa"/>
        <w:tblLayout w:type="fixed"/>
        <w:tblLook w:val="0000"/>
      </w:tblPr>
      <w:tblGrid>
        <w:gridCol w:w="4788"/>
        <w:gridCol w:w="1163"/>
        <w:gridCol w:w="1163"/>
        <w:gridCol w:w="1163"/>
        <w:gridCol w:w="1163"/>
      </w:tblGrid>
      <w:tr w:rsidR="009468BC" w:rsidRPr="0015043C" w:rsidTr="0099665D">
        <w:tc>
          <w:tcPr>
            <w:tcW w:w="9440" w:type="dxa"/>
            <w:gridSpan w:val="5"/>
            <w:tcBorders>
              <w:top w:val="single" w:sz="4" w:space="0" w:color="auto"/>
              <w:left w:val="single" w:sz="4" w:space="0" w:color="auto"/>
              <w:right w:val="single" w:sz="4" w:space="0" w:color="auto"/>
            </w:tcBorders>
            <w:shd w:val="clear" w:color="auto" w:fill="404040" w:themeFill="text1" w:themeFillTint="BF"/>
            <w:noWrap/>
          </w:tcPr>
          <w:p w:rsidR="009468BC" w:rsidRPr="006A2A00" w:rsidRDefault="009468BC" w:rsidP="0099665D">
            <w:pPr>
              <w:spacing w:before="120"/>
              <w:jc w:val="center"/>
              <w:rPr>
                <w:rFonts w:ascii="Arial Narrow" w:hAnsi="Arial Narrow"/>
                <w:b/>
                <w:bCs/>
                <w:color w:val="FFFFFF"/>
              </w:rPr>
            </w:pPr>
            <w:r w:rsidRPr="006A2A00">
              <w:rPr>
                <w:rFonts w:ascii="Arial Narrow" w:hAnsi="Arial Narrow"/>
                <w:b/>
                <w:bCs/>
                <w:color w:val="FFFFFF"/>
              </w:rPr>
              <w:t xml:space="preserve">Πίνακας </w:t>
            </w:r>
            <w:r w:rsidRPr="0018754F">
              <w:rPr>
                <w:rFonts w:ascii="Arial Narrow" w:hAnsi="Arial Narrow"/>
                <w:b/>
                <w:bCs/>
                <w:color w:val="FFFFFF"/>
              </w:rPr>
              <w:t>4</w:t>
            </w:r>
            <w:r w:rsidRPr="006A2A00">
              <w:rPr>
                <w:rFonts w:ascii="Arial Narrow" w:hAnsi="Arial Narrow"/>
                <w:b/>
                <w:bCs/>
                <w:color w:val="FFFFFF"/>
              </w:rPr>
              <w:t>.2  Χρέος Γενικής Κυβέρνησης</w:t>
            </w:r>
          </w:p>
          <w:p w:rsidR="009468BC" w:rsidRPr="0015043C" w:rsidRDefault="009468BC" w:rsidP="0099665D">
            <w:pPr>
              <w:spacing w:after="120"/>
              <w:jc w:val="center"/>
              <w:rPr>
                <w:rFonts w:ascii="Arial Narrow" w:hAnsi="Arial Narrow"/>
                <w:bCs/>
              </w:rPr>
            </w:pPr>
            <w:r w:rsidRPr="0015043C">
              <w:rPr>
                <w:rFonts w:ascii="Arial Narrow" w:hAnsi="Arial Narrow"/>
                <w:b/>
                <w:bCs/>
                <w:color w:val="FFFFFF"/>
              </w:rPr>
              <w:t>(σε εκατ. ευρώ)</w:t>
            </w:r>
          </w:p>
        </w:tc>
      </w:tr>
      <w:tr w:rsidR="009468BC" w:rsidRPr="0015043C" w:rsidTr="0099665D">
        <w:tc>
          <w:tcPr>
            <w:tcW w:w="9440" w:type="dxa"/>
            <w:gridSpan w:val="5"/>
            <w:tcBorders>
              <w:left w:val="single" w:sz="4" w:space="0" w:color="auto"/>
              <w:bottom w:val="single" w:sz="4" w:space="0" w:color="auto"/>
              <w:right w:val="single" w:sz="4" w:space="0" w:color="auto"/>
            </w:tcBorders>
            <w:shd w:val="clear" w:color="auto" w:fill="auto"/>
            <w:noWrap/>
          </w:tcPr>
          <w:p w:rsidR="009468BC" w:rsidRPr="0015043C" w:rsidRDefault="009468BC" w:rsidP="0099665D">
            <w:pPr>
              <w:jc w:val="center"/>
              <w:rPr>
                <w:rFonts w:ascii="Arial Narrow" w:hAnsi="Arial Narrow"/>
                <w:b/>
                <w:bCs/>
                <w:color w:val="FFFFFF"/>
                <w:sz w:val="16"/>
              </w:rPr>
            </w:pPr>
          </w:p>
        </w:tc>
      </w:tr>
      <w:tr w:rsidR="009468BC" w:rsidRPr="0015043C" w:rsidTr="0099665D">
        <w:tc>
          <w:tcPr>
            <w:tcW w:w="4788" w:type="dxa"/>
            <w:tcBorders>
              <w:top w:val="single" w:sz="4" w:space="0" w:color="auto"/>
              <w:left w:val="single" w:sz="4" w:space="0" w:color="auto"/>
              <w:bottom w:val="single" w:sz="4" w:space="0" w:color="auto"/>
              <w:right w:val="single" w:sz="4" w:space="0" w:color="auto"/>
            </w:tcBorders>
            <w:shd w:val="clear" w:color="auto" w:fill="auto"/>
            <w:noWrap/>
          </w:tcPr>
          <w:p w:rsidR="009468BC" w:rsidRPr="0015043C" w:rsidRDefault="009468BC" w:rsidP="0099665D">
            <w:pPr>
              <w:spacing w:before="60" w:after="60"/>
              <w:jc w:val="center"/>
              <w:rPr>
                <w:rFonts w:ascii="Arial Narrow" w:hAnsi="Arial Narrow"/>
                <w:sz w:val="16"/>
                <w:szCs w:val="16"/>
              </w:rPr>
            </w:pPr>
          </w:p>
        </w:tc>
        <w:tc>
          <w:tcPr>
            <w:tcW w:w="1163" w:type="dxa"/>
            <w:tcBorders>
              <w:top w:val="single" w:sz="4" w:space="0" w:color="auto"/>
              <w:left w:val="nil"/>
              <w:bottom w:val="single" w:sz="4" w:space="0" w:color="auto"/>
              <w:right w:val="single" w:sz="4" w:space="0" w:color="auto"/>
            </w:tcBorders>
            <w:shd w:val="clear" w:color="auto" w:fill="auto"/>
            <w:noWrap/>
          </w:tcPr>
          <w:p w:rsidR="009468BC" w:rsidRPr="009468BC" w:rsidRDefault="009468BC" w:rsidP="0099665D">
            <w:pPr>
              <w:spacing w:before="60" w:after="60"/>
              <w:jc w:val="center"/>
              <w:rPr>
                <w:rFonts w:ascii="Arial Narrow" w:hAnsi="Arial Narrow"/>
                <w:b/>
                <w:bCs/>
                <w:sz w:val="16"/>
                <w:szCs w:val="16"/>
                <w:lang w:val="en-US"/>
              </w:rPr>
            </w:pPr>
            <w:r w:rsidRPr="0015043C">
              <w:rPr>
                <w:rFonts w:ascii="Arial Narrow" w:hAnsi="Arial Narrow"/>
                <w:b/>
                <w:bCs/>
                <w:sz w:val="16"/>
                <w:szCs w:val="16"/>
              </w:rPr>
              <w:t>20</w:t>
            </w:r>
            <w:r>
              <w:rPr>
                <w:rFonts w:ascii="Arial Narrow" w:hAnsi="Arial Narrow"/>
                <w:b/>
                <w:bCs/>
                <w:sz w:val="16"/>
                <w:szCs w:val="16"/>
              </w:rPr>
              <w:t>1</w:t>
            </w:r>
            <w:r>
              <w:rPr>
                <w:rFonts w:ascii="Arial Narrow" w:hAnsi="Arial Narrow"/>
                <w:b/>
                <w:bCs/>
                <w:sz w:val="16"/>
                <w:szCs w:val="16"/>
                <w:lang w:val="en-US"/>
              </w:rPr>
              <w:t>6</w:t>
            </w:r>
          </w:p>
        </w:tc>
        <w:tc>
          <w:tcPr>
            <w:tcW w:w="1163" w:type="dxa"/>
            <w:tcBorders>
              <w:top w:val="single" w:sz="4" w:space="0" w:color="auto"/>
              <w:left w:val="nil"/>
              <w:bottom w:val="single" w:sz="4" w:space="0" w:color="auto"/>
              <w:right w:val="single" w:sz="4" w:space="0" w:color="auto"/>
            </w:tcBorders>
            <w:shd w:val="clear" w:color="auto" w:fill="auto"/>
            <w:noWrap/>
          </w:tcPr>
          <w:p w:rsidR="009468BC" w:rsidRPr="009468BC" w:rsidRDefault="009468BC" w:rsidP="0099665D">
            <w:pPr>
              <w:spacing w:before="60" w:after="60"/>
              <w:jc w:val="center"/>
              <w:rPr>
                <w:rFonts w:ascii="Arial Narrow" w:hAnsi="Arial Narrow"/>
                <w:b/>
                <w:bCs/>
                <w:sz w:val="16"/>
                <w:szCs w:val="16"/>
                <w:lang w:val="en-US"/>
              </w:rPr>
            </w:pPr>
            <w:r w:rsidRPr="0015043C">
              <w:rPr>
                <w:rFonts w:ascii="Arial Narrow" w:hAnsi="Arial Narrow"/>
                <w:b/>
                <w:bCs/>
                <w:sz w:val="16"/>
                <w:szCs w:val="16"/>
              </w:rPr>
              <w:t>20</w:t>
            </w:r>
            <w:r>
              <w:rPr>
                <w:rFonts w:ascii="Arial Narrow" w:hAnsi="Arial Narrow"/>
                <w:b/>
                <w:bCs/>
                <w:sz w:val="16"/>
                <w:szCs w:val="16"/>
              </w:rPr>
              <w:t>1</w:t>
            </w:r>
            <w:r>
              <w:rPr>
                <w:rFonts w:ascii="Arial Narrow" w:hAnsi="Arial Narrow"/>
                <w:b/>
                <w:bCs/>
                <w:sz w:val="16"/>
                <w:szCs w:val="16"/>
                <w:lang w:val="en-US"/>
              </w:rPr>
              <w:t>7</w:t>
            </w:r>
          </w:p>
        </w:tc>
        <w:tc>
          <w:tcPr>
            <w:tcW w:w="1163" w:type="dxa"/>
            <w:tcBorders>
              <w:top w:val="single" w:sz="4" w:space="0" w:color="auto"/>
              <w:left w:val="nil"/>
              <w:bottom w:val="single" w:sz="4" w:space="0" w:color="auto"/>
              <w:right w:val="single" w:sz="4" w:space="0" w:color="auto"/>
            </w:tcBorders>
            <w:shd w:val="clear" w:color="auto" w:fill="auto"/>
            <w:noWrap/>
          </w:tcPr>
          <w:p w:rsidR="009468BC" w:rsidRPr="0015043C" w:rsidRDefault="009468BC" w:rsidP="0099665D">
            <w:pPr>
              <w:spacing w:before="60" w:after="60"/>
              <w:jc w:val="center"/>
              <w:rPr>
                <w:rFonts w:ascii="Arial Narrow" w:hAnsi="Arial Narrow"/>
                <w:b/>
                <w:bCs/>
                <w:sz w:val="16"/>
                <w:szCs w:val="16"/>
              </w:rPr>
            </w:pPr>
            <w:r w:rsidRPr="0015043C">
              <w:rPr>
                <w:rFonts w:ascii="Arial Narrow" w:hAnsi="Arial Narrow"/>
                <w:b/>
                <w:bCs/>
                <w:sz w:val="16"/>
                <w:szCs w:val="16"/>
                <w:lang w:val="en-US"/>
              </w:rPr>
              <w:t>20</w:t>
            </w:r>
            <w:r>
              <w:rPr>
                <w:rFonts w:ascii="Arial Narrow" w:hAnsi="Arial Narrow"/>
                <w:b/>
                <w:bCs/>
                <w:sz w:val="16"/>
                <w:szCs w:val="16"/>
              </w:rPr>
              <w:t>1</w:t>
            </w:r>
            <w:r>
              <w:rPr>
                <w:rFonts w:ascii="Arial Narrow" w:hAnsi="Arial Narrow"/>
                <w:b/>
                <w:bCs/>
                <w:sz w:val="16"/>
                <w:szCs w:val="16"/>
                <w:lang w:val="en-US"/>
              </w:rPr>
              <w:t>8</w:t>
            </w:r>
            <w:r w:rsidRPr="0015043C">
              <w:rPr>
                <w:rFonts w:ascii="Arial Narrow" w:hAnsi="Arial Narrow"/>
                <w:b/>
                <w:bCs/>
                <w:sz w:val="16"/>
                <w:szCs w:val="16"/>
                <w:lang w:val="en-US"/>
              </w:rPr>
              <w:t>*</w:t>
            </w:r>
          </w:p>
        </w:tc>
        <w:tc>
          <w:tcPr>
            <w:tcW w:w="1163" w:type="dxa"/>
            <w:tcBorders>
              <w:top w:val="single" w:sz="4" w:space="0" w:color="auto"/>
              <w:left w:val="nil"/>
              <w:bottom w:val="single" w:sz="4" w:space="0" w:color="auto"/>
              <w:right w:val="single" w:sz="4" w:space="0" w:color="auto"/>
            </w:tcBorders>
            <w:shd w:val="clear" w:color="auto" w:fill="auto"/>
            <w:noWrap/>
          </w:tcPr>
          <w:p w:rsidR="009468BC" w:rsidRPr="0015043C" w:rsidRDefault="009468BC" w:rsidP="0099665D">
            <w:pPr>
              <w:spacing w:before="60" w:after="60"/>
              <w:jc w:val="center"/>
              <w:rPr>
                <w:rFonts w:ascii="Arial Narrow" w:hAnsi="Arial Narrow"/>
                <w:b/>
                <w:bCs/>
                <w:sz w:val="16"/>
                <w:szCs w:val="16"/>
              </w:rPr>
            </w:pPr>
            <w:r w:rsidRPr="0015043C">
              <w:rPr>
                <w:rFonts w:ascii="Arial Narrow" w:hAnsi="Arial Narrow"/>
                <w:b/>
                <w:bCs/>
                <w:sz w:val="16"/>
                <w:szCs w:val="16"/>
              </w:rPr>
              <w:t>201</w:t>
            </w:r>
            <w:r>
              <w:rPr>
                <w:rFonts w:ascii="Arial Narrow" w:hAnsi="Arial Narrow"/>
                <w:b/>
                <w:bCs/>
                <w:sz w:val="16"/>
                <w:szCs w:val="16"/>
                <w:lang w:val="en-US"/>
              </w:rPr>
              <w:t>9</w:t>
            </w:r>
            <w:r w:rsidRPr="0015043C">
              <w:rPr>
                <w:rFonts w:ascii="Arial Narrow" w:hAnsi="Arial Narrow"/>
                <w:b/>
                <w:bCs/>
                <w:sz w:val="16"/>
                <w:szCs w:val="16"/>
              </w:rPr>
              <w:t>**</w:t>
            </w:r>
          </w:p>
        </w:tc>
      </w:tr>
      <w:tr w:rsidR="009468BC" w:rsidRPr="0015043C" w:rsidTr="0099665D">
        <w:tc>
          <w:tcPr>
            <w:tcW w:w="4788" w:type="dxa"/>
            <w:tcBorders>
              <w:top w:val="single" w:sz="4" w:space="0" w:color="auto"/>
              <w:left w:val="single" w:sz="4" w:space="0" w:color="auto"/>
            </w:tcBorders>
            <w:shd w:val="clear" w:color="auto" w:fill="auto"/>
            <w:noWrap/>
            <w:vAlign w:val="bottom"/>
          </w:tcPr>
          <w:p w:rsidR="009468BC" w:rsidRPr="0015043C" w:rsidRDefault="009468BC" w:rsidP="0099665D">
            <w:pPr>
              <w:rPr>
                <w:rFonts w:ascii="Arial" w:hAnsi="Arial"/>
                <w:b/>
                <w:bCs/>
                <w:sz w:val="16"/>
                <w:szCs w:val="20"/>
              </w:rPr>
            </w:pPr>
          </w:p>
        </w:tc>
        <w:tc>
          <w:tcPr>
            <w:tcW w:w="1163" w:type="dxa"/>
            <w:tcBorders>
              <w:top w:val="single" w:sz="4" w:space="0" w:color="auto"/>
            </w:tcBorders>
            <w:shd w:val="clear" w:color="auto" w:fill="auto"/>
            <w:noWrap/>
            <w:vAlign w:val="bottom"/>
          </w:tcPr>
          <w:p w:rsidR="009468BC" w:rsidRPr="0015043C" w:rsidRDefault="009468BC" w:rsidP="0099665D">
            <w:pPr>
              <w:jc w:val="right"/>
              <w:rPr>
                <w:rFonts w:ascii="Arial Narrow" w:hAnsi="Arial Narrow"/>
                <w:b/>
                <w:bCs/>
                <w:sz w:val="16"/>
                <w:szCs w:val="16"/>
              </w:rPr>
            </w:pPr>
          </w:p>
        </w:tc>
        <w:tc>
          <w:tcPr>
            <w:tcW w:w="1163" w:type="dxa"/>
            <w:tcBorders>
              <w:top w:val="single" w:sz="4" w:space="0" w:color="auto"/>
            </w:tcBorders>
            <w:shd w:val="clear" w:color="auto" w:fill="auto"/>
            <w:noWrap/>
            <w:vAlign w:val="bottom"/>
          </w:tcPr>
          <w:p w:rsidR="009468BC" w:rsidRPr="0015043C" w:rsidRDefault="009468BC" w:rsidP="0099665D">
            <w:pPr>
              <w:jc w:val="right"/>
              <w:rPr>
                <w:rFonts w:ascii="Arial Narrow" w:hAnsi="Arial Narrow"/>
                <w:b/>
                <w:bCs/>
                <w:sz w:val="16"/>
                <w:szCs w:val="16"/>
              </w:rPr>
            </w:pPr>
          </w:p>
        </w:tc>
        <w:tc>
          <w:tcPr>
            <w:tcW w:w="1163" w:type="dxa"/>
            <w:tcBorders>
              <w:top w:val="single" w:sz="4" w:space="0" w:color="auto"/>
            </w:tcBorders>
            <w:shd w:val="clear" w:color="auto" w:fill="auto"/>
            <w:noWrap/>
            <w:vAlign w:val="bottom"/>
          </w:tcPr>
          <w:p w:rsidR="009468BC" w:rsidRPr="0015043C" w:rsidRDefault="009468BC" w:rsidP="0099665D">
            <w:pPr>
              <w:jc w:val="right"/>
              <w:rPr>
                <w:rFonts w:ascii="Arial Narrow" w:hAnsi="Arial Narrow"/>
                <w:b/>
                <w:bCs/>
                <w:sz w:val="16"/>
                <w:szCs w:val="16"/>
              </w:rPr>
            </w:pPr>
          </w:p>
        </w:tc>
        <w:tc>
          <w:tcPr>
            <w:tcW w:w="1163" w:type="dxa"/>
            <w:tcBorders>
              <w:top w:val="single" w:sz="4" w:space="0" w:color="auto"/>
              <w:right w:val="single" w:sz="4" w:space="0" w:color="auto"/>
            </w:tcBorders>
            <w:shd w:val="clear" w:color="auto" w:fill="auto"/>
            <w:noWrap/>
            <w:vAlign w:val="bottom"/>
          </w:tcPr>
          <w:p w:rsidR="009468BC" w:rsidRPr="0015043C" w:rsidRDefault="009468BC" w:rsidP="0099665D">
            <w:pPr>
              <w:jc w:val="right"/>
              <w:rPr>
                <w:rFonts w:ascii="Arial Narrow" w:hAnsi="Arial Narrow"/>
                <w:b/>
                <w:bCs/>
                <w:sz w:val="16"/>
                <w:szCs w:val="16"/>
              </w:rPr>
            </w:pPr>
          </w:p>
        </w:tc>
      </w:tr>
      <w:tr w:rsidR="00DB5F3C" w:rsidRPr="0015043C" w:rsidTr="00DB5F3C">
        <w:tc>
          <w:tcPr>
            <w:tcW w:w="4788" w:type="dxa"/>
            <w:tcBorders>
              <w:left w:val="single" w:sz="4" w:space="0" w:color="auto"/>
            </w:tcBorders>
            <w:shd w:val="clear" w:color="auto" w:fill="D9D9D9" w:themeFill="background1" w:themeFillShade="D9"/>
            <w:noWrap/>
            <w:vAlign w:val="bottom"/>
          </w:tcPr>
          <w:p w:rsidR="00DB5F3C" w:rsidRPr="0015043C" w:rsidRDefault="00DB5F3C" w:rsidP="0099665D">
            <w:pPr>
              <w:tabs>
                <w:tab w:val="left" w:pos="360"/>
              </w:tabs>
              <w:spacing w:before="40" w:after="40"/>
              <w:rPr>
                <w:rFonts w:ascii="Arial Narrow" w:hAnsi="Arial Narrow"/>
                <w:b/>
                <w:bCs/>
                <w:sz w:val="16"/>
                <w:szCs w:val="16"/>
              </w:rPr>
            </w:pPr>
            <w:r w:rsidRPr="0015043C">
              <w:rPr>
                <w:rFonts w:ascii="Arial" w:hAnsi="Arial"/>
                <w:b/>
                <w:bCs/>
                <w:sz w:val="16"/>
                <w:szCs w:val="20"/>
              </w:rPr>
              <w:t>Α.</w:t>
            </w:r>
            <w:r w:rsidRPr="0015043C">
              <w:rPr>
                <w:rFonts w:ascii="Arial" w:hAnsi="Arial"/>
                <w:b/>
                <w:bCs/>
                <w:sz w:val="16"/>
                <w:szCs w:val="20"/>
              </w:rPr>
              <w:tab/>
            </w:r>
            <w:r w:rsidRPr="0015043C">
              <w:rPr>
                <w:rFonts w:ascii="Arial Narrow" w:hAnsi="Arial Narrow"/>
                <w:b/>
                <w:bCs/>
                <w:sz w:val="16"/>
                <w:szCs w:val="16"/>
              </w:rPr>
              <w:t xml:space="preserve">Χρέος Κεντρικής </w:t>
            </w:r>
            <w:r>
              <w:rPr>
                <w:rFonts w:ascii="Arial Narrow" w:hAnsi="Arial Narrow"/>
                <w:b/>
                <w:bCs/>
                <w:sz w:val="16"/>
                <w:szCs w:val="16"/>
              </w:rPr>
              <w:t>Διοίκησης</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326.358</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328.704</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357.250</w:t>
            </w:r>
          </w:p>
        </w:tc>
        <w:tc>
          <w:tcPr>
            <w:tcW w:w="1163" w:type="dxa"/>
            <w:tcBorders>
              <w:right w:val="single" w:sz="4" w:space="0" w:color="auto"/>
            </w:tcBorders>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346.200</w:t>
            </w:r>
          </w:p>
        </w:tc>
      </w:tr>
      <w:tr w:rsidR="00DB5F3C" w:rsidRPr="0015043C" w:rsidTr="00DB5F3C">
        <w:tc>
          <w:tcPr>
            <w:tcW w:w="4788" w:type="dxa"/>
            <w:tcBorders>
              <w:left w:val="single" w:sz="4" w:space="0" w:color="auto"/>
            </w:tcBorders>
            <w:shd w:val="clear" w:color="auto" w:fill="auto"/>
            <w:noWrap/>
            <w:vAlign w:val="bottom"/>
          </w:tcPr>
          <w:p w:rsidR="00DB5F3C" w:rsidRPr="006A2A00" w:rsidRDefault="00DB5F3C" w:rsidP="0099665D">
            <w:pPr>
              <w:tabs>
                <w:tab w:val="left" w:pos="360"/>
              </w:tabs>
              <w:spacing w:before="40" w:after="40"/>
              <w:rPr>
                <w:rFonts w:ascii="Arial Narrow" w:hAnsi="Arial Narrow"/>
                <w:sz w:val="16"/>
                <w:szCs w:val="16"/>
              </w:rPr>
            </w:pPr>
            <w:r>
              <w:rPr>
                <w:rFonts w:ascii="Arial" w:hAnsi="Arial"/>
                <w:sz w:val="16"/>
                <w:szCs w:val="20"/>
              </w:rPr>
              <w:t>Β</w:t>
            </w:r>
            <w:r w:rsidRPr="0015043C">
              <w:rPr>
                <w:rFonts w:ascii="Arial" w:hAnsi="Arial"/>
                <w:sz w:val="16"/>
                <w:szCs w:val="20"/>
              </w:rPr>
              <w:tab/>
            </w:r>
            <w:r w:rsidRPr="0015043C">
              <w:rPr>
                <w:rFonts w:ascii="Arial Narrow" w:hAnsi="Arial Narrow"/>
                <w:sz w:val="16"/>
                <w:szCs w:val="16"/>
              </w:rPr>
              <w:t xml:space="preserve">Χρέος ΝΠ, </w:t>
            </w:r>
            <w:r>
              <w:rPr>
                <w:rFonts w:ascii="Arial Narrow" w:hAnsi="Arial Narrow"/>
                <w:sz w:val="16"/>
                <w:szCs w:val="16"/>
              </w:rPr>
              <w:t>κέρματα κ.λπ. μείον επενδύσεις σε τίτλους ΕΔ</w:t>
            </w:r>
          </w:p>
        </w:tc>
        <w:tc>
          <w:tcPr>
            <w:tcW w:w="1163" w:type="dxa"/>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607</w:t>
            </w:r>
          </w:p>
        </w:tc>
        <w:tc>
          <w:tcPr>
            <w:tcW w:w="1163" w:type="dxa"/>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-467</w:t>
            </w:r>
          </w:p>
        </w:tc>
        <w:tc>
          <w:tcPr>
            <w:tcW w:w="1163" w:type="dxa"/>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-5.650</w:t>
            </w:r>
          </w:p>
        </w:tc>
        <w:tc>
          <w:tcPr>
            <w:tcW w:w="1163" w:type="dxa"/>
            <w:tcBorders>
              <w:right w:val="single" w:sz="4" w:space="0" w:color="auto"/>
            </w:tcBorders>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-5.700</w:t>
            </w:r>
          </w:p>
        </w:tc>
      </w:tr>
      <w:tr w:rsidR="00DB5F3C" w:rsidRPr="0015043C" w:rsidTr="00DB5F3C">
        <w:tc>
          <w:tcPr>
            <w:tcW w:w="4788" w:type="dxa"/>
            <w:tcBorders>
              <w:left w:val="single" w:sz="4" w:space="0" w:color="auto"/>
            </w:tcBorders>
            <w:shd w:val="clear" w:color="auto" w:fill="D9D9D9" w:themeFill="background1" w:themeFillShade="D9"/>
            <w:noWrap/>
            <w:vAlign w:val="bottom"/>
          </w:tcPr>
          <w:p w:rsidR="00DB5F3C" w:rsidRPr="0015043C" w:rsidRDefault="00DB5F3C" w:rsidP="0099665D">
            <w:pPr>
              <w:tabs>
                <w:tab w:val="left" w:pos="360"/>
              </w:tabs>
              <w:spacing w:before="40" w:after="40"/>
              <w:rPr>
                <w:rFonts w:ascii="Arial Narrow" w:hAnsi="Arial Narrow"/>
                <w:b/>
                <w:bCs/>
                <w:sz w:val="16"/>
                <w:szCs w:val="16"/>
              </w:rPr>
            </w:pPr>
            <w:r w:rsidRPr="0015043C">
              <w:rPr>
                <w:rFonts w:ascii="Arial" w:hAnsi="Arial"/>
                <w:b/>
                <w:bCs/>
                <w:sz w:val="16"/>
                <w:szCs w:val="20"/>
              </w:rPr>
              <w:t>Γ.</w:t>
            </w:r>
            <w:r w:rsidRPr="0015043C">
              <w:rPr>
                <w:rFonts w:ascii="Arial" w:hAnsi="Arial"/>
                <w:b/>
                <w:bCs/>
                <w:sz w:val="16"/>
                <w:szCs w:val="20"/>
              </w:rPr>
              <w:tab/>
            </w:r>
            <w:r w:rsidRPr="0015043C">
              <w:rPr>
                <w:rFonts w:ascii="Arial Narrow" w:hAnsi="Arial Narrow"/>
                <w:b/>
                <w:bCs/>
                <w:sz w:val="16"/>
                <w:szCs w:val="16"/>
              </w:rPr>
              <w:t>Χρέος Κεντρικής Κυβέρνησης κατά ESA (A+B)</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326.965</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328.237</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351.600</w:t>
            </w:r>
          </w:p>
        </w:tc>
        <w:tc>
          <w:tcPr>
            <w:tcW w:w="1163" w:type="dxa"/>
            <w:tcBorders>
              <w:right w:val="single" w:sz="4" w:space="0" w:color="auto"/>
            </w:tcBorders>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340.500</w:t>
            </w:r>
          </w:p>
        </w:tc>
      </w:tr>
      <w:tr w:rsidR="00DB5F3C" w:rsidRPr="0015043C" w:rsidTr="00DB5F3C">
        <w:tc>
          <w:tcPr>
            <w:tcW w:w="4788" w:type="dxa"/>
            <w:tcBorders>
              <w:left w:val="single" w:sz="4" w:space="0" w:color="auto"/>
            </w:tcBorders>
            <w:shd w:val="clear" w:color="auto" w:fill="auto"/>
            <w:noWrap/>
            <w:vAlign w:val="bottom"/>
          </w:tcPr>
          <w:p w:rsidR="00DB5F3C" w:rsidRPr="0015043C" w:rsidRDefault="00DB5F3C" w:rsidP="0099665D">
            <w:pPr>
              <w:tabs>
                <w:tab w:val="left" w:pos="360"/>
              </w:tabs>
              <w:spacing w:before="40" w:after="40"/>
              <w:rPr>
                <w:rFonts w:ascii="Arial Narrow" w:hAnsi="Arial Narrow"/>
                <w:sz w:val="16"/>
                <w:szCs w:val="16"/>
              </w:rPr>
            </w:pPr>
            <w:r>
              <w:rPr>
                <w:rFonts w:ascii="Arial" w:hAnsi="Arial"/>
                <w:sz w:val="16"/>
                <w:szCs w:val="20"/>
              </w:rPr>
              <w:t>Δ</w:t>
            </w:r>
            <w:r w:rsidRPr="0015043C">
              <w:rPr>
                <w:rFonts w:ascii="Arial" w:hAnsi="Arial"/>
                <w:sz w:val="16"/>
                <w:szCs w:val="20"/>
              </w:rPr>
              <w:tab/>
            </w:r>
            <w:r w:rsidRPr="0015043C">
              <w:rPr>
                <w:rFonts w:ascii="Arial Narrow" w:hAnsi="Arial Narrow"/>
                <w:sz w:val="16"/>
                <w:szCs w:val="16"/>
              </w:rPr>
              <w:t>Χρέος ΟΤΑ, OKA</w:t>
            </w:r>
            <w:r>
              <w:rPr>
                <w:rFonts w:ascii="Arial Narrow" w:hAnsi="Arial Narrow"/>
                <w:sz w:val="16"/>
                <w:szCs w:val="16"/>
              </w:rPr>
              <w:t xml:space="preserve"> μείον ενδοκυβερνητικό χρέος</w:t>
            </w:r>
          </w:p>
        </w:tc>
        <w:tc>
          <w:tcPr>
            <w:tcW w:w="1163" w:type="dxa"/>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-11.954</w:t>
            </w:r>
          </w:p>
        </w:tc>
        <w:tc>
          <w:tcPr>
            <w:tcW w:w="1163" w:type="dxa"/>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-10.823</w:t>
            </w:r>
          </w:p>
        </w:tc>
        <w:tc>
          <w:tcPr>
            <w:tcW w:w="1163" w:type="dxa"/>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-16.600</w:t>
            </w:r>
          </w:p>
        </w:tc>
        <w:tc>
          <w:tcPr>
            <w:tcW w:w="1163" w:type="dxa"/>
            <w:tcBorders>
              <w:right w:val="single" w:sz="4" w:space="0" w:color="auto"/>
            </w:tcBorders>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-17.000</w:t>
            </w:r>
          </w:p>
        </w:tc>
      </w:tr>
      <w:tr w:rsidR="00DB5F3C" w:rsidRPr="0015043C" w:rsidTr="00DB5F3C">
        <w:tc>
          <w:tcPr>
            <w:tcW w:w="4788" w:type="dxa"/>
            <w:tcBorders>
              <w:left w:val="single" w:sz="4" w:space="0" w:color="auto"/>
            </w:tcBorders>
            <w:shd w:val="clear" w:color="auto" w:fill="D9D9D9" w:themeFill="background1" w:themeFillShade="D9"/>
            <w:noWrap/>
            <w:vAlign w:val="bottom"/>
          </w:tcPr>
          <w:p w:rsidR="00DB5F3C" w:rsidRPr="0015043C" w:rsidRDefault="00DB5F3C" w:rsidP="0099665D">
            <w:pPr>
              <w:tabs>
                <w:tab w:val="left" w:pos="360"/>
              </w:tabs>
              <w:spacing w:before="40" w:after="40"/>
              <w:rPr>
                <w:rFonts w:ascii="Arial Narrow" w:hAnsi="Arial Narrow"/>
                <w:b/>
                <w:bCs/>
                <w:sz w:val="16"/>
                <w:szCs w:val="16"/>
              </w:rPr>
            </w:pPr>
            <w:r w:rsidRPr="0015043C">
              <w:rPr>
                <w:rFonts w:ascii="Arial" w:hAnsi="Arial"/>
                <w:b/>
                <w:bCs/>
                <w:sz w:val="16"/>
                <w:szCs w:val="20"/>
              </w:rPr>
              <w:t>Ε.</w:t>
            </w:r>
            <w:r w:rsidRPr="0015043C">
              <w:rPr>
                <w:rFonts w:ascii="Arial" w:hAnsi="Arial"/>
                <w:b/>
                <w:bCs/>
                <w:sz w:val="16"/>
                <w:szCs w:val="20"/>
              </w:rPr>
              <w:tab/>
            </w:r>
            <w:r w:rsidRPr="0015043C">
              <w:rPr>
                <w:rFonts w:ascii="Arial Narrow" w:hAnsi="Arial Narrow"/>
                <w:b/>
                <w:bCs/>
                <w:sz w:val="16"/>
                <w:szCs w:val="16"/>
              </w:rPr>
              <w:t>Χρέος Γενικής Κυβέρνησης (Γ+Δ)</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315.011</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317.414</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335.000</w:t>
            </w:r>
          </w:p>
        </w:tc>
        <w:tc>
          <w:tcPr>
            <w:tcW w:w="1163" w:type="dxa"/>
            <w:tcBorders>
              <w:right w:val="single" w:sz="4" w:space="0" w:color="auto"/>
            </w:tcBorders>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323.500</w:t>
            </w:r>
          </w:p>
        </w:tc>
      </w:tr>
      <w:tr w:rsidR="00DB5F3C" w:rsidRPr="0015043C" w:rsidTr="00DB5F3C">
        <w:tc>
          <w:tcPr>
            <w:tcW w:w="4788" w:type="dxa"/>
            <w:tcBorders>
              <w:left w:val="single" w:sz="4" w:space="0" w:color="auto"/>
            </w:tcBorders>
            <w:shd w:val="clear" w:color="auto" w:fill="D9D9D9" w:themeFill="background1" w:themeFillShade="D9"/>
            <w:noWrap/>
            <w:vAlign w:val="bottom"/>
          </w:tcPr>
          <w:p w:rsidR="00DB5F3C" w:rsidRPr="0015043C" w:rsidRDefault="00DB5F3C" w:rsidP="0099665D">
            <w:pPr>
              <w:tabs>
                <w:tab w:val="left" w:pos="360"/>
              </w:tabs>
              <w:spacing w:before="40" w:after="40"/>
              <w:rPr>
                <w:rFonts w:ascii="Arial Narrow" w:hAnsi="Arial Narrow"/>
                <w:sz w:val="16"/>
                <w:szCs w:val="16"/>
              </w:rPr>
            </w:pPr>
            <w:r w:rsidRPr="0015043C">
              <w:rPr>
                <w:rFonts w:ascii="Arial Narrow" w:hAnsi="Arial Narrow"/>
                <w:sz w:val="16"/>
                <w:szCs w:val="16"/>
              </w:rPr>
              <w:t> </w:t>
            </w:r>
            <w:r w:rsidRPr="0015043C">
              <w:rPr>
                <w:rFonts w:ascii="Arial Narrow" w:hAnsi="Arial Narrow"/>
                <w:sz w:val="16"/>
                <w:szCs w:val="16"/>
              </w:rPr>
              <w:tab/>
            </w:r>
            <w:r w:rsidRPr="0015043C">
              <w:rPr>
                <w:rFonts w:ascii="Arial Narrow" w:hAnsi="Arial Narrow"/>
                <w:b/>
                <w:bCs/>
                <w:sz w:val="16"/>
                <w:szCs w:val="16"/>
              </w:rPr>
              <w:t>(ως % του ΑΕΠ)</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178,5%</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176,1%</w:t>
            </w:r>
          </w:p>
        </w:tc>
        <w:tc>
          <w:tcPr>
            <w:tcW w:w="1163" w:type="dxa"/>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180,4%</w:t>
            </w:r>
          </w:p>
        </w:tc>
        <w:tc>
          <w:tcPr>
            <w:tcW w:w="1163" w:type="dxa"/>
            <w:tcBorders>
              <w:right w:val="single" w:sz="4" w:space="0" w:color="auto"/>
            </w:tcBorders>
            <w:shd w:val="clear" w:color="auto" w:fill="D9D9D9" w:themeFill="background1" w:themeFillShade="D9"/>
            <w:noWrap/>
            <w:vAlign w:val="center"/>
          </w:tcPr>
          <w:p w:rsidR="00DB5F3C" w:rsidRDefault="00DB5F3C" w:rsidP="00DB5F3C">
            <w:pPr>
              <w:ind w:right="227"/>
              <w:jc w:val="right"/>
              <w:rPr>
                <w:rFonts w:ascii="Arial Narrow" w:hAnsi="Arial Narrow" w:cs="Arial"/>
                <w:b/>
                <w:bCs/>
                <w:sz w:val="16"/>
                <w:szCs w:val="16"/>
              </w:rPr>
            </w:pPr>
            <w:r>
              <w:rPr>
                <w:rFonts w:ascii="Arial Narrow" w:hAnsi="Arial Narrow" w:cs="Arial"/>
                <w:b/>
                <w:bCs/>
                <w:sz w:val="16"/>
                <w:szCs w:val="16"/>
              </w:rPr>
              <w:t>167,8%</w:t>
            </w:r>
          </w:p>
        </w:tc>
      </w:tr>
      <w:tr w:rsidR="00DB5F3C" w:rsidRPr="0015043C" w:rsidTr="00DB5F3C">
        <w:tc>
          <w:tcPr>
            <w:tcW w:w="4788" w:type="dxa"/>
            <w:tcBorders>
              <w:left w:val="single" w:sz="4" w:space="0" w:color="auto"/>
              <w:bottom w:val="single" w:sz="4" w:space="0" w:color="auto"/>
            </w:tcBorders>
            <w:shd w:val="clear" w:color="auto" w:fill="auto"/>
            <w:noWrap/>
            <w:vAlign w:val="bottom"/>
          </w:tcPr>
          <w:p w:rsidR="00DB5F3C" w:rsidRPr="0015043C" w:rsidRDefault="00DB5F3C" w:rsidP="0099665D">
            <w:pPr>
              <w:spacing w:before="40" w:after="40"/>
              <w:rPr>
                <w:rFonts w:ascii="Arial Narrow" w:hAnsi="Arial Narrow"/>
                <w:sz w:val="16"/>
                <w:szCs w:val="16"/>
              </w:rPr>
            </w:pPr>
            <w:r w:rsidRPr="0015043C">
              <w:rPr>
                <w:rFonts w:ascii="Arial Narrow" w:hAnsi="Arial Narrow"/>
                <w:sz w:val="16"/>
                <w:szCs w:val="16"/>
              </w:rPr>
              <w:t>ΑΕΠ</w:t>
            </w:r>
          </w:p>
        </w:tc>
        <w:tc>
          <w:tcPr>
            <w:tcW w:w="1163" w:type="dxa"/>
            <w:tcBorders>
              <w:bottom w:val="single" w:sz="4" w:space="0" w:color="auto"/>
            </w:tcBorders>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176.488</w:t>
            </w:r>
          </w:p>
        </w:tc>
        <w:tc>
          <w:tcPr>
            <w:tcW w:w="1163" w:type="dxa"/>
            <w:tcBorders>
              <w:bottom w:val="single" w:sz="4" w:space="0" w:color="auto"/>
            </w:tcBorders>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180.218</w:t>
            </w:r>
          </w:p>
        </w:tc>
        <w:tc>
          <w:tcPr>
            <w:tcW w:w="1163" w:type="dxa"/>
            <w:tcBorders>
              <w:bottom w:val="single" w:sz="4" w:space="0" w:color="auto"/>
            </w:tcBorders>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185.658</w:t>
            </w:r>
          </w:p>
        </w:tc>
        <w:tc>
          <w:tcPr>
            <w:tcW w:w="1163" w:type="dxa"/>
            <w:tcBorders>
              <w:bottom w:val="single" w:sz="4" w:space="0" w:color="auto"/>
              <w:right w:val="single" w:sz="4" w:space="0" w:color="auto"/>
            </w:tcBorders>
            <w:shd w:val="clear" w:color="auto" w:fill="auto"/>
            <w:noWrap/>
            <w:vAlign w:val="center"/>
          </w:tcPr>
          <w:p w:rsidR="00DB5F3C" w:rsidRDefault="00DB5F3C" w:rsidP="00DB5F3C">
            <w:pPr>
              <w:ind w:right="227"/>
              <w:jc w:val="right"/>
              <w:rPr>
                <w:rFonts w:ascii="Arial Narrow" w:hAnsi="Arial Narrow" w:cs="Arial"/>
                <w:sz w:val="16"/>
                <w:szCs w:val="16"/>
              </w:rPr>
            </w:pPr>
            <w:r>
              <w:rPr>
                <w:rFonts w:ascii="Arial Narrow" w:hAnsi="Arial Narrow" w:cs="Arial"/>
                <w:sz w:val="16"/>
                <w:szCs w:val="16"/>
              </w:rPr>
              <w:t>192.749</w:t>
            </w:r>
          </w:p>
        </w:tc>
      </w:tr>
    </w:tbl>
    <w:p w:rsidR="009468BC" w:rsidRPr="005E6798" w:rsidRDefault="009468BC" w:rsidP="009468BC">
      <w:pPr>
        <w:tabs>
          <w:tab w:val="left" w:pos="426"/>
        </w:tabs>
        <w:spacing w:line="228" w:lineRule="auto"/>
        <w:ind w:left="426" w:right="-285" w:hanging="426"/>
        <w:jc w:val="both"/>
        <w:rPr>
          <w:rFonts w:ascii="Arial Narrow" w:hAnsi="Arial Narrow"/>
          <w:sz w:val="18"/>
          <w:szCs w:val="16"/>
        </w:rPr>
      </w:pPr>
      <w:r w:rsidRPr="005E6798">
        <w:rPr>
          <w:rFonts w:ascii="Arial Narrow" w:hAnsi="Arial Narrow"/>
          <w:sz w:val="18"/>
          <w:szCs w:val="16"/>
        </w:rPr>
        <w:t>*</w:t>
      </w:r>
      <w:r w:rsidRPr="005E6798">
        <w:rPr>
          <w:rFonts w:ascii="Arial Narrow" w:hAnsi="Arial Narrow"/>
          <w:sz w:val="18"/>
          <w:szCs w:val="16"/>
        </w:rPr>
        <w:tab/>
        <w:t>Εκτιμήσεις</w:t>
      </w:r>
      <w:r>
        <w:rPr>
          <w:rFonts w:ascii="Arial Narrow" w:hAnsi="Arial Narrow"/>
          <w:sz w:val="18"/>
          <w:szCs w:val="16"/>
          <w:lang w:val="en-GB"/>
        </w:rPr>
        <w:t xml:space="preserve"> </w:t>
      </w:r>
      <w:r w:rsidRPr="005E6798">
        <w:rPr>
          <w:rFonts w:ascii="Arial Narrow" w:hAnsi="Arial Narrow"/>
          <w:sz w:val="18"/>
          <w:szCs w:val="16"/>
        </w:rPr>
        <w:t xml:space="preserve"> **</w:t>
      </w:r>
      <w:r w:rsidRPr="005E6798">
        <w:rPr>
          <w:rFonts w:ascii="Arial Narrow" w:hAnsi="Arial Narrow"/>
          <w:sz w:val="18"/>
          <w:szCs w:val="16"/>
        </w:rPr>
        <w:tab/>
        <w:t>Προβλέψεις</w:t>
      </w:r>
    </w:p>
    <w:p w:rsidR="009468BC" w:rsidRDefault="009468BC" w:rsidP="009468BC">
      <w:pPr>
        <w:tabs>
          <w:tab w:val="left" w:pos="180"/>
        </w:tabs>
        <w:jc w:val="both"/>
        <w:rPr>
          <w:rFonts w:ascii="Arial Narrow" w:hAnsi="Arial Narrow"/>
          <w:sz w:val="16"/>
          <w:szCs w:val="16"/>
        </w:rPr>
      </w:pPr>
      <w:r w:rsidRPr="00666622">
        <w:rPr>
          <w:rFonts w:ascii="Arial Narrow" w:hAnsi="Arial Narrow"/>
          <w:sz w:val="18"/>
          <w:szCs w:val="16"/>
        </w:rPr>
        <w:t xml:space="preserve">Πηγή:  </w:t>
      </w:r>
      <w:r>
        <w:rPr>
          <w:rFonts w:ascii="Arial Narrow" w:hAnsi="Arial Narrow"/>
          <w:sz w:val="16"/>
          <w:szCs w:val="16"/>
        </w:rPr>
        <w:t>ΟΔΔΗΧ</w:t>
      </w:r>
    </w:p>
    <w:p w:rsidR="00051FB5" w:rsidRPr="006A2A00" w:rsidRDefault="00051FB5" w:rsidP="00051FB5">
      <w:pPr>
        <w:tabs>
          <w:tab w:val="left" w:pos="180"/>
        </w:tabs>
        <w:jc w:val="both"/>
        <w:rPr>
          <w:b/>
          <w:bCs/>
          <w:sz w:val="22"/>
          <w:szCs w:val="22"/>
        </w:rPr>
      </w:pPr>
    </w:p>
    <w:p w:rsidR="00051FB5" w:rsidRPr="006A2A00" w:rsidRDefault="00051FB5" w:rsidP="00051FB5">
      <w:pPr>
        <w:shd w:val="clear" w:color="auto" w:fill="595959" w:themeFill="text1" w:themeFillTint="A6"/>
        <w:jc w:val="both"/>
        <w:rPr>
          <w:rFonts w:ascii="Arial Narrow" w:hAnsi="Arial Narrow"/>
          <w:b/>
          <w:bCs/>
          <w:color w:val="FFFFFF"/>
          <w:sz w:val="26"/>
          <w:szCs w:val="22"/>
        </w:rPr>
      </w:pPr>
      <w:r w:rsidRPr="006A2A00">
        <w:rPr>
          <w:rFonts w:ascii="Arial Narrow" w:hAnsi="Arial Narrow"/>
          <w:b/>
          <w:bCs/>
          <w:color w:val="FFFFFF"/>
          <w:sz w:val="26"/>
          <w:szCs w:val="22"/>
        </w:rPr>
        <w:t>2.</w:t>
      </w:r>
      <w:r w:rsidRPr="006A2A00">
        <w:rPr>
          <w:rFonts w:ascii="Arial Narrow" w:hAnsi="Arial Narrow"/>
          <w:b/>
          <w:bCs/>
          <w:color w:val="FFFFFF"/>
          <w:sz w:val="26"/>
          <w:szCs w:val="22"/>
        </w:rPr>
        <w:tab/>
        <w:t>Εξέλιξη δημ</w:t>
      </w:r>
      <w:r>
        <w:rPr>
          <w:rFonts w:ascii="Arial Narrow" w:hAnsi="Arial Narrow"/>
          <w:b/>
          <w:bCs/>
          <w:color w:val="FFFFFF"/>
          <w:sz w:val="26"/>
          <w:szCs w:val="22"/>
        </w:rPr>
        <w:t>όσιου</w:t>
      </w:r>
      <w:r w:rsidRPr="006A2A00">
        <w:rPr>
          <w:rFonts w:ascii="Arial Narrow" w:hAnsi="Arial Narrow"/>
          <w:b/>
          <w:bCs/>
          <w:color w:val="FFFFFF"/>
          <w:sz w:val="26"/>
          <w:szCs w:val="22"/>
        </w:rPr>
        <w:t xml:space="preserve"> χρέους</w:t>
      </w:r>
      <w:r>
        <w:rPr>
          <w:rFonts w:ascii="Arial Narrow" w:hAnsi="Arial Narrow"/>
          <w:b/>
          <w:bCs/>
          <w:color w:val="FFFFFF"/>
          <w:sz w:val="26"/>
          <w:szCs w:val="22"/>
        </w:rPr>
        <w:t xml:space="preserve"> Γενικής Κυβέρνησης</w:t>
      </w:r>
    </w:p>
    <w:p w:rsidR="00051FB5" w:rsidRPr="006A2A00" w:rsidRDefault="00051FB5" w:rsidP="00051FB5">
      <w:pPr>
        <w:jc w:val="both"/>
        <w:rPr>
          <w:sz w:val="22"/>
          <w:szCs w:val="22"/>
        </w:rPr>
      </w:pPr>
    </w:p>
    <w:p w:rsidR="00051FB5" w:rsidRDefault="00051FB5" w:rsidP="00051FB5">
      <w:pPr>
        <w:autoSpaceDE w:val="0"/>
        <w:autoSpaceDN w:val="0"/>
        <w:adjustRightInd w:val="0"/>
        <w:jc w:val="both"/>
        <w:rPr>
          <w:sz w:val="22"/>
          <w:szCs w:val="22"/>
        </w:rPr>
      </w:pPr>
      <w:r w:rsidRPr="00023C5A">
        <w:rPr>
          <w:sz w:val="22"/>
          <w:szCs w:val="22"/>
        </w:rPr>
        <w:t>Το χρέος της γενικής κυβέρνησης από 31/12/2017 μέχρι 31/12/2018 εκτιμάται ότι θα αυξηθεί κατά 17.586 εκατ. ευρώ, ενώ για το διάστημα από 31/12/2018 μέχρι 31/12/2019 το χρέος της γενικής κ</w:t>
      </w:r>
      <w:r w:rsidRPr="00023C5A">
        <w:rPr>
          <w:sz w:val="22"/>
          <w:szCs w:val="22"/>
        </w:rPr>
        <w:t>υ</w:t>
      </w:r>
      <w:r w:rsidRPr="00023C5A">
        <w:rPr>
          <w:sz w:val="22"/>
          <w:szCs w:val="22"/>
        </w:rPr>
        <w:t xml:space="preserve">βέρνησης προβλέπεται ότι θα μειωθεί κατά 11.500 εκατ. ευρώ. Η αύξηση του </w:t>
      </w:r>
      <w:r>
        <w:rPr>
          <w:sz w:val="22"/>
          <w:szCs w:val="22"/>
        </w:rPr>
        <w:t>χρέους γενικής κυβέ</w:t>
      </w:r>
      <w:r>
        <w:rPr>
          <w:sz w:val="22"/>
          <w:szCs w:val="22"/>
        </w:rPr>
        <w:t>ρ</w:t>
      </w:r>
      <w:r>
        <w:rPr>
          <w:sz w:val="22"/>
          <w:szCs w:val="22"/>
        </w:rPr>
        <w:t xml:space="preserve">νησης κατά το </w:t>
      </w:r>
      <w:r w:rsidRPr="00023C5A">
        <w:rPr>
          <w:sz w:val="22"/>
          <w:szCs w:val="22"/>
        </w:rPr>
        <w:t>2018 οφείλεται στη δημιουργία ταμειακών διαθεσίμων ασφαλείας (cash buffer)</w:t>
      </w:r>
      <w:r w:rsidR="00977014">
        <w:rPr>
          <w:sz w:val="22"/>
          <w:szCs w:val="22"/>
        </w:rPr>
        <w:t>,</w:t>
      </w:r>
      <w:r w:rsidRPr="00023C5A">
        <w:rPr>
          <w:sz w:val="22"/>
          <w:szCs w:val="22"/>
        </w:rPr>
        <w:t xml:space="preserve"> εκ τ</w:t>
      </w:r>
      <w:r>
        <w:rPr>
          <w:sz w:val="22"/>
          <w:szCs w:val="22"/>
        </w:rPr>
        <w:t>ων</w:t>
      </w:r>
      <w:r w:rsidRPr="00023C5A">
        <w:rPr>
          <w:sz w:val="22"/>
          <w:szCs w:val="22"/>
        </w:rPr>
        <w:t xml:space="preserve"> οποί</w:t>
      </w:r>
      <w:r>
        <w:rPr>
          <w:sz w:val="22"/>
          <w:szCs w:val="22"/>
        </w:rPr>
        <w:t>ων</w:t>
      </w:r>
      <w:r w:rsidRPr="00023C5A">
        <w:rPr>
          <w:sz w:val="22"/>
          <w:szCs w:val="22"/>
        </w:rPr>
        <w:t xml:space="preserve"> θα γίνει μερική χρήση το 2019 (πίνακας 4.3).</w:t>
      </w:r>
      <w:r w:rsidRPr="002A762E">
        <w:rPr>
          <w:sz w:val="22"/>
          <w:szCs w:val="22"/>
        </w:rPr>
        <w:t xml:space="preserve"> </w:t>
      </w:r>
    </w:p>
    <w:p w:rsidR="00051FB5" w:rsidRDefault="00051FB5" w:rsidP="00051FB5">
      <w:pPr>
        <w:autoSpaceDE w:val="0"/>
        <w:autoSpaceDN w:val="0"/>
        <w:adjustRightInd w:val="0"/>
        <w:jc w:val="both"/>
        <w:rPr>
          <w:sz w:val="22"/>
          <w:szCs w:val="22"/>
        </w:rPr>
      </w:pPr>
    </w:p>
    <w:tbl>
      <w:tblPr>
        <w:tblW w:w="8432" w:type="dxa"/>
        <w:jc w:val="center"/>
        <w:tblLayout w:type="fixed"/>
        <w:tblLook w:val="0000"/>
      </w:tblPr>
      <w:tblGrid>
        <w:gridCol w:w="4608"/>
        <w:gridCol w:w="1559"/>
        <w:gridCol w:w="1389"/>
        <w:gridCol w:w="876"/>
      </w:tblGrid>
      <w:tr w:rsidR="00C2574D" w:rsidRPr="0015043C" w:rsidTr="0099665D">
        <w:trPr>
          <w:trHeight w:val="520"/>
          <w:jc w:val="center"/>
        </w:trPr>
        <w:tc>
          <w:tcPr>
            <w:tcW w:w="8432" w:type="dxa"/>
            <w:gridSpan w:val="4"/>
            <w:tcBorders>
              <w:top w:val="single" w:sz="4" w:space="0" w:color="auto"/>
              <w:left w:val="single" w:sz="4" w:space="0" w:color="auto"/>
              <w:right w:val="single" w:sz="4" w:space="0" w:color="auto"/>
            </w:tcBorders>
            <w:shd w:val="clear" w:color="auto" w:fill="404040" w:themeFill="text1" w:themeFillTint="BF"/>
            <w:noWrap/>
            <w:tcMar>
              <w:left w:w="28" w:type="dxa"/>
              <w:right w:w="28" w:type="dxa"/>
            </w:tcMar>
            <w:vAlign w:val="center"/>
          </w:tcPr>
          <w:p w:rsidR="00C2574D" w:rsidRPr="006A2A00" w:rsidRDefault="00C2574D" w:rsidP="0099665D">
            <w:pPr>
              <w:spacing w:before="120"/>
              <w:jc w:val="center"/>
              <w:rPr>
                <w:rFonts w:ascii="Arial Narrow" w:hAnsi="Arial Narrow"/>
                <w:b/>
                <w:bCs/>
                <w:color w:val="FFFFFF"/>
                <w:szCs w:val="16"/>
              </w:rPr>
            </w:pPr>
            <w:r>
              <w:rPr>
                <w:rFonts w:ascii="Arial Narrow" w:hAnsi="Arial Narrow"/>
                <w:b/>
                <w:bCs/>
                <w:color w:val="FFFFFF"/>
                <w:szCs w:val="16"/>
              </w:rPr>
              <w:t>Πίνακας 4</w:t>
            </w:r>
            <w:r w:rsidRPr="006A2A00">
              <w:rPr>
                <w:rFonts w:ascii="Arial Narrow" w:hAnsi="Arial Narrow"/>
                <w:b/>
                <w:bCs/>
                <w:color w:val="FFFFFF"/>
                <w:szCs w:val="16"/>
              </w:rPr>
              <w:t>.3  Εξέλιξη δημ</w:t>
            </w:r>
            <w:r>
              <w:rPr>
                <w:rFonts w:ascii="Arial Narrow" w:hAnsi="Arial Narrow"/>
                <w:b/>
                <w:bCs/>
                <w:color w:val="FFFFFF"/>
                <w:szCs w:val="16"/>
              </w:rPr>
              <w:t>όσιου</w:t>
            </w:r>
            <w:r w:rsidRPr="006A2A00">
              <w:rPr>
                <w:rFonts w:ascii="Arial Narrow" w:hAnsi="Arial Narrow"/>
                <w:b/>
                <w:bCs/>
                <w:color w:val="FFFFFF"/>
                <w:szCs w:val="16"/>
              </w:rPr>
              <w:t xml:space="preserve"> χρέους</w:t>
            </w:r>
            <w:r>
              <w:rPr>
                <w:rFonts w:ascii="Arial Narrow" w:hAnsi="Arial Narrow"/>
                <w:b/>
                <w:bCs/>
                <w:color w:val="FFFFFF"/>
                <w:szCs w:val="16"/>
              </w:rPr>
              <w:t xml:space="preserve"> Γενικής Κυβέρνησης</w:t>
            </w:r>
          </w:p>
          <w:p w:rsidR="00C2574D" w:rsidRPr="0015043C" w:rsidRDefault="00C2574D" w:rsidP="0099665D">
            <w:pPr>
              <w:spacing w:after="120"/>
              <w:jc w:val="center"/>
              <w:rPr>
                <w:rFonts w:ascii="Arial Narrow" w:hAnsi="Arial Narrow"/>
                <w:b/>
                <w:bCs/>
                <w:color w:val="FFFFFF"/>
                <w:szCs w:val="16"/>
              </w:rPr>
            </w:pPr>
            <w:r w:rsidRPr="0015043C">
              <w:rPr>
                <w:rFonts w:ascii="Arial Narrow" w:hAnsi="Arial Narrow"/>
                <w:b/>
                <w:bCs/>
                <w:color w:val="FFFFFF"/>
                <w:szCs w:val="16"/>
              </w:rPr>
              <w:t>(σε εκατ. ευρώ)</w:t>
            </w:r>
          </w:p>
        </w:tc>
      </w:tr>
      <w:tr w:rsidR="00C2574D" w:rsidRPr="00E304E4" w:rsidTr="0099665D">
        <w:trPr>
          <w:trHeight w:val="170"/>
          <w:jc w:val="center"/>
        </w:trPr>
        <w:tc>
          <w:tcPr>
            <w:tcW w:w="8432" w:type="dxa"/>
            <w:gridSpan w:val="4"/>
            <w:tcBorders>
              <w:left w:val="single" w:sz="4" w:space="0" w:color="auto"/>
              <w:bottom w:val="single" w:sz="4" w:space="0" w:color="auto"/>
              <w:right w:val="single" w:sz="4" w:space="0" w:color="auto"/>
            </w:tcBorders>
            <w:shd w:val="clear" w:color="auto" w:fill="auto"/>
            <w:noWrap/>
            <w:tcMar>
              <w:left w:w="28" w:type="dxa"/>
              <w:right w:w="28" w:type="dxa"/>
            </w:tcMar>
            <w:vAlign w:val="center"/>
          </w:tcPr>
          <w:p w:rsidR="00C2574D" w:rsidRPr="00E304E4" w:rsidRDefault="00C2574D" w:rsidP="0099665D">
            <w:pPr>
              <w:jc w:val="center"/>
              <w:rPr>
                <w:rFonts w:ascii="Arial Narrow" w:hAnsi="Arial Narrow"/>
                <w:b/>
                <w:bCs/>
                <w:color w:val="FFFFFF"/>
                <w:sz w:val="16"/>
                <w:szCs w:val="16"/>
              </w:rPr>
            </w:pPr>
          </w:p>
        </w:tc>
      </w:tr>
      <w:tr w:rsidR="00C2574D" w:rsidRPr="0015043C" w:rsidTr="0099665D">
        <w:trPr>
          <w:trHeight w:val="170"/>
          <w:jc w:val="center"/>
        </w:trPr>
        <w:tc>
          <w:tcPr>
            <w:tcW w:w="4608"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bottom"/>
          </w:tcPr>
          <w:p w:rsidR="00C2574D" w:rsidRPr="0015043C" w:rsidRDefault="00C2574D" w:rsidP="0099665D">
            <w:pPr>
              <w:jc w:val="right"/>
              <w:rPr>
                <w:rFonts w:ascii="Arial Narrow" w:hAnsi="Arial Narrow"/>
                <w:b/>
                <w:bCs/>
                <w:sz w:val="16"/>
                <w:szCs w:val="16"/>
              </w:rPr>
            </w:pPr>
            <w:r w:rsidRPr="0015043C">
              <w:rPr>
                <w:rFonts w:ascii="Arial Narrow" w:hAnsi="Arial Narrow"/>
                <w:b/>
                <w:bCs/>
                <w:sz w:val="16"/>
                <w:szCs w:val="16"/>
              </w:rPr>
              <w:t> </w:t>
            </w:r>
          </w:p>
          <w:p w:rsidR="00C2574D" w:rsidRPr="0015043C" w:rsidRDefault="00C2574D" w:rsidP="0099665D">
            <w:pPr>
              <w:rPr>
                <w:rFonts w:ascii="Arial Narrow" w:hAnsi="Arial Narrow"/>
                <w:b/>
                <w:bCs/>
                <w:sz w:val="16"/>
                <w:szCs w:val="16"/>
              </w:rPr>
            </w:pPr>
            <w:r w:rsidRPr="0015043C">
              <w:rPr>
                <w:rFonts w:ascii="Arial Narrow" w:hAnsi="Arial Narrow"/>
                <w:b/>
                <w:bCs/>
                <w:sz w:val="16"/>
                <w:szCs w:val="16"/>
              </w:rPr>
              <w:t> </w:t>
            </w:r>
          </w:p>
          <w:p w:rsidR="00C2574D" w:rsidRPr="0015043C" w:rsidRDefault="00C2574D" w:rsidP="0099665D">
            <w:pPr>
              <w:jc w:val="right"/>
              <w:rPr>
                <w:rFonts w:ascii="Arial Narrow" w:hAnsi="Arial Narrow"/>
                <w:b/>
                <w:bCs/>
                <w:sz w:val="16"/>
                <w:szCs w:val="16"/>
              </w:rPr>
            </w:pPr>
            <w:r w:rsidRPr="0015043C">
              <w:rPr>
                <w:rFonts w:ascii="Arial Narrow" w:hAnsi="Arial Narrow"/>
                <w:b/>
                <w:bCs/>
                <w:sz w:val="16"/>
                <w:szCs w:val="16"/>
              </w:rPr>
              <w:t> </w:t>
            </w:r>
          </w:p>
          <w:p w:rsidR="00C2574D" w:rsidRPr="0015043C" w:rsidRDefault="00C2574D" w:rsidP="0099665D">
            <w:pPr>
              <w:rPr>
                <w:rFonts w:ascii="Arial Narrow" w:hAnsi="Arial Narrow"/>
                <w:b/>
                <w:bCs/>
                <w:sz w:val="16"/>
                <w:szCs w:val="16"/>
              </w:rPr>
            </w:pPr>
            <w:r w:rsidRPr="0015043C">
              <w:rPr>
                <w:rFonts w:ascii="Arial Narrow" w:hAnsi="Arial Narrow"/>
                <w:b/>
                <w:bCs/>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2574D" w:rsidRPr="0015043C" w:rsidRDefault="00C2574D" w:rsidP="0099665D">
            <w:pPr>
              <w:jc w:val="center"/>
              <w:rPr>
                <w:rFonts w:ascii="Arial Narrow" w:hAnsi="Arial Narrow"/>
                <w:b/>
                <w:bCs/>
                <w:sz w:val="16"/>
                <w:szCs w:val="16"/>
              </w:rPr>
            </w:pPr>
            <w:r>
              <w:rPr>
                <w:rFonts w:ascii="Arial Narrow" w:hAnsi="Arial Narrow"/>
                <w:b/>
                <w:bCs/>
                <w:sz w:val="16"/>
                <w:szCs w:val="16"/>
              </w:rPr>
              <w:t>2018</w:t>
            </w:r>
            <w:r w:rsidRPr="0015043C">
              <w:rPr>
                <w:rFonts w:ascii="Arial Narrow" w:hAnsi="Arial Narrow"/>
                <w:b/>
                <w:bCs/>
                <w:sz w:val="16"/>
                <w:szCs w:val="16"/>
              </w:rPr>
              <w:t>*</w:t>
            </w:r>
          </w:p>
        </w:tc>
        <w:tc>
          <w:tcPr>
            <w:tcW w:w="13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C2574D" w:rsidRPr="0015043C" w:rsidRDefault="00C2574D" w:rsidP="0099665D">
            <w:pPr>
              <w:jc w:val="center"/>
              <w:rPr>
                <w:rFonts w:ascii="Arial Narrow" w:hAnsi="Arial Narrow"/>
                <w:b/>
                <w:bCs/>
                <w:sz w:val="16"/>
                <w:szCs w:val="16"/>
              </w:rPr>
            </w:pPr>
            <w:r>
              <w:rPr>
                <w:rFonts w:ascii="Arial Narrow" w:hAnsi="Arial Narrow"/>
                <w:b/>
                <w:bCs/>
                <w:sz w:val="16"/>
                <w:szCs w:val="16"/>
              </w:rPr>
              <w:t>2019</w:t>
            </w:r>
            <w:r w:rsidRPr="0015043C">
              <w:rPr>
                <w:rFonts w:ascii="Arial Narrow" w:hAnsi="Arial Narrow"/>
                <w:b/>
                <w:bCs/>
                <w:sz w:val="16"/>
                <w:szCs w:val="16"/>
              </w:rPr>
              <w:t>**</w:t>
            </w:r>
          </w:p>
        </w:tc>
        <w:tc>
          <w:tcPr>
            <w:tcW w:w="876" w:type="dxa"/>
            <w:tcBorders>
              <w:top w:val="single" w:sz="4" w:space="0" w:color="auto"/>
              <w:left w:val="nil"/>
              <w:bottom w:val="single" w:sz="4" w:space="0" w:color="auto"/>
              <w:right w:val="single" w:sz="4" w:space="0" w:color="auto"/>
            </w:tcBorders>
            <w:shd w:val="clear" w:color="auto" w:fill="auto"/>
            <w:vAlign w:val="center"/>
          </w:tcPr>
          <w:p w:rsidR="00C2574D" w:rsidRPr="0015043C" w:rsidRDefault="00C2574D" w:rsidP="0099665D">
            <w:pPr>
              <w:jc w:val="center"/>
              <w:rPr>
                <w:rFonts w:ascii="Arial Narrow" w:hAnsi="Arial Narrow"/>
                <w:b/>
                <w:bCs/>
                <w:sz w:val="16"/>
                <w:szCs w:val="16"/>
              </w:rPr>
            </w:pPr>
            <w:r w:rsidRPr="0015043C">
              <w:rPr>
                <w:rFonts w:ascii="Arial Narrow" w:hAnsi="Arial Narrow"/>
                <w:b/>
                <w:bCs/>
                <w:sz w:val="16"/>
                <w:szCs w:val="16"/>
              </w:rPr>
              <w:t>Διαφορά</w:t>
            </w:r>
          </w:p>
          <w:p w:rsidR="00C2574D" w:rsidRPr="0015043C" w:rsidRDefault="00C2574D" w:rsidP="0099665D">
            <w:pPr>
              <w:jc w:val="center"/>
              <w:rPr>
                <w:rFonts w:ascii="Arial Narrow" w:hAnsi="Arial Narrow"/>
                <w:b/>
                <w:bCs/>
                <w:sz w:val="16"/>
                <w:szCs w:val="16"/>
              </w:rPr>
            </w:pPr>
            <w:r w:rsidRPr="0015043C">
              <w:rPr>
                <w:rFonts w:ascii="Arial Narrow" w:hAnsi="Arial Narrow"/>
                <w:b/>
                <w:bCs/>
                <w:sz w:val="16"/>
                <w:szCs w:val="16"/>
              </w:rPr>
              <w:t>201</w:t>
            </w:r>
            <w:r>
              <w:rPr>
                <w:rFonts w:ascii="Arial Narrow" w:hAnsi="Arial Narrow"/>
                <w:b/>
                <w:bCs/>
                <w:sz w:val="16"/>
                <w:szCs w:val="16"/>
              </w:rPr>
              <w:t>9</w:t>
            </w:r>
            <w:r w:rsidRPr="0015043C">
              <w:rPr>
                <w:rFonts w:ascii="Arial Narrow" w:hAnsi="Arial Narrow"/>
                <w:b/>
                <w:bCs/>
                <w:sz w:val="16"/>
                <w:szCs w:val="16"/>
              </w:rPr>
              <w:t>-201</w:t>
            </w:r>
            <w:r>
              <w:rPr>
                <w:rFonts w:ascii="Arial Narrow" w:hAnsi="Arial Narrow"/>
                <w:b/>
                <w:bCs/>
                <w:sz w:val="16"/>
                <w:szCs w:val="16"/>
              </w:rPr>
              <w:t>8</w:t>
            </w:r>
          </w:p>
        </w:tc>
      </w:tr>
      <w:tr w:rsidR="00C2574D" w:rsidRPr="0015043C" w:rsidTr="0099665D">
        <w:trPr>
          <w:trHeight w:val="170"/>
          <w:jc w:val="center"/>
        </w:trPr>
        <w:tc>
          <w:tcPr>
            <w:tcW w:w="4608" w:type="dxa"/>
            <w:vMerge/>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C2574D" w:rsidRPr="0015043C" w:rsidRDefault="00C2574D" w:rsidP="0099665D">
            <w:pPr>
              <w:rPr>
                <w:rFonts w:ascii="Arial Narrow" w:hAnsi="Arial Narrow"/>
                <w:b/>
                <w:bCs/>
                <w:sz w:val="16"/>
                <w:szCs w:val="16"/>
              </w:rPr>
            </w:pP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2574D" w:rsidRPr="002524BC" w:rsidRDefault="00C2574D" w:rsidP="0099665D">
            <w:pPr>
              <w:jc w:val="center"/>
              <w:rPr>
                <w:rFonts w:ascii="Arial Narrow" w:hAnsi="Arial Narrow"/>
                <w:b/>
                <w:sz w:val="16"/>
                <w:szCs w:val="16"/>
              </w:rPr>
            </w:pPr>
            <w:r w:rsidRPr="002524BC">
              <w:rPr>
                <w:rFonts w:ascii="Arial Narrow" w:hAnsi="Arial Narrow"/>
                <w:b/>
                <w:sz w:val="16"/>
                <w:szCs w:val="16"/>
              </w:rPr>
              <w:t>(1)</w:t>
            </w:r>
          </w:p>
        </w:tc>
        <w:tc>
          <w:tcPr>
            <w:tcW w:w="1389" w:type="dxa"/>
            <w:tcBorders>
              <w:top w:val="nil"/>
              <w:left w:val="nil"/>
              <w:bottom w:val="single" w:sz="4" w:space="0" w:color="auto"/>
              <w:right w:val="single" w:sz="4" w:space="0" w:color="auto"/>
            </w:tcBorders>
            <w:shd w:val="clear" w:color="auto" w:fill="auto"/>
            <w:tcMar>
              <w:left w:w="28" w:type="dxa"/>
              <w:right w:w="28" w:type="dxa"/>
            </w:tcMar>
            <w:vAlign w:val="center"/>
          </w:tcPr>
          <w:p w:rsidR="00C2574D" w:rsidRPr="002524BC" w:rsidRDefault="00C2574D" w:rsidP="0099665D">
            <w:pPr>
              <w:jc w:val="center"/>
              <w:rPr>
                <w:rFonts w:ascii="Arial Narrow" w:hAnsi="Arial Narrow"/>
                <w:b/>
                <w:sz w:val="16"/>
                <w:szCs w:val="16"/>
              </w:rPr>
            </w:pPr>
            <w:r w:rsidRPr="002524BC">
              <w:rPr>
                <w:rFonts w:ascii="Arial Narrow" w:hAnsi="Arial Narrow"/>
                <w:b/>
                <w:sz w:val="16"/>
                <w:szCs w:val="16"/>
              </w:rPr>
              <w:t>(2)</w:t>
            </w:r>
          </w:p>
        </w:tc>
        <w:tc>
          <w:tcPr>
            <w:tcW w:w="876" w:type="dxa"/>
            <w:tcBorders>
              <w:top w:val="nil"/>
              <w:left w:val="nil"/>
              <w:bottom w:val="single" w:sz="4" w:space="0" w:color="auto"/>
              <w:right w:val="single" w:sz="4" w:space="0" w:color="auto"/>
            </w:tcBorders>
            <w:shd w:val="clear" w:color="auto" w:fill="auto"/>
            <w:vAlign w:val="center"/>
          </w:tcPr>
          <w:p w:rsidR="00C2574D" w:rsidRPr="002524BC" w:rsidRDefault="00C2574D" w:rsidP="0099665D">
            <w:pPr>
              <w:jc w:val="center"/>
              <w:rPr>
                <w:rFonts w:ascii="Arial Narrow" w:hAnsi="Arial Narrow"/>
                <w:b/>
                <w:sz w:val="16"/>
                <w:szCs w:val="16"/>
              </w:rPr>
            </w:pPr>
            <w:r w:rsidRPr="002524BC">
              <w:rPr>
                <w:rFonts w:ascii="Arial Narrow" w:hAnsi="Arial Narrow"/>
                <w:b/>
                <w:sz w:val="16"/>
                <w:szCs w:val="16"/>
              </w:rPr>
              <w:t>(3)=(2)-(1)</w:t>
            </w:r>
          </w:p>
        </w:tc>
      </w:tr>
      <w:tr w:rsidR="006D5A26" w:rsidRPr="0015043C" w:rsidTr="00FD05A7">
        <w:trPr>
          <w:trHeight w:val="170"/>
          <w:jc w:val="center"/>
        </w:trPr>
        <w:tc>
          <w:tcPr>
            <w:tcW w:w="4608" w:type="dxa"/>
            <w:tcBorders>
              <w:top w:val="single" w:sz="4" w:space="0" w:color="auto"/>
              <w:left w:val="single" w:sz="4" w:space="0" w:color="auto"/>
            </w:tcBorders>
            <w:shd w:val="clear" w:color="auto" w:fill="auto"/>
            <w:tcMar>
              <w:left w:w="28" w:type="dxa"/>
              <w:right w:w="28" w:type="dxa"/>
            </w:tcMar>
            <w:vAlign w:val="center"/>
          </w:tcPr>
          <w:p w:rsidR="006D5A26" w:rsidRDefault="006D5A26" w:rsidP="00C2574D">
            <w:pPr>
              <w:spacing w:before="20" w:after="20"/>
              <w:rPr>
                <w:rFonts w:ascii="Arial Narrow" w:hAnsi="Arial Narrow" w:cs="Arial"/>
                <w:sz w:val="16"/>
                <w:szCs w:val="16"/>
              </w:rPr>
            </w:pPr>
            <w:r>
              <w:rPr>
                <w:rFonts w:ascii="Arial Narrow" w:hAnsi="Arial Narrow" w:cs="Arial"/>
                <w:sz w:val="16"/>
                <w:szCs w:val="16"/>
              </w:rPr>
              <w:t>Ταμειακό αποτέλεσμα Γενικής Κυβέρνησης</w:t>
            </w:r>
          </w:p>
        </w:tc>
        <w:tc>
          <w:tcPr>
            <w:tcW w:w="1559" w:type="dxa"/>
            <w:tcBorders>
              <w:top w:val="single" w:sz="4" w:space="0" w:color="auto"/>
            </w:tcBorders>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1.810</w:t>
            </w:r>
          </w:p>
        </w:tc>
        <w:tc>
          <w:tcPr>
            <w:tcW w:w="1389" w:type="dxa"/>
            <w:tcBorders>
              <w:top w:val="single" w:sz="4" w:space="0" w:color="auto"/>
            </w:tcBorders>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-1.320</w:t>
            </w:r>
          </w:p>
        </w:tc>
        <w:tc>
          <w:tcPr>
            <w:tcW w:w="876" w:type="dxa"/>
            <w:tcBorders>
              <w:top w:val="single" w:sz="4" w:space="0" w:color="auto"/>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-3.130</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C2574D">
            <w:pPr>
              <w:tabs>
                <w:tab w:val="left" w:pos="218"/>
              </w:tabs>
              <w:spacing w:before="20" w:after="20"/>
              <w:rPr>
                <w:rFonts w:ascii="Arial Narrow" w:hAnsi="Arial Narrow" w:cs="Arial"/>
                <w:i/>
                <w:iCs/>
                <w:sz w:val="16"/>
                <w:szCs w:val="16"/>
              </w:rPr>
            </w:pPr>
            <w:r>
              <w:rPr>
                <w:rFonts w:ascii="Arial Narrow" w:hAnsi="Arial Narrow" w:cs="Arial"/>
                <w:i/>
                <w:iCs/>
                <w:sz w:val="16"/>
                <w:szCs w:val="16"/>
              </w:rPr>
              <w:tab/>
              <w:t>Αποτέλεσμα Γενικής Κυβέρνησης κατά ESA</w:t>
            </w:r>
          </w:p>
        </w:tc>
        <w:tc>
          <w:tcPr>
            <w:tcW w:w="155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i/>
                <w:iCs/>
                <w:sz w:val="16"/>
                <w:szCs w:val="16"/>
              </w:rPr>
            </w:pPr>
            <w:r>
              <w:rPr>
                <w:rFonts w:ascii="Arial Narrow" w:hAnsi="Arial Narrow" w:cs="Arial Greek"/>
                <w:i/>
                <w:iCs/>
                <w:sz w:val="16"/>
                <w:szCs w:val="16"/>
              </w:rPr>
              <w:t>-1.171</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i/>
                <w:iCs/>
                <w:sz w:val="16"/>
                <w:szCs w:val="16"/>
              </w:rPr>
            </w:pPr>
            <w:r>
              <w:rPr>
                <w:rFonts w:ascii="Arial Narrow" w:hAnsi="Arial Narrow" w:cs="Arial Greek"/>
                <w:i/>
                <w:iCs/>
                <w:sz w:val="16"/>
                <w:szCs w:val="16"/>
              </w:rPr>
              <w:t>-1.132</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i/>
                <w:iCs/>
                <w:sz w:val="16"/>
                <w:szCs w:val="16"/>
              </w:rPr>
            </w:pPr>
            <w:r>
              <w:rPr>
                <w:rFonts w:ascii="Arial Narrow" w:hAnsi="Arial Narrow" w:cs="Arial Greek"/>
                <w:i/>
                <w:iCs/>
                <w:sz w:val="16"/>
                <w:szCs w:val="16"/>
              </w:rPr>
              <w:t>39</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99665D">
            <w:pPr>
              <w:tabs>
                <w:tab w:val="left" w:pos="218"/>
              </w:tabs>
              <w:spacing w:before="20" w:after="20"/>
              <w:rPr>
                <w:rFonts w:ascii="Arial Narrow" w:hAnsi="Arial Narrow" w:cs="Arial"/>
                <w:i/>
                <w:iCs/>
                <w:sz w:val="16"/>
                <w:szCs w:val="16"/>
              </w:rPr>
            </w:pPr>
            <w:r>
              <w:rPr>
                <w:rFonts w:ascii="Arial Narrow" w:hAnsi="Arial Narrow" w:cs="Arial"/>
                <w:i/>
                <w:iCs/>
                <w:sz w:val="16"/>
                <w:szCs w:val="16"/>
              </w:rPr>
              <w:tab/>
              <w:t>Εθνικολογιστικές προσαρμογές Γενικής Κυβέρνησης</w:t>
            </w:r>
          </w:p>
        </w:tc>
        <w:tc>
          <w:tcPr>
            <w:tcW w:w="155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i/>
                <w:iCs/>
                <w:sz w:val="16"/>
                <w:szCs w:val="16"/>
              </w:rPr>
            </w:pPr>
            <w:r>
              <w:rPr>
                <w:rFonts w:ascii="Arial Narrow" w:hAnsi="Arial Narrow" w:cs="Arial Greek"/>
                <w:i/>
                <w:iCs/>
                <w:sz w:val="16"/>
                <w:szCs w:val="16"/>
              </w:rPr>
              <w:t>2.981</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i/>
                <w:iCs/>
                <w:sz w:val="16"/>
                <w:szCs w:val="16"/>
              </w:rPr>
            </w:pPr>
            <w:r>
              <w:rPr>
                <w:rFonts w:ascii="Arial Narrow" w:hAnsi="Arial Narrow" w:cs="Arial Greek"/>
                <w:i/>
                <w:iCs/>
                <w:sz w:val="16"/>
                <w:szCs w:val="16"/>
              </w:rPr>
              <w:t>-188</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i/>
                <w:iCs/>
                <w:sz w:val="16"/>
                <w:szCs w:val="16"/>
              </w:rPr>
            </w:pPr>
            <w:r>
              <w:rPr>
                <w:rFonts w:ascii="Arial Narrow" w:hAnsi="Arial Narrow" w:cs="Arial Greek"/>
                <w:i/>
                <w:iCs/>
                <w:sz w:val="16"/>
                <w:szCs w:val="16"/>
              </w:rPr>
              <w:t>-3.169</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bottom"/>
          </w:tcPr>
          <w:p w:rsidR="006D5A26" w:rsidRDefault="006D5A26" w:rsidP="0099665D">
            <w:pPr>
              <w:spacing w:before="20" w:after="20"/>
              <w:rPr>
                <w:rFonts w:ascii="Arial Narrow" w:hAnsi="Arial Narrow" w:cs="Arial"/>
                <w:sz w:val="16"/>
                <w:szCs w:val="16"/>
              </w:rPr>
            </w:pPr>
            <w:r>
              <w:rPr>
                <w:rFonts w:ascii="Arial Narrow" w:hAnsi="Arial Narrow" w:cs="Arial"/>
                <w:sz w:val="16"/>
                <w:szCs w:val="16"/>
              </w:rPr>
              <w:t>Αυξήσεις ΜΚ εταιρειών, συμμετοχή στην ΕΤΕπ, κ.λπ.</w:t>
            </w: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160</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340</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180</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bottom"/>
          </w:tcPr>
          <w:p w:rsidR="006D5A26" w:rsidRDefault="006D5A26" w:rsidP="0099665D">
            <w:pPr>
              <w:spacing w:before="20" w:after="20"/>
              <w:rPr>
                <w:rFonts w:ascii="Arial Narrow" w:hAnsi="Arial Narrow" w:cs="Arial"/>
                <w:sz w:val="16"/>
                <w:szCs w:val="16"/>
              </w:rPr>
            </w:pPr>
            <w:r>
              <w:rPr>
                <w:rFonts w:ascii="Arial Narrow" w:hAnsi="Arial Narrow" w:cs="Arial"/>
                <w:sz w:val="16"/>
                <w:szCs w:val="16"/>
              </w:rPr>
              <w:t>Μεταβολή διαθεσίμων</w:t>
            </w: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17.160</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-9.150</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-26.310</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99665D">
            <w:pPr>
              <w:spacing w:before="20" w:after="20"/>
              <w:rPr>
                <w:rFonts w:ascii="Arial Narrow" w:hAnsi="Arial Narrow" w:cs="Arial"/>
                <w:sz w:val="16"/>
                <w:szCs w:val="16"/>
              </w:rPr>
            </w:pPr>
            <w:r>
              <w:rPr>
                <w:rFonts w:ascii="Arial Narrow" w:hAnsi="Arial Narrow" w:cs="Arial"/>
                <w:sz w:val="16"/>
                <w:szCs w:val="16"/>
              </w:rPr>
              <w:t>Πώληση μετοχών κ.λπ.</w:t>
            </w: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-838</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-1.135</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-297</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99665D">
            <w:pPr>
              <w:spacing w:before="20" w:after="20"/>
              <w:rPr>
                <w:rFonts w:ascii="Arial Narrow" w:hAnsi="Arial Narrow" w:cs="Arial"/>
                <w:sz w:val="16"/>
                <w:szCs w:val="16"/>
              </w:rPr>
            </w:pPr>
            <w:r>
              <w:rPr>
                <w:rFonts w:ascii="Arial Narrow" w:hAnsi="Arial Narrow" w:cs="Arial"/>
                <w:sz w:val="16"/>
                <w:szCs w:val="16"/>
              </w:rPr>
              <w:t>Έσοδα από επενδύσεις σε τίτλους φορέων Γενικής Κυβέρνησης</w:t>
            </w: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-753</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-286</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467</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99665D">
            <w:pPr>
              <w:spacing w:before="20" w:after="20"/>
              <w:rPr>
                <w:rFonts w:ascii="Arial Narrow" w:hAnsi="Arial Narrow" w:cs="Arial"/>
                <w:sz w:val="16"/>
                <w:szCs w:val="16"/>
              </w:rPr>
            </w:pPr>
            <w:r>
              <w:rPr>
                <w:rFonts w:ascii="Arial Narrow" w:hAnsi="Arial Narrow" w:cs="Arial"/>
                <w:sz w:val="16"/>
                <w:szCs w:val="16"/>
              </w:rPr>
              <w:t>Προσαρμογές στο άρτιο, λοιπές προσαρμογές</w:t>
            </w: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47</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51</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4</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99665D">
            <w:pPr>
              <w:spacing w:before="20" w:after="20"/>
              <w:rPr>
                <w:rFonts w:ascii="Arial Narrow" w:hAnsi="Arial Narrow" w:cs="Arial"/>
                <w:b/>
                <w:bCs/>
                <w:sz w:val="16"/>
                <w:szCs w:val="16"/>
              </w:rPr>
            </w:pPr>
            <w:r>
              <w:rPr>
                <w:rFonts w:ascii="Arial Narrow" w:hAnsi="Arial Narrow" w:cs="Arial"/>
                <w:b/>
                <w:bCs/>
                <w:sz w:val="16"/>
                <w:szCs w:val="16"/>
              </w:rPr>
              <w:t>Μεταβολή από προηγούμενο έτος</w:t>
            </w: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b/>
                <w:bCs/>
                <w:sz w:val="16"/>
                <w:szCs w:val="16"/>
              </w:rPr>
            </w:pPr>
            <w:r>
              <w:rPr>
                <w:rFonts w:ascii="Arial Narrow" w:hAnsi="Arial Narrow" w:cs="Arial Greek"/>
                <w:b/>
                <w:bCs/>
                <w:sz w:val="16"/>
                <w:szCs w:val="16"/>
              </w:rPr>
              <w:t>17.586</w:t>
            </w: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b/>
                <w:bCs/>
                <w:sz w:val="16"/>
                <w:szCs w:val="16"/>
              </w:rPr>
            </w:pPr>
            <w:r>
              <w:rPr>
                <w:rFonts w:ascii="Arial Narrow" w:hAnsi="Arial Narrow" w:cs="Arial Greek"/>
                <w:b/>
                <w:bCs/>
                <w:sz w:val="16"/>
                <w:szCs w:val="16"/>
              </w:rPr>
              <w:t>-11.500</w:t>
            </w: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b/>
                <w:bCs/>
                <w:sz w:val="16"/>
                <w:szCs w:val="16"/>
              </w:rPr>
            </w:pPr>
            <w:r>
              <w:rPr>
                <w:rFonts w:ascii="Arial Narrow" w:hAnsi="Arial Narrow" w:cs="Arial Greek"/>
                <w:b/>
                <w:bCs/>
                <w:sz w:val="16"/>
                <w:szCs w:val="16"/>
              </w:rPr>
              <w:t>-29.086</w:t>
            </w:r>
          </w:p>
        </w:tc>
      </w:tr>
      <w:tr w:rsidR="006D5A26" w:rsidRPr="0015043C" w:rsidTr="00FD05A7">
        <w:trPr>
          <w:trHeight w:val="170"/>
          <w:jc w:val="center"/>
        </w:trPr>
        <w:tc>
          <w:tcPr>
            <w:tcW w:w="4608" w:type="dxa"/>
            <w:tcBorders>
              <w:left w:val="single" w:sz="4" w:space="0" w:color="auto"/>
            </w:tcBorders>
            <w:shd w:val="clear" w:color="auto" w:fill="auto"/>
            <w:tcMar>
              <w:left w:w="28" w:type="dxa"/>
              <w:right w:w="28" w:type="dxa"/>
            </w:tcMar>
            <w:vAlign w:val="center"/>
          </w:tcPr>
          <w:p w:rsidR="006D5A26" w:rsidRDefault="006D5A26" w:rsidP="0099665D">
            <w:pPr>
              <w:spacing w:before="20" w:after="20"/>
              <w:rPr>
                <w:rFonts w:ascii="Arial Narrow" w:hAnsi="Arial Narrow" w:cs="Arial"/>
                <w:b/>
                <w:bCs/>
                <w:sz w:val="16"/>
                <w:szCs w:val="16"/>
              </w:rPr>
            </w:pPr>
          </w:p>
        </w:tc>
        <w:tc>
          <w:tcPr>
            <w:tcW w:w="1559" w:type="dxa"/>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b/>
                <w:bCs/>
                <w:sz w:val="16"/>
                <w:szCs w:val="16"/>
              </w:rPr>
            </w:pPr>
          </w:p>
        </w:tc>
        <w:tc>
          <w:tcPr>
            <w:tcW w:w="1389" w:type="dxa"/>
            <w:shd w:val="clear" w:color="auto" w:fill="auto"/>
            <w:tcMar>
              <w:left w:w="28" w:type="dxa"/>
              <w:right w:w="28" w:type="dxa"/>
            </w:tcMar>
            <w:vAlign w:val="center"/>
          </w:tcPr>
          <w:p w:rsidR="006D5A26" w:rsidRDefault="006D5A26" w:rsidP="006D5A26">
            <w:pPr>
              <w:ind w:right="505"/>
              <w:jc w:val="right"/>
              <w:rPr>
                <w:rFonts w:ascii="Arial Narrow" w:hAnsi="Arial Narrow" w:cs="Arial Greek"/>
                <w:b/>
                <w:bCs/>
                <w:sz w:val="16"/>
                <w:szCs w:val="16"/>
              </w:rPr>
            </w:pPr>
          </w:p>
        </w:tc>
        <w:tc>
          <w:tcPr>
            <w:tcW w:w="876" w:type="dxa"/>
            <w:tcBorders>
              <w:right w:val="single" w:sz="4" w:space="0" w:color="auto"/>
            </w:tcBorders>
            <w:shd w:val="clear" w:color="auto" w:fill="auto"/>
            <w:vAlign w:val="center"/>
          </w:tcPr>
          <w:p w:rsidR="006D5A26" w:rsidRDefault="006D5A26" w:rsidP="006D5A26">
            <w:pPr>
              <w:ind w:right="113"/>
              <w:jc w:val="right"/>
              <w:rPr>
                <w:rFonts w:ascii="Arial Narrow" w:hAnsi="Arial Narrow" w:cs="Arial Greek"/>
                <w:b/>
                <w:bCs/>
                <w:sz w:val="16"/>
                <w:szCs w:val="16"/>
              </w:rPr>
            </w:pPr>
          </w:p>
        </w:tc>
      </w:tr>
      <w:tr w:rsidR="006D5A26" w:rsidRPr="0015043C" w:rsidTr="006319C2">
        <w:trPr>
          <w:trHeight w:val="170"/>
          <w:jc w:val="center"/>
        </w:trPr>
        <w:tc>
          <w:tcPr>
            <w:tcW w:w="4608" w:type="dxa"/>
            <w:tcBorders>
              <w:left w:val="single" w:sz="4" w:space="0" w:color="auto"/>
            </w:tcBorders>
            <w:shd w:val="clear" w:color="auto" w:fill="D9D9D9" w:themeFill="background1" w:themeFillShade="D9"/>
            <w:noWrap/>
            <w:tcMar>
              <w:left w:w="28" w:type="dxa"/>
              <w:right w:w="28" w:type="dxa"/>
            </w:tcMar>
            <w:vAlign w:val="bottom"/>
          </w:tcPr>
          <w:p w:rsidR="006D5A26" w:rsidRDefault="006D5A26" w:rsidP="0099665D">
            <w:pPr>
              <w:spacing w:before="20" w:after="20"/>
              <w:rPr>
                <w:rFonts w:ascii="Arial Narrow" w:hAnsi="Arial Narrow" w:cs="Arial"/>
                <w:b/>
                <w:bCs/>
                <w:sz w:val="16"/>
                <w:szCs w:val="16"/>
              </w:rPr>
            </w:pPr>
            <w:r>
              <w:rPr>
                <w:rFonts w:ascii="Arial Narrow" w:hAnsi="Arial Narrow" w:cs="Arial"/>
                <w:b/>
                <w:bCs/>
                <w:sz w:val="16"/>
                <w:szCs w:val="16"/>
              </w:rPr>
              <w:t xml:space="preserve">Χρέος Γενικής Κυβέρνησης </w:t>
            </w:r>
          </w:p>
        </w:tc>
        <w:tc>
          <w:tcPr>
            <w:tcW w:w="1559" w:type="dxa"/>
            <w:shd w:val="clear" w:color="auto" w:fill="D9D9D9" w:themeFill="background1" w:themeFillShade="D9"/>
            <w:tcMar>
              <w:left w:w="28" w:type="dxa"/>
              <w:right w:w="28" w:type="dxa"/>
            </w:tcMar>
            <w:vAlign w:val="bottom"/>
          </w:tcPr>
          <w:p w:rsidR="006D5A26" w:rsidRDefault="006D5A26" w:rsidP="006D5A26">
            <w:pPr>
              <w:ind w:right="505"/>
              <w:jc w:val="right"/>
              <w:rPr>
                <w:rFonts w:ascii="Arial Narrow" w:hAnsi="Arial Narrow" w:cs="Arial Greek"/>
                <w:b/>
                <w:bCs/>
                <w:sz w:val="16"/>
                <w:szCs w:val="16"/>
              </w:rPr>
            </w:pPr>
            <w:r>
              <w:rPr>
                <w:rFonts w:ascii="Arial Narrow" w:hAnsi="Arial Narrow" w:cs="Arial Greek"/>
                <w:b/>
                <w:bCs/>
                <w:sz w:val="16"/>
                <w:szCs w:val="16"/>
              </w:rPr>
              <w:t>335.000</w:t>
            </w:r>
          </w:p>
        </w:tc>
        <w:tc>
          <w:tcPr>
            <w:tcW w:w="1389" w:type="dxa"/>
            <w:shd w:val="clear" w:color="auto" w:fill="D9D9D9" w:themeFill="background1" w:themeFillShade="D9"/>
            <w:noWrap/>
            <w:tcMar>
              <w:left w:w="28" w:type="dxa"/>
              <w:right w:w="28" w:type="dxa"/>
            </w:tcMar>
            <w:vAlign w:val="bottom"/>
          </w:tcPr>
          <w:p w:rsidR="006D5A26" w:rsidRDefault="006D5A26" w:rsidP="006D5A26">
            <w:pPr>
              <w:ind w:right="505"/>
              <w:jc w:val="right"/>
              <w:rPr>
                <w:rFonts w:ascii="Arial Narrow" w:hAnsi="Arial Narrow" w:cs="Arial Greek"/>
                <w:b/>
                <w:bCs/>
                <w:sz w:val="16"/>
                <w:szCs w:val="16"/>
              </w:rPr>
            </w:pPr>
            <w:r>
              <w:rPr>
                <w:rFonts w:ascii="Arial Narrow" w:hAnsi="Arial Narrow" w:cs="Arial Greek"/>
                <w:b/>
                <w:bCs/>
                <w:sz w:val="16"/>
                <w:szCs w:val="16"/>
              </w:rPr>
              <w:t>323.500</w:t>
            </w:r>
          </w:p>
        </w:tc>
        <w:tc>
          <w:tcPr>
            <w:tcW w:w="876" w:type="dxa"/>
            <w:tcBorders>
              <w:right w:val="single" w:sz="4" w:space="0" w:color="auto"/>
            </w:tcBorders>
            <w:shd w:val="clear" w:color="auto" w:fill="D9D9D9" w:themeFill="background1" w:themeFillShade="D9"/>
            <w:vAlign w:val="bottom"/>
          </w:tcPr>
          <w:p w:rsidR="006D5A26" w:rsidRDefault="006D5A26" w:rsidP="006D5A26">
            <w:pPr>
              <w:ind w:right="113"/>
              <w:jc w:val="right"/>
              <w:rPr>
                <w:rFonts w:ascii="Arial Narrow" w:hAnsi="Arial Narrow" w:cs="Arial Greek"/>
                <w:b/>
                <w:bCs/>
                <w:sz w:val="16"/>
                <w:szCs w:val="16"/>
              </w:rPr>
            </w:pPr>
            <w:r>
              <w:rPr>
                <w:rFonts w:ascii="Arial Narrow" w:hAnsi="Arial Narrow" w:cs="Arial Greek"/>
                <w:b/>
                <w:bCs/>
                <w:sz w:val="16"/>
                <w:szCs w:val="16"/>
              </w:rPr>
              <w:t>-11.500</w:t>
            </w:r>
          </w:p>
        </w:tc>
      </w:tr>
      <w:tr w:rsidR="006D5A26" w:rsidRPr="0015043C" w:rsidTr="006319C2">
        <w:trPr>
          <w:trHeight w:val="170"/>
          <w:jc w:val="center"/>
        </w:trPr>
        <w:tc>
          <w:tcPr>
            <w:tcW w:w="4608" w:type="dxa"/>
            <w:tcBorders>
              <w:left w:val="single" w:sz="4" w:space="0" w:color="auto"/>
            </w:tcBorders>
            <w:shd w:val="clear" w:color="auto" w:fill="D9D9D9" w:themeFill="background1" w:themeFillShade="D9"/>
            <w:tcMar>
              <w:left w:w="28" w:type="dxa"/>
              <w:right w:w="28" w:type="dxa"/>
            </w:tcMar>
            <w:vAlign w:val="center"/>
          </w:tcPr>
          <w:p w:rsidR="006D5A26" w:rsidRDefault="006D5A26" w:rsidP="0099665D">
            <w:pPr>
              <w:spacing w:before="20" w:after="20"/>
              <w:rPr>
                <w:rFonts w:ascii="Arial Narrow" w:hAnsi="Arial Narrow" w:cs="Arial"/>
                <w:b/>
                <w:bCs/>
                <w:sz w:val="16"/>
                <w:szCs w:val="16"/>
              </w:rPr>
            </w:pPr>
            <w:r>
              <w:rPr>
                <w:rFonts w:ascii="Arial Narrow" w:hAnsi="Arial Narrow" w:cs="Arial"/>
                <w:b/>
                <w:bCs/>
                <w:sz w:val="16"/>
                <w:szCs w:val="16"/>
              </w:rPr>
              <w:t xml:space="preserve">Χρέος Γενικής Κυβέρνησης ως % του ΑΕΠ </w:t>
            </w:r>
          </w:p>
        </w:tc>
        <w:tc>
          <w:tcPr>
            <w:tcW w:w="1559" w:type="dxa"/>
            <w:shd w:val="clear" w:color="auto" w:fill="D9D9D9" w:themeFill="background1" w:themeFillShade="D9"/>
            <w:tcMar>
              <w:left w:w="28" w:type="dxa"/>
              <w:right w:w="28" w:type="dxa"/>
            </w:tcMar>
            <w:vAlign w:val="bottom"/>
          </w:tcPr>
          <w:p w:rsidR="006D5A26" w:rsidRDefault="006D5A26" w:rsidP="006D5A26">
            <w:pPr>
              <w:ind w:right="505"/>
              <w:jc w:val="right"/>
              <w:rPr>
                <w:rFonts w:ascii="Arial Narrow" w:hAnsi="Arial Narrow" w:cs="Arial Greek"/>
                <w:b/>
                <w:bCs/>
                <w:sz w:val="16"/>
                <w:szCs w:val="16"/>
              </w:rPr>
            </w:pPr>
            <w:r>
              <w:rPr>
                <w:rFonts w:ascii="Arial Narrow" w:hAnsi="Arial Narrow" w:cs="Arial Greek"/>
                <w:b/>
                <w:bCs/>
                <w:sz w:val="16"/>
                <w:szCs w:val="16"/>
              </w:rPr>
              <w:t>180,4%</w:t>
            </w:r>
          </w:p>
        </w:tc>
        <w:tc>
          <w:tcPr>
            <w:tcW w:w="1389" w:type="dxa"/>
            <w:shd w:val="clear" w:color="auto" w:fill="D9D9D9" w:themeFill="background1" w:themeFillShade="D9"/>
            <w:tcMar>
              <w:left w:w="28" w:type="dxa"/>
              <w:right w:w="28" w:type="dxa"/>
            </w:tcMar>
            <w:vAlign w:val="bottom"/>
          </w:tcPr>
          <w:p w:rsidR="006D5A26" w:rsidRDefault="006D5A26" w:rsidP="006D5A26">
            <w:pPr>
              <w:ind w:right="505"/>
              <w:jc w:val="right"/>
              <w:rPr>
                <w:rFonts w:ascii="Arial Narrow" w:hAnsi="Arial Narrow" w:cs="Arial Greek"/>
                <w:b/>
                <w:bCs/>
                <w:sz w:val="16"/>
                <w:szCs w:val="16"/>
              </w:rPr>
            </w:pPr>
            <w:r>
              <w:rPr>
                <w:rFonts w:ascii="Arial Narrow" w:hAnsi="Arial Narrow" w:cs="Arial Greek"/>
                <w:b/>
                <w:bCs/>
                <w:sz w:val="16"/>
                <w:szCs w:val="16"/>
              </w:rPr>
              <w:t>167,8%</w:t>
            </w:r>
          </w:p>
        </w:tc>
        <w:tc>
          <w:tcPr>
            <w:tcW w:w="876" w:type="dxa"/>
            <w:tcBorders>
              <w:right w:val="single" w:sz="4" w:space="0" w:color="auto"/>
            </w:tcBorders>
            <w:shd w:val="clear" w:color="auto" w:fill="D9D9D9" w:themeFill="background1" w:themeFillShade="D9"/>
            <w:vAlign w:val="bottom"/>
          </w:tcPr>
          <w:p w:rsidR="006D5A26" w:rsidRDefault="006D5A26" w:rsidP="006D5A26">
            <w:pPr>
              <w:ind w:right="113"/>
              <w:jc w:val="right"/>
              <w:rPr>
                <w:rFonts w:ascii="Arial Narrow" w:hAnsi="Arial Narrow" w:cs="Arial Greek"/>
                <w:b/>
                <w:bCs/>
                <w:sz w:val="16"/>
                <w:szCs w:val="16"/>
              </w:rPr>
            </w:pPr>
            <w:r>
              <w:rPr>
                <w:rFonts w:ascii="Arial Narrow" w:hAnsi="Arial Narrow" w:cs="Arial Greek"/>
                <w:b/>
                <w:bCs/>
                <w:sz w:val="16"/>
                <w:szCs w:val="16"/>
              </w:rPr>
              <w:t>-12,6%</w:t>
            </w:r>
          </w:p>
        </w:tc>
      </w:tr>
      <w:tr w:rsidR="006D5A26" w:rsidRPr="0015043C" w:rsidTr="006319C2">
        <w:trPr>
          <w:trHeight w:val="170"/>
          <w:jc w:val="center"/>
        </w:trPr>
        <w:tc>
          <w:tcPr>
            <w:tcW w:w="4608" w:type="dxa"/>
            <w:tcBorders>
              <w:left w:val="single" w:sz="4" w:space="0" w:color="auto"/>
              <w:bottom w:val="single" w:sz="4" w:space="0" w:color="auto"/>
            </w:tcBorders>
            <w:shd w:val="clear" w:color="auto" w:fill="auto"/>
            <w:tcMar>
              <w:left w:w="28" w:type="dxa"/>
              <w:right w:w="28" w:type="dxa"/>
            </w:tcMar>
            <w:vAlign w:val="center"/>
          </w:tcPr>
          <w:p w:rsidR="006D5A26" w:rsidRDefault="006D5A26" w:rsidP="0099665D">
            <w:pPr>
              <w:spacing w:before="20" w:after="20"/>
              <w:rPr>
                <w:rFonts w:ascii="Arial Narrow" w:hAnsi="Arial Narrow" w:cs="Arial"/>
                <w:sz w:val="16"/>
                <w:szCs w:val="16"/>
              </w:rPr>
            </w:pPr>
            <w:r>
              <w:rPr>
                <w:rFonts w:ascii="Arial Narrow" w:hAnsi="Arial Narrow" w:cs="Arial"/>
                <w:sz w:val="16"/>
                <w:szCs w:val="16"/>
              </w:rPr>
              <w:t>ΑΕΠ</w:t>
            </w:r>
          </w:p>
        </w:tc>
        <w:tc>
          <w:tcPr>
            <w:tcW w:w="1559" w:type="dxa"/>
            <w:tcBorders>
              <w:bottom w:val="single" w:sz="4" w:space="0" w:color="auto"/>
            </w:tcBorders>
            <w:shd w:val="clear" w:color="auto" w:fill="auto"/>
            <w:noWrap/>
            <w:tcMar>
              <w:left w:w="28" w:type="dxa"/>
              <w:right w:w="28" w:type="dxa"/>
            </w:tcMar>
            <w:vAlign w:val="bottom"/>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185.658</w:t>
            </w:r>
          </w:p>
        </w:tc>
        <w:tc>
          <w:tcPr>
            <w:tcW w:w="1389" w:type="dxa"/>
            <w:tcBorders>
              <w:bottom w:val="single" w:sz="4" w:space="0" w:color="auto"/>
            </w:tcBorders>
            <w:shd w:val="clear" w:color="auto" w:fill="auto"/>
            <w:noWrap/>
            <w:tcMar>
              <w:left w:w="28" w:type="dxa"/>
              <w:right w:w="28" w:type="dxa"/>
            </w:tcMar>
            <w:vAlign w:val="center"/>
          </w:tcPr>
          <w:p w:rsidR="006D5A26" w:rsidRDefault="006D5A26" w:rsidP="006D5A26">
            <w:pPr>
              <w:ind w:right="505"/>
              <w:jc w:val="right"/>
              <w:rPr>
                <w:rFonts w:ascii="Arial Narrow" w:hAnsi="Arial Narrow" w:cs="Arial Greek"/>
                <w:sz w:val="16"/>
                <w:szCs w:val="16"/>
              </w:rPr>
            </w:pPr>
            <w:r>
              <w:rPr>
                <w:rFonts w:ascii="Arial Narrow" w:hAnsi="Arial Narrow" w:cs="Arial Greek"/>
                <w:sz w:val="16"/>
                <w:szCs w:val="16"/>
              </w:rPr>
              <w:t>192.749</w:t>
            </w:r>
          </w:p>
        </w:tc>
        <w:tc>
          <w:tcPr>
            <w:tcW w:w="876" w:type="dxa"/>
            <w:tcBorders>
              <w:bottom w:val="single" w:sz="4" w:space="0" w:color="auto"/>
              <w:right w:val="single" w:sz="4" w:space="0" w:color="auto"/>
            </w:tcBorders>
            <w:shd w:val="clear" w:color="auto" w:fill="auto"/>
            <w:vAlign w:val="center"/>
          </w:tcPr>
          <w:p w:rsidR="006D5A26" w:rsidRDefault="006D5A26" w:rsidP="006D5A26">
            <w:pPr>
              <w:ind w:right="113"/>
              <w:jc w:val="right"/>
              <w:rPr>
                <w:rFonts w:ascii="Arial Narrow" w:hAnsi="Arial Narrow" w:cs="Arial Greek"/>
                <w:sz w:val="16"/>
                <w:szCs w:val="16"/>
              </w:rPr>
            </w:pPr>
            <w:r>
              <w:rPr>
                <w:rFonts w:ascii="Arial Narrow" w:hAnsi="Arial Narrow" w:cs="Arial Greek"/>
                <w:sz w:val="16"/>
                <w:szCs w:val="16"/>
              </w:rPr>
              <w:t> </w:t>
            </w:r>
          </w:p>
        </w:tc>
      </w:tr>
    </w:tbl>
    <w:p w:rsidR="00C2574D" w:rsidRPr="006547D6" w:rsidRDefault="00C2574D" w:rsidP="00C2574D">
      <w:pPr>
        <w:tabs>
          <w:tab w:val="left" w:pos="180"/>
        </w:tabs>
        <w:ind w:firstLine="180"/>
        <w:jc w:val="both"/>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Εκτιμήσεις    **Προβλέψεις</w:t>
      </w:r>
    </w:p>
    <w:p w:rsidR="00C2574D" w:rsidRPr="0015043C" w:rsidRDefault="00C2574D" w:rsidP="00C2574D">
      <w:pPr>
        <w:tabs>
          <w:tab w:val="left" w:pos="4608"/>
          <w:tab w:val="left" w:pos="5508"/>
          <w:tab w:val="left" w:pos="6588"/>
        </w:tabs>
        <w:ind w:left="180"/>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p w:rsidR="00051FB5" w:rsidRDefault="00051FB5" w:rsidP="00051FB5">
      <w:pPr>
        <w:autoSpaceDE w:val="0"/>
        <w:autoSpaceDN w:val="0"/>
        <w:adjustRightInd w:val="0"/>
        <w:jc w:val="both"/>
        <w:rPr>
          <w:sz w:val="22"/>
          <w:szCs w:val="22"/>
        </w:rPr>
      </w:pPr>
    </w:p>
    <w:p w:rsidR="00575668" w:rsidRPr="0015043C" w:rsidRDefault="00575668" w:rsidP="00575668">
      <w:pPr>
        <w:tabs>
          <w:tab w:val="left" w:pos="180"/>
        </w:tabs>
        <w:ind w:left="180"/>
        <w:jc w:val="both"/>
        <w:rPr>
          <w:rFonts w:ascii="Arial Narrow" w:hAnsi="Arial Narrow"/>
          <w:sz w:val="16"/>
          <w:szCs w:val="16"/>
        </w:rPr>
      </w:pPr>
    </w:p>
    <w:p w:rsidR="00575668" w:rsidRPr="0015043C" w:rsidRDefault="00575668" w:rsidP="00575668">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t xml:space="preserve">3. </w:t>
      </w:r>
      <w:r w:rsidRPr="0015043C">
        <w:rPr>
          <w:rFonts w:ascii="Arial Narrow" w:hAnsi="Arial Narrow"/>
          <w:bCs/>
          <w:color w:val="FFFFFF"/>
          <w:sz w:val="26"/>
          <w:szCs w:val="22"/>
        </w:rPr>
        <w:tab/>
      </w:r>
      <w:r w:rsidRPr="0015043C">
        <w:rPr>
          <w:rFonts w:ascii="Arial Narrow" w:hAnsi="Arial Narrow"/>
          <w:b/>
          <w:bCs/>
          <w:color w:val="FFFFFF"/>
          <w:sz w:val="26"/>
          <w:szCs w:val="22"/>
        </w:rPr>
        <w:t>Δομή και χαρακτηριστικά του χρέους Κεντρικής</w:t>
      </w:r>
      <w:r>
        <w:rPr>
          <w:rFonts w:ascii="Arial Narrow" w:hAnsi="Arial Narrow"/>
          <w:b/>
          <w:bCs/>
          <w:color w:val="FFFFFF"/>
          <w:sz w:val="26"/>
          <w:szCs w:val="22"/>
        </w:rPr>
        <w:t xml:space="preserve"> Διοίκησης</w:t>
      </w:r>
    </w:p>
    <w:p w:rsidR="00575668" w:rsidRPr="0015043C" w:rsidRDefault="00575668" w:rsidP="00575668">
      <w:pPr>
        <w:jc w:val="both"/>
        <w:rPr>
          <w:sz w:val="22"/>
          <w:szCs w:val="22"/>
        </w:rPr>
      </w:pPr>
    </w:p>
    <w:p w:rsidR="00575668" w:rsidRPr="0084443D" w:rsidRDefault="00575668" w:rsidP="00575668">
      <w:pPr>
        <w:jc w:val="both"/>
        <w:rPr>
          <w:sz w:val="22"/>
          <w:szCs w:val="22"/>
        </w:rPr>
      </w:pPr>
      <w:r w:rsidRPr="0084443D">
        <w:rPr>
          <w:sz w:val="22"/>
          <w:szCs w:val="22"/>
        </w:rPr>
        <w:t>Ο χρονικός ορίζοντας των λήξεων του χρέους της Κεντρικής Διοίκησης στις 30</w:t>
      </w:r>
      <w:r w:rsidR="00977014">
        <w:rPr>
          <w:sz w:val="22"/>
          <w:szCs w:val="22"/>
        </w:rPr>
        <w:t xml:space="preserve"> Σεπτεμβρίου </w:t>
      </w:r>
      <w:r w:rsidRPr="0084443D">
        <w:rPr>
          <w:sz w:val="22"/>
          <w:szCs w:val="22"/>
        </w:rPr>
        <w:t>201</w:t>
      </w:r>
      <w:r>
        <w:rPr>
          <w:sz w:val="22"/>
          <w:szCs w:val="22"/>
        </w:rPr>
        <w:t>8</w:t>
      </w:r>
      <w:r w:rsidRPr="0084443D">
        <w:rPr>
          <w:sz w:val="22"/>
          <w:szCs w:val="22"/>
        </w:rPr>
        <w:t xml:space="preserve"> ε</w:t>
      </w:r>
      <w:r w:rsidRPr="0084443D">
        <w:rPr>
          <w:sz w:val="22"/>
          <w:szCs w:val="22"/>
        </w:rPr>
        <w:t>κ</w:t>
      </w:r>
      <w:r w:rsidRPr="0084443D">
        <w:rPr>
          <w:sz w:val="22"/>
          <w:szCs w:val="22"/>
        </w:rPr>
        <w:t>τείνεται μέχρι το έτος 20</w:t>
      </w:r>
      <w:r w:rsidRPr="00396E75">
        <w:rPr>
          <w:sz w:val="22"/>
          <w:szCs w:val="22"/>
        </w:rPr>
        <w:t>60</w:t>
      </w:r>
      <w:r w:rsidRPr="0084443D">
        <w:rPr>
          <w:sz w:val="22"/>
          <w:szCs w:val="22"/>
        </w:rPr>
        <w:t>. Η αδυναμία προσφυγής για δανεισμό στις αγορές από το</w:t>
      </w:r>
      <w:r>
        <w:rPr>
          <w:sz w:val="22"/>
          <w:szCs w:val="22"/>
        </w:rPr>
        <w:t>ν</w:t>
      </w:r>
      <w:r w:rsidRPr="0084443D">
        <w:rPr>
          <w:sz w:val="22"/>
          <w:szCs w:val="22"/>
        </w:rPr>
        <w:t xml:space="preserve"> Μάιο του 2010, είχε ως αποτέλεσμα τη δραστική μείωση των ομολόγων και την αντικατάστασή τους με δάνεια (</w:t>
      </w:r>
      <w:r>
        <w:rPr>
          <w:sz w:val="22"/>
          <w:szCs w:val="22"/>
        </w:rPr>
        <w:t xml:space="preserve">πίνακας 4.4, </w:t>
      </w:r>
      <w:r w:rsidRPr="0084443D">
        <w:rPr>
          <w:sz w:val="22"/>
          <w:szCs w:val="22"/>
        </w:rPr>
        <w:t xml:space="preserve">διάγραμμα 4.1). </w:t>
      </w:r>
      <w:r w:rsidRPr="00515428">
        <w:rPr>
          <w:sz w:val="22"/>
          <w:szCs w:val="22"/>
        </w:rPr>
        <w:t>Η αναλογία αυτή αναμένεται να αντιστραφεί σταδιακά τα επόμενα έτη με την περαιτέρω δανειοδότηση του ΕΔ μέσω των αγορών</w:t>
      </w:r>
      <w:r w:rsidRPr="0084443D">
        <w:rPr>
          <w:sz w:val="22"/>
          <w:szCs w:val="22"/>
        </w:rPr>
        <w:t>.</w:t>
      </w:r>
    </w:p>
    <w:p w:rsidR="00575668" w:rsidRDefault="00575668" w:rsidP="00575668">
      <w:pPr>
        <w:jc w:val="both"/>
        <w:rPr>
          <w:sz w:val="22"/>
          <w:szCs w:val="22"/>
        </w:rPr>
      </w:pPr>
    </w:p>
    <w:p w:rsidR="00575668" w:rsidRDefault="00575668">
      <w:pPr>
        <w:rPr>
          <w:rFonts w:ascii="Arial Narrow" w:hAnsi="Arial Narrow"/>
          <w:sz w:val="18"/>
          <w:szCs w:val="16"/>
        </w:rPr>
      </w:pPr>
      <w:r>
        <w:rPr>
          <w:rFonts w:ascii="Arial Narrow" w:hAnsi="Arial Narrow"/>
          <w:sz w:val="18"/>
          <w:szCs w:val="16"/>
        </w:rPr>
        <w:br w:type="page"/>
      </w:r>
    </w:p>
    <w:p w:rsidR="00051FB5" w:rsidRPr="00847FDD" w:rsidRDefault="00051FB5" w:rsidP="009468BC">
      <w:pPr>
        <w:tabs>
          <w:tab w:val="left" w:pos="180"/>
        </w:tabs>
        <w:jc w:val="both"/>
        <w:rPr>
          <w:sz w:val="22"/>
          <w:szCs w:val="22"/>
        </w:rPr>
      </w:pPr>
    </w:p>
    <w:tbl>
      <w:tblPr>
        <w:tblW w:w="9548" w:type="dxa"/>
        <w:tblInd w:w="101" w:type="dxa"/>
        <w:tblLayout w:type="fixed"/>
        <w:tblCellMar>
          <w:left w:w="28" w:type="dxa"/>
          <w:right w:w="28" w:type="dxa"/>
        </w:tblCellMar>
        <w:tblLook w:val="04A0"/>
      </w:tblPr>
      <w:tblGrid>
        <w:gridCol w:w="636"/>
        <w:gridCol w:w="709"/>
        <w:gridCol w:w="850"/>
        <w:gridCol w:w="709"/>
        <w:gridCol w:w="709"/>
        <w:gridCol w:w="850"/>
        <w:gridCol w:w="851"/>
        <w:gridCol w:w="992"/>
        <w:gridCol w:w="851"/>
        <w:gridCol w:w="708"/>
        <w:gridCol w:w="807"/>
        <w:gridCol w:w="876"/>
      </w:tblGrid>
      <w:tr w:rsidR="00847FDD" w:rsidRPr="00847FDD" w:rsidTr="00847FDD">
        <w:trPr>
          <w:trHeight w:val="227"/>
        </w:trPr>
        <w:tc>
          <w:tcPr>
            <w:tcW w:w="9548" w:type="dxa"/>
            <w:gridSpan w:val="12"/>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rsidR="00847FDD" w:rsidRPr="00847FDD" w:rsidRDefault="00847FDD" w:rsidP="00847FDD">
            <w:pPr>
              <w:jc w:val="center"/>
              <w:rPr>
                <w:rFonts w:ascii="Arial Narrow" w:hAnsi="Arial Narrow" w:cs="Arial"/>
                <w:b/>
                <w:bCs/>
                <w:color w:val="FFFFFF" w:themeColor="background1"/>
              </w:rPr>
            </w:pPr>
            <w:r w:rsidRPr="00847FDD">
              <w:rPr>
                <w:rFonts w:ascii="Arial Narrow" w:hAnsi="Arial Narrow" w:cs="Arial"/>
                <w:b/>
                <w:bCs/>
                <w:color w:val="FFFFFF" w:themeColor="background1"/>
              </w:rPr>
              <w:t>Πίνακας 4.4 Χρονοδιάγραμμα λήξης χρέους της Κεντρικής Διοίκησης την 30/9/2018</w:t>
            </w:r>
          </w:p>
          <w:p w:rsidR="00847FDD" w:rsidRPr="00847FDD" w:rsidRDefault="00847FDD" w:rsidP="00847FDD">
            <w:pPr>
              <w:jc w:val="center"/>
              <w:rPr>
                <w:rFonts w:ascii="Arial Narrow" w:hAnsi="Arial Narrow" w:cs="Arial"/>
                <w:b/>
                <w:bCs/>
                <w:color w:val="FFFFFF" w:themeColor="background1"/>
              </w:rPr>
            </w:pPr>
            <w:r w:rsidRPr="00847FDD">
              <w:rPr>
                <w:rFonts w:ascii="Arial Narrow" w:hAnsi="Arial Narrow" w:cs="Arial"/>
                <w:b/>
                <w:bCs/>
                <w:color w:val="FFFFFF" w:themeColor="background1"/>
              </w:rPr>
              <w:t>(σε εκατ. ευρώ)</w:t>
            </w:r>
          </w:p>
        </w:tc>
      </w:tr>
      <w:tr w:rsidR="00847FDD" w:rsidRPr="00847FDD" w:rsidTr="0099665D">
        <w:trPr>
          <w:trHeight w:val="227"/>
        </w:trPr>
        <w:tc>
          <w:tcPr>
            <w:tcW w:w="954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47FDD" w:rsidRDefault="00847FDD" w:rsidP="00847FDD">
            <w:pPr>
              <w:jc w:val="center"/>
              <w:rPr>
                <w:rFonts w:ascii="Arial Narrow" w:hAnsi="Arial Narrow" w:cs="Arial"/>
                <w:b/>
                <w:bCs/>
                <w:sz w:val="16"/>
                <w:szCs w:val="16"/>
              </w:rPr>
            </w:pPr>
          </w:p>
        </w:tc>
      </w:tr>
      <w:tr w:rsidR="00847FDD" w:rsidRPr="00847FDD" w:rsidTr="00847FDD">
        <w:trPr>
          <w:trHeight w:val="881"/>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Pr>
                <w:rFonts w:ascii="Arial Narrow" w:hAnsi="Arial Narrow" w:cs="Arial"/>
                <w:b/>
                <w:bCs/>
                <w:sz w:val="16"/>
                <w:szCs w:val="16"/>
              </w:rPr>
              <w:t>Έτος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7FDD" w:rsidRDefault="00847FDD" w:rsidP="00847FDD">
            <w:pPr>
              <w:jc w:val="center"/>
              <w:rPr>
                <w:rFonts w:ascii="Arial Narrow" w:hAnsi="Arial Narrow" w:cs="Arial"/>
                <w:b/>
                <w:bCs/>
                <w:sz w:val="16"/>
                <w:szCs w:val="16"/>
              </w:rPr>
            </w:pPr>
            <w:r>
              <w:rPr>
                <w:rFonts w:ascii="Arial Narrow" w:hAnsi="Arial Narrow" w:cs="Arial"/>
                <w:b/>
                <w:bCs/>
                <w:sz w:val="16"/>
                <w:szCs w:val="16"/>
              </w:rPr>
              <w:t>Έντοκα</w:t>
            </w:r>
          </w:p>
          <w:p w:rsidR="00847FDD" w:rsidRPr="00847FDD" w:rsidRDefault="00847FDD" w:rsidP="00847FDD">
            <w:pPr>
              <w:jc w:val="center"/>
              <w:rPr>
                <w:rFonts w:ascii="Arial Narrow" w:hAnsi="Arial Narrow" w:cs="Arial"/>
                <w:b/>
                <w:bCs/>
                <w:sz w:val="16"/>
                <w:szCs w:val="16"/>
              </w:rPr>
            </w:pPr>
            <w:r>
              <w:rPr>
                <w:rFonts w:ascii="Arial Narrow" w:hAnsi="Arial Narrow" w:cs="Arial"/>
                <w:b/>
                <w:bCs/>
                <w:sz w:val="16"/>
                <w:szCs w:val="16"/>
              </w:rPr>
              <w:t>γραμμάτια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617A5" w:rsidRDefault="00847FDD" w:rsidP="00847FDD">
            <w:pPr>
              <w:jc w:val="center"/>
              <w:rPr>
                <w:rFonts w:ascii="Arial Narrow" w:hAnsi="Arial Narrow" w:cs="Arial"/>
                <w:b/>
                <w:bCs/>
                <w:sz w:val="16"/>
                <w:szCs w:val="16"/>
              </w:rPr>
            </w:pPr>
            <w:r w:rsidRPr="00847FDD">
              <w:rPr>
                <w:rFonts w:ascii="Arial Narrow" w:hAnsi="Arial Narrow" w:cs="Arial"/>
                <w:b/>
                <w:bCs/>
                <w:sz w:val="16"/>
                <w:szCs w:val="16"/>
              </w:rPr>
              <w:t>Σ</w:t>
            </w:r>
            <w:r>
              <w:rPr>
                <w:rFonts w:ascii="Arial Narrow" w:hAnsi="Arial Narrow" w:cs="Arial"/>
                <w:b/>
                <w:bCs/>
                <w:sz w:val="16"/>
                <w:szCs w:val="16"/>
              </w:rPr>
              <w:t>υμφωνίες Επαναγ</w:t>
            </w:r>
            <w:r>
              <w:rPr>
                <w:rFonts w:ascii="Arial Narrow" w:hAnsi="Arial Narrow" w:cs="Arial"/>
                <w:b/>
                <w:bCs/>
                <w:sz w:val="16"/>
                <w:szCs w:val="16"/>
              </w:rPr>
              <w:t>ο</w:t>
            </w:r>
            <w:r>
              <w:rPr>
                <w:rFonts w:ascii="Arial Narrow" w:hAnsi="Arial Narrow" w:cs="Arial"/>
                <w:b/>
                <w:bCs/>
                <w:sz w:val="16"/>
                <w:szCs w:val="16"/>
              </w:rPr>
              <w:t>ράς</w:t>
            </w:r>
          </w:p>
          <w:p w:rsidR="00847FDD" w:rsidRPr="00847FDD" w:rsidRDefault="00847FDD" w:rsidP="00847FDD">
            <w:pPr>
              <w:jc w:val="center"/>
              <w:rPr>
                <w:rFonts w:ascii="Arial Narrow" w:hAnsi="Arial Narrow" w:cs="Arial"/>
                <w:b/>
                <w:bCs/>
                <w:sz w:val="16"/>
                <w:szCs w:val="16"/>
              </w:rPr>
            </w:pPr>
            <w:r>
              <w:rPr>
                <w:rFonts w:ascii="Arial Narrow" w:hAnsi="Arial Narrow" w:cs="Arial"/>
                <w:b/>
                <w:bCs/>
                <w:sz w:val="16"/>
                <w:szCs w:val="16"/>
              </w:rPr>
              <w:t xml:space="preserve"> </w:t>
            </w:r>
            <w:r w:rsidRPr="00847FDD">
              <w:rPr>
                <w:rFonts w:ascii="Arial Narrow" w:hAnsi="Arial Narrow" w:cs="Arial"/>
                <w:b/>
                <w:bCs/>
                <w:sz w:val="16"/>
                <w:szCs w:val="16"/>
              </w:rPr>
              <w:t>(Repos)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Ο</w:t>
            </w:r>
            <w:r>
              <w:rPr>
                <w:rFonts w:ascii="Arial Narrow" w:hAnsi="Arial Narrow" w:cs="Arial"/>
                <w:b/>
                <w:bCs/>
                <w:sz w:val="16"/>
                <w:szCs w:val="16"/>
              </w:rPr>
              <w:t>μόλογα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 xml:space="preserve">άνεια </w:t>
            </w:r>
            <w:r w:rsidRPr="00847FDD">
              <w:rPr>
                <w:rFonts w:ascii="Arial Narrow" w:hAnsi="Arial Narrow" w:cs="Arial"/>
                <w:b/>
                <w:bCs/>
                <w:sz w:val="16"/>
                <w:szCs w:val="16"/>
              </w:rPr>
              <w:t xml:space="preserve"> </w:t>
            </w:r>
            <w:r>
              <w:rPr>
                <w:rFonts w:ascii="Arial Narrow" w:hAnsi="Arial Narrow" w:cs="Arial"/>
                <w:b/>
                <w:bCs/>
                <w:sz w:val="16"/>
                <w:szCs w:val="16"/>
              </w:rPr>
              <w:t>από</w:t>
            </w:r>
            <w:r w:rsidRPr="00847FDD">
              <w:rPr>
                <w:rFonts w:ascii="Arial Narrow" w:hAnsi="Arial Narrow" w:cs="Arial"/>
                <w:b/>
                <w:bCs/>
                <w:sz w:val="16"/>
                <w:szCs w:val="16"/>
              </w:rPr>
              <w:t xml:space="preserve"> ΔΝΤ (</w:t>
            </w:r>
            <w:r>
              <w:rPr>
                <w:rFonts w:ascii="Arial Narrow" w:hAnsi="Arial Narrow" w:cs="Arial"/>
                <w:b/>
                <w:bCs/>
                <w:sz w:val="16"/>
                <w:szCs w:val="16"/>
              </w:rPr>
              <w:t xml:space="preserve">μετά </w:t>
            </w:r>
            <w:r w:rsidRPr="00847FDD">
              <w:rPr>
                <w:rFonts w:ascii="Arial Narrow" w:hAnsi="Arial Narrow" w:cs="Arial"/>
                <w:b/>
                <w:bCs/>
                <w:sz w:val="16"/>
                <w:szCs w:val="16"/>
              </w:rPr>
              <w:t>swap)</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άνεια</w:t>
            </w:r>
            <w:r w:rsidRPr="00847FDD">
              <w:rPr>
                <w:rFonts w:ascii="Arial Narrow" w:hAnsi="Arial Narrow" w:cs="Arial"/>
                <w:b/>
                <w:bCs/>
                <w:sz w:val="16"/>
                <w:szCs w:val="16"/>
              </w:rPr>
              <w:t xml:space="preserve"> </w:t>
            </w:r>
            <w:r>
              <w:rPr>
                <w:rFonts w:ascii="Arial Narrow" w:hAnsi="Arial Narrow" w:cs="Arial"/>
                <w:b/>
                <w:bCs/>
                <w:sz w:val="16"/>
                <w:szCs w:val="16"/>
              </w:rPr>
              <w:t>από χώρες Ε</w:t>
            </w:r>
            <w:r>
              <w:rPr>
                <w:rFonts w:ascii="Arial Narrow" w:hAnsi="Arial Narrow" w:cs="Arial"/>
                <w:b/>
                <w:bCs/>
                <w:sz w:val="16"/>
                <w:szCs w:val="16"/>
              </w:rPr>
              <w:t>υ</w:t>
            </w:r>
            <w:r>
              <w:rPr>
                <w:rFonts w:ascii="Arial Narrow" w:hAnsi="Arial Narrow" w:cs="Arial"/>
                <w:b/>
                <w:bCs/>
                <w:sz w:val="16"/>
                <w:szCs w:val="16"/>
              </w:rPr>
              <w:t xml:space="preserve">ρωπαϊκής Ένωσης </w:t>
            </w:r>
            <w:r w:rsidRPr="00847FDD">
              <w:rPr>
                <w:rFonts w:ascii="Arial Narrow" w:hAnsi="Arial Narrow" w:cs="Arial"/>
                <w:b/>
                <w:bCs/>
                <w:sz w:val="16"/>
                <w:szCs w:val="16"/>
              </w:rPr>
              <w:t>(GLF)</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άνεια από</w:t>
            </w:r>
            <w:r w:rsidRPr="00847FDD">
              <w:rPr>
                <w:rFonts w:ascii="Arial Narrow" w:hAnsi="Arial Narrow" w:cs="Arial"/>
                <w:b/>
                <w:bCs/>
                <w:sz w:val="16"/>
                <w:szCs w:val="16"/>
              </w:rPr>
              <w:t xml:space="preserve"> EFSF &amp; ESM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617A5"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 xml:space="preserve">άνεια από </w:t>
            </w:r>
            <w:r w:rsidRPr="00847FDD">
              <w:rPr>
                <w:rFonts w:ascii="Arial Narrow" w:hAnsi="Arial Narrow" w:cs="Arial"/>
                <w:b/>
                <w:bCs/>
                <w:sz w:val="16"/>
                <w:szCs w:val="16"/>
              </w:rPr>
              <w:t>Ε</w:t>
            </w:r>
            <w:r>
              <w:rPr>
                <w:rFonts w:ascii="Arial Narrow" w:hAnsi="Arial Narrow" w:cs="Arial"/>
                <w:b/>
                <w:bCs/>
                <w:sz w:val="16"/>
                <w:szCs w:val="16"/>
              </w:rPr>
              <w:t>υρωπαϊκή</w:t>
            </w:r>
            <w:r w:rsidRPr="00847FDD">
              <w:rPr>
                <w:rFonts w:ascii="Arial Narrow" w:hAnsi="Arial Narrow" w:cs="Arial"/>
                <w:b/>
                <w:bCs/>
                <w:sz w:val="16"/>
                <w:szCs w:val="16"/>
              </w:rPr>
              <w:t xml:space="preserve"> Τ</w:t>
            </w:r>
            <w:r>
              <w:rPr>
                <w:rFonts w:ascii="Arial Narrow" w:hAnsi="Arial Narrow" w:cs="Arial"/>
                <w:b/>
                <w:bCs/>
                <w:sz w:val="16"/>
                <w:szCs w:val="16"/>
              </w:rPr>
              <w:t xml:space="preserve">ράπεζα </w:t>
            </w:r>
          </w:p>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Ε</w:t>
            </w:r>
            <w:r>
              <w:rPr>
                <w:rFonts w:ascii="Arial Narrow" w:hAnsi="Arial Narrow" w:cs="Arial"/>
                <w:b/>
                <w:bCs/>
                <w:sz w:val="16"/>
                <w:szCs w:val="16"/>
              </w:rPr>
              <w:t xml:space="preserve">πενδύσεων </w:t>
            </w:r>
            <w:r w:rsidRPr="00847FDD">
              <w:rPr>
                <w:rFonts w:ascii="Arial Narrow" w:hAnsi="Arial Narrow" w:cs="Arial"/>
                <w:b/>
                <w:bCs/>
                <w:sz w:val="16"/>
                <w:szCs w:val="16"/>
              </w:rPr>
              <w:t>(EIB)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 xml:space="preserve">άνεια από </w:t>
            </w:r>
            <w:r w:rsidRPr="00847FDD">
              <w:rPr>
                <w:rFonts w:ascii="Arial Narrow" w:hAnsi="Arial Narrow" w:cs="Arial"/>
                <w:b/>
                <w:bCs/>
                <w:sz w:val="16"/>
                <w:szCs w:val="16"/>
              </w:rPr>
              <w:t>Τ</w:t>
            </w:r>
            <w:r>
              <w:rPr>
                <w:rFonts w:ascii="Arial Narrow" w:hAnsi="Arial Narrow" w:cs="Arial"/>
                <w:b/>
                <w:bCs/>
                <w:sz w:val="16"/>
                <w:szCs w:val="16"/>
              </w:rPr>
              <w:t xml:space="preserve">ράπεζα </w:t>
            </w:r>
            <w:r w:rsidRPr="00847FDD">
              <w:rPr>
                <w:rFonts w:ascii="Arial Narrow" w:hAnsi="Arial Narrow" w:cs="Arial"/>
                <w:b/>
                <w:bCs/>
                <w:sz w:val="16"/>
                <w:szCs w:val="16"/>
              </w:rPr>
              <w:t>Ε</w:t>
            </w:r>
            <w:r>
              <w:rPr>
                <w:rFonts w:ascii="Arial Narrow" w:hAnsi="Arial Narrow" w:cs="Arial"/>
                <w:b/>
                <w:bCs/>
                <w:sz w:val="16"/>
                <w:szCs w:val="16"/>
              </w:rPr>
              <w:t>λλάδος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sidRPr="00847FDD">
              <w:rPr>
                <w:rFonts w:ascii="Arial Narrow" w:hAnsi="Arial Narrow" w:cs="Arial"/>
                <w:b/>
                <w:bCs/>
                <w:sz w:val="16"/>
                <w:szCs w:val="16"/>
              </w:rPr>
              <w:t>Λ</w:t>
            </w:r>
            <w:r>
              <w:rPr>
                <w:rFonts w:ascii="Arial Narrow" w:hAnsi="Arial Narrow" w:cs="Arial"/>
                <w:b/>
                <w:bCs/>
                <w:sz w:val="16"/>
                <w:szCs w:val="16"/>
              </w:rPr>
              <w:t>οιπά δάνεια</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Pr>
                <w:rFonts w:ascii="Arial Narrow" w:hAnsi="Arial Narrow" w:cs="Arial"/>
                <w:b/>
                <w:bCs/>
                <w:sz w:val="16"/>
                <w:szCs w:val="16"/>
              </w:rPr>
              <w:t>Σύνολο</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47FDD" w:rsidRPr="00847FDD" w:rsidRDefault="00847FDD" w:rsidP="00847FDD">
            <w:pPr>
              <w:jc w:val="center"/>
              <w:rPr>
                <w:rFonts w:ascii="Arial Narrow" w:hAnsi="Arial Narrow" w:cs="Arial"/>
                <w:b/>
                <w:bCs/>
                <w:sz w:val="16"/>
                <w:szCs w:val="16"/>
              </w:rPr>
            </w:pPr>
            <w:r>
              <w:rPr>
                <w:rFonts w:ascii="Arial Narrow" w:hAnsi="Arial Narrow" w:cs="Arial"/>
                <w:b/>
                <w:bCs/>
                <w:sz w:val="16"/>
                <w:szCs w:val="16"/>
              </w:rPr>
              <w:t>Ποσοστό απόσβεσης</w:t>
            </w:r>
          </w:p>
        </w:tc>
      </w:tr>
      <w:tr w:rsidR="00847FDD" w:rsidRPr="00847FDD" w:rsidTr="00847FDD">
        <w:trPr>
          <w:trHeight w:val="227"/>
        </w:trPr>
        <w:tc>
          <w:tcPr>
            <w:tcW w:w="636" w:type="dxa"/>
            <w:tcBorders>
              <w:top w:val="single" w:sz="4" w:space="0" w:color="auto"/>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2018</w:t>
            </w:r>
          </w:p>
        </w:tc>
        <w:tc>
          <w:tcPr>
            <w:tcW w:w="709"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7.839,2</w:t>
            </w:r>
          </w:p>
        </w:tc>
        <w:tc>
          <w:tcPr>
            <w:tcW w:w="850"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21.212,5</w:t>
            </w:r>
          </w:p>
        </w:tc>
        <w:tc>
          <w:tcPr>
            <w:tcW w:w="709"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435,8</w:t>
            </w:r>
          </w:p>
        </w:tc>
        <w:tc>
          <w:tcPr>
            <w:tcW w:w="850"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992"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41,1</w:t>
            </w:r>
          </w:p>
        </w:tc>
        <w:tc>
          <w:tcPr>
            <w:tcW w:w="851"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2,2</w:t>
            </w:r>
          </w:p>
        </w:tc>
        <w:tc>
          <w:tcPr>
            <w:tcW w:w="708"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3,6</w:t>
            </w:r>
          </w:p>
        </w:tc>
        <w:tc>
          <w:tcPr>
            <w:tcW w:w="807" w:type="dxa"/>
            <w:tcBorders>
              <w:top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29.534,5</w:t>
            </w:r>
          </w:p>
        </w:tc>
        <w:tc>
          <w:tcPr>
            <w:tcW w:w="876" w:type="dxa"/>
            <w:tcBorders>
              <w:top w:val="single" w:sz="4" w:space="0" w:color="auto"/>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8,30%</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2019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7.444,1</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8.778,3</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1.983,1</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324,3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472,2</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181,3</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19.183,2</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5,39%</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1.366,4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1.983,1</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706,3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331,3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472,2</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181,1</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5.040,4</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1,42%</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1.983,1</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2.073,8</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374,8</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472,2</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186,0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5.089,9</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1,43%</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4.312,2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1.850,4</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376,6</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472,2</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191,1</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9.847,5</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2,77%</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2023</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4.906,4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1.294,6</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2.302,5</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376,9</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486,8</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196,5</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12.208,6</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3,43%</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1.750,9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284,4</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2.302,5</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384,5</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308,1</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7.675,4</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2,16%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2025</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3.484,9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2.302,5</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391,6</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207,7</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9.031,7</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2,54%</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2026</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1.149,0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2.302,5</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392,6</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213,5</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6.702,6</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1,88%</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2027</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160,6</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2.302,5</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1.356,6</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219,6</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6.684,3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1,88%</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2028</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6.346,0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2.396,7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702,7</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225,8</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12.316,2</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3,46%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2029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164,8</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2.396,7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158,6</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232,2</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5.597,3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1,57%</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254,1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2.396,7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720,0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238,8</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6.254,7</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1,76%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129,0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2.396,7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457,8</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245,7</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5.874,2</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1,65%</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126,2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2.396,7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756,2</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252,7</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6.176,8</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1,74%</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2033</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6.238,1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2.396,7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445,4</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253,5</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11.978,8</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3,37%</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468,3</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3.523,0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260,2</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6.922,9</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1,94%</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2035</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144,4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3.540,4</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32,5</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259,0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6.621,3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1,86%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2036</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166,2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3.557,8</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267,0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6.656,3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1,87%</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2037</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5.083,7</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3.575,2</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16,0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275,1</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11.595,0</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3,26%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2038</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146,9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3.271,9</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9,5</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6.073,3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1,71%</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2039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135,1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2.645,0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3.289,3</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9,5</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6.078,9</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1,71%</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141,9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1.938,8</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3.306,7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9,5</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5.396,8</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1,52%</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136,8</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571,3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3.327,5</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9,5</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4.045,1</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1,14%</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4.767,4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3.348,4</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8.116,0</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2,28%</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2043</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5.443,3</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5.443,6</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1,53%</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5.464,2</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5.464,5</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1,54%</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2045</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6.068,4</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6.068,7</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1,71%</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2046</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6.489,3</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6.489,6</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1,82%</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2047</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7.760,2</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0,3</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7.760,5</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2,18%</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2048</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7.581,1</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0,1</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7.581,1</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2,13%</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2049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8.651,9</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8.651,9</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2,43%</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9.176,3</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9.176,3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2,58%</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2051</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10.365,1</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10.365,1</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2,91%</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2052</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10.529,7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10.529,7</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2,96%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2053</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10.861,0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10.861,0</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3,05%</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2054</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11.220,3</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11.220,3</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3,15%</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2055</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10.518,4</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10.518,4</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2,95%</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2056</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10.544,4</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10.544,4</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2,96%</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2057</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1.181,7</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3.332,8</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4.514,5</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1,27%</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2058</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3.358,7</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3.358,7</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0,94%</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2059</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3.377,0</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3.377,0</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0,95%</w:t>
            </w:r>
          </w:p>
        </w:tc>
      </w:tr>
      <w:tr w:rsidR="00847FDD" w:rsidRPr="00847FDD" w:rsidTr="00847FDD">
        <w:trPr>
          <w:trHeight w:val="227"/>
        </w:trPr>
        <w:tc>
          <w:tcPr>
            <w:tcW w:w="636" w:type="dxa"/>
            <w:tcBorders>
              <w:top w:val="nil"/>
              <w:left w:val="single" w:sz="4" w:space="0" w:color="auto"/>
            </w:tcBorders>
            <w:shd w:val="clear" w:color="auto" w:fill="auto"/>
            <w:noWrap/>
            <w:vAlign w:val="bottom"/>
            <w:hideMark/>
          </w:tcPr>
          <w:p w:rsidR="00847FDD" w:rsidRPr="00847FDD" w:rsidRDefault="00847FDD" w:rsidP="00847FDD">
            <w:pPr>
              <w:jc w:val="center"/>
              <w:rPr>
                <w:rFonts w:ascii="Arial Narrow" w:hAnsi="Arial Narrow" w:cs="Arial"/>
                <w:sz w:val="16"/>
                <w:szCs w:val="16"/>
              </w:rPr>
            </w:pPr>
            <w:r w:rsidRPr="00847FDD">
              <w:rPr>
                <w:rFonts w:ascii="Arial Narrow" w:hAnsi="Arial Narrow" w:cs="Arial"/>
                <w:sz w:val="16"/>
                <w:szCs w:val="16"/>
              </w:rPr>
              <w:t>2060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9"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0"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3.407,4</w:t>
            </w:r>
          </w:p>
        </w:tc>
        <w:tc>
          <w:tcPr>
            <w:tcW w:w="992"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51"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708"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sz w:val="16"/>
                <w:szCs w:val="16"/>
              </w:rPr>
            </w:pPr>
            <w:r w:rsidRPr="00847FDD">
              <w:rPr>
                <w:rFonts w:ascii="Arial Narrow" w:hAnsi="Arial Narrow" w:cs="Arial"/>
                <w:sz w:val="16"/>
                <w:szCs w:val="16"/>
              </w:rPr>
              <w:t>0,0</w:t>
            </w:r>
          </w:p>
        </w:tc>
        <w:tc>
          <w:tcPr>
            <w:tcW w:w="807" w:type="dxa"/>
            <w:tcBorders>
              <w:top w:val="nil"/>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3.407,4</w:t>
            </w:r>
          </w:p>
        </w:tc>
        <w:tc>
          <w:tcPr>
            <w:tcW w:w="876" w:type="dxa"/>
            <w:tcBorders>
              <w:top w:val="nil"/>
              <w:right w:val="single" w:sz="4" w:space="0" w:color="auto"/>
            </w:tcBorders>
            <w:shd w:val="clear" w:color="auto" w:fill="auto"/>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0,96%</w:t>
            </w:r>
          </w:p>
        </w:tc>
      </w:tr>
      <w:tr w:rsidR="00847FDD" w:rsidRPr="00847FDD" w:rsidTr="0031536C">
        <w:trPr>
          <w:trHeight w:val="227"/>
        </w:trPr>
        <w:tc>
          <w:tcPr>
            <w:tcW w:w="636" w:type="dxa"/>
            <w:tcBorders>
              <w:top w:val="nil"/>
              <w:left w:val="single" w:sz="4" w:space="0" w:color="auto"/>
              <w:bottom w:val="single" w:sz="4" w:space="0" w:color="auto"/>
            </w:tcBorders>
            <w:shd w:val="clear" w:color="auto" w:fill="D9D9D9" w:themeFill="background1" w:themeFillShade="D9"/>
            <w:noWrap/>
            <w:vAlign w:val="bottom"/>
            <w:hideMark/>
          </w:tcPr>
          <w:p w:rsidR="00847FDD" w:rsidRPr="00847FDD" w:rsidRDefault="00847FDD" w:rsidP="00847FDD">
            <w:pPr>
              <w:rPr>
                <w:rFonts w:ascii="Arial Narrow" w:hAnsi="Arial Narrow" w:cs="Arial"/>
                <w:b/>
                <w:bCs/>
                <w:sz w:val="16"/>
                <w:szCs w:val="16"/>
              </w:rPr>
            </w:pPr>
            <w:r w:rsidRPr="00847FDD">
              <w:rPr>
                <w:rFonts w:ascii="Arial Narrow" w:hAnsi="Arial Narrow" w:cs="Arial"/>
                <w:b/>
                <w:bCs/>
                <w:sz w:val="16"/>
                <w:szCs w:val="16"/>
              </w:rPr>
              <w:t>Σ</w:t>
            </w:r>
            <w:r w:rsidR="00275240">
              <w:rPr>
                <w:rFonts w:ascii="Arial Narrow" w:hAnsi="Arial Narrow" w:cs="Arial"/>
                <w:b/>
                <w:bCs/>
                <w:sz w:val="16"/>
                <w:szCs w:val="16"/>
              </w:rPr>
              <w:t>ύνολο</w:t>
            </w:r>
          </w:p>
        </w:tc>
        <w:tc>
          <w:tcPr>
            <w:tcW w:w="709"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15.283,3</w:t>
            </w:r>
          </w:p>
        </w:tc>
        <w:tc>
          <w:tcPr>
            <w:tcW w:w="850"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21.212,5</w:t>
            </w:r>
          </w:p>
        </w:tc>
        <w:tc>
          <w:tcPr>
            <w:tcW w:w="709"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51.539,4</w:t>
            </w:r>
          </w:p>
        </w:tc>
        <w:tc>
          <w:tcPr>
            <w:tcW w:w="709"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9.814,6</w:t>
            </w:r>
          </w:p>
        </w:tc>
        <w:tc>
          <w:tcPr>
            <w:tcW w:w="850"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52.900,0</w:t>
            </w:r>
          </w:p>
        </w:tc>
        <w:tc>
          <w:tcPr>
            <w:tcW w:w="851"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190.782,3</w:t>
            </w:r>
          </w:p>
        </w:tc>
        <w:tc>
          <w:tcPr>
            <w:tcW w:w="992"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7.725,7</w:t>
            </w:r>
          </w:p>
        </w:tc>
        <w:tc>
          <w:tcPr>
            <w:tcW w:w="851"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2.377,8</w:t>
            </w:r>
          </w:p>
        </w:tc>
        <w:tc>
          <w:tcPr>
            <w:tcW w:w="708"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4.398,5</w:t>
            </w:r>
          </w:p>
        </w:tc>
        <w:tc>
          <w:tcPr>
            <w:tcW w:w="807" w:type="dxa"/>
            <w:tcBorders>
              <w:top w:val="nil"/>
              <w:bottom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356.034,1</w:t>
            </w:r>
          </w:p>
        </w:tc>
        <w:tc>
          <w:tcPr>
            <w:tcW w:w="876" w:type="dxa"/>
            <w:tcBorders>
              <w:top w:val="nil"/>
              <w:bottom w:val="single" w:sz="4" w:space="0" w:color="auto"/>
              <w:right w:val="single" w:sz="4" w:space="0" w:color="auto"/>
            </w:tcBorders>
            <w:shd w:val="clear" w:color="auto" w:fill="D9D9D9" w:themeFill="background1" w:themeFillShade="D9"/>
            <w:noWrap/>
            <w:vAlign w:val="bottom"/>
            <w:hideMark/>
          </w:tcPr>
          <w:p w:rsidR="00847FDD" w:rsidRPr="00847FDD" w:rsidRDefault="00847FDD" w:rsidP="003617A5">
            <w:pPr>
              <w:ind w:right="57"/>
              <w:jc w:val="right"/>
              <w:rPr>
                <w:rFonts w:ascii="Arial Narrow" w:hAnsi="Arial Narrow" w:cs="Arial"/>
                <w:b/>
                <w:bCs/>
                <w:sz w:val="16"/>
                <w:szCs w:val="16"/>
              </w:rPr>
            </w:pPr>
            <w:r w:rsidRPr="00847FDD">
              <w:rPr>
                <w:rFonts w:ascii="Arial Narrow" w:hAnsi="Arial Narrow" w:cs="Arial"/>
                <w:b/>
                <w:bCs/>
                <w:sz w:val="16"/>
                <w:szCs w:val="16"/>
              </w:rPr>
              <w:t>100,00%</w:t>
            </w:r>
          </w:p>
        </w:tc>
      </w:tr>
    </w:tbl>
    <w:p w:rsidR="00002D30" w:rsidRPr="00847FDD" w:rsidRDefault="0099665D" w:rsidP="00847FDD">
      <w:pPr>
        <w:rPr>
          <w:rFonts w:ascii="Arial Narrow" w:hAnsi="Arial Narrow" w:cs="Arial"/>
          <w:sz w:val="16"/>
          <w:szCs w:val="16"/>
        </w:rPr>
      </w:pPr>
      <w:r>
        <w:rPr>
          <w:rFonts w:ascii="Arial Narrow" w:hAnsi="Arial Narrow" w:cs="Arial"/>
          <w:sz w:val="16"/>
          <w:szCs w:val="16"/>
        </w:rPr>
        <w:t xml:space="preserve">  Σημ.: </w:t>
      </w:r>
      <w:r w:rsidR="00002D30" w:rsidRPr="00847FDD">
        <w:rPr>
          <w:rFonts w:ascii="Arial Narrow" w:hAnsi="Arial Narrow" w:cs="Arial"/>
          <w:sz w:val="16"/>
          <w:szCs w:val="16"/>
        </w:rPr>
        <w:t>Δεν περιλαμβάνεται η επιμήκυνση των δανείων του EFSF που συμφωνήθηκε στο Eurogroup της 22-6-2018</w:t>
      </w:r>
      <w:r w:rsidR="001B1FA6">
        <w:rPr>
          <w:rFonts w:ascii="Arial Narrow" w:hAnsi="Arial Narrow" w:cs="Arial"/>
          <w:sz w:val="16"/>
          <w:szCs w:val="16"/>
        </w:rPr>
        <w:t>.</w:t>
      </w:r>
    </w:p>
    <w:p w:rsidR="00847FDD" w:rsidRPr="00847FDD" w:rsidRDefault="00847FDD" w:rsidP="009468BC">
      <w:pPr>
        <w:tabs>
          <w:tab w:val="left" w:pos="180"/>
        </w:tabs>
        <w:jc w:val="both"/>
        <w:rPr>
          <w:sz w:val="22"/>
          <w:szCs w:val="22"/>
        </w:rPr>
      </w:pPr>
    </w:p>
    <w:p w:rsidR="00847FDD" w:rsidRPr="00666622" w:rsidRDefault="00847FDD" w:rsidP="009468BC">
      <w:pPr>
        <w:tabs>
          <w:tab w:val="left" w:pos="180"/>
        </w:tabs>
        <w:jc w:val="both"/>
        <w:rPr>
          <w:rFonts w:ascii="Arial Narrow" w:hAnsi="Arial Narrow"/>
          <w:sz w:val="18"/>
          <w:szCs w:val="16"/>
        </w:rPr>
      </w:pPr>
    </w:p>
    <w:p w:rsidR="009468BC" w:rsidRPr="0015043C" w:rsidRDefault="009468BC" w:rsidP="009468BC">
      <w:pPr>
        <w:tabs>
          <w:tab w:val="left" w:pos="180"/>
        </w:tabs>
        <w:jc w:val="both"/>
        <w:rPr>
          <w:rFonts w:ascii="Arial Narrow" w:hAnsi="Arial Narrow"/>
          <w:sz w:val="16"/>
          <w:szCs w:val="16"/>
        </w:rPr>
      </w:pPr>
    </w:p>
    <w:p w:rsidR="0031536C" w:rsidRDefault="0031536C">
      <w:pPr>
        <w:rPr>
          <w:rFonts w:ascii="Arial Narrow" w:hAnsi="Arial Narrow"/>
          <w:b/>
          <w:color w:val="FFFFFF"/>
          <w:sz w:val="26"/>
          <w:szCs w:val="26"/>
        </w:rPr>
      </w:pPr>
      <w:r>
        <w:rPr>
          <w:rFonts w:ascii="Arial Narrow" w:hAnsi="Arial Narrow"/>
          <w:b/>
          <w:color w:val="FFFFFF"/>
          <w:sz w:val="26"/>
          <w:szCs w:val="26"/>
        </w:rPr>
        <w:br w:type="page"/>
      </w:r>
    </w:p>
    <w:tbl>
      <w:tblPr>
        <w:tblW w:w="0" w:type="auto"/>
        <w:tblBorders>
          <w:insideV w:val="single" w:sz="4" w:space="0" w:color="auto"/>
        </w:tblBorders>
        <w:tblLook w:val="00A0"/>
      </w:tblPr>
      <w:tblGrid>
        <w:gridCol w:w="9287"/>
      </w:tblGrid>
      <w:tr w:rsidR="0031536C" w:rsidRPr="0015043C" w:rsidTr="0099665D">
        <w:tc>
          <w:tcPr>
            <w:tcW w:w="9287" w:type="dxa"/>
            <w:shd w:val="clear" w:color="auto" w:fill="404040" w:themeFill="text1" w:themeFillTint="BF"/>
          </w:tcPr>
          <w:p w:rsidR="0031536C" w:rsidRPr="0015043C" w:rsidRDefault="0031536C" w:rsidP="0099665D">
            <w:pPr>
              <w:pStyle w:val="a6"/>
              <w:tabs>
                <w:tab w:val="left" w:pos="4608"/>
                <w:tab w:val="left" w:pos="5508"/>
                <w:tab w:val="left" w:pos="6588"/>
              </w:tabs>
              <w:spacing w:before="120"/>
              <w:jc w:val="center"/>
              <w:rPr>
                <w:rFonts w:ascii="Arial Narrow" w:hAnsi="Arial Narrow" w:cs="Times New Roman"/>
                <w:b/>
                <w:color w:val="FFFFFF"/>
                <w:sz w:val="24"/>
              </w:rPr>
            </w:pPr>
            <w:r>
              <w:rPr>
                <w:rFonts w:ascii="Arial Narrow" w:hAnsi="Arial Narrow" w:cs="Times New Roman"/>
                <w:b/>
                <w:color w:val="FFFFFF"/>
                <w:sz w:val="24"/>
              </w:rPr>
              <w:lastRenderedPageBreak/>
              <w:t xml:space="preserve">Διάγραμμα </w:t>
            </w:r>
            <w:r w:rsidRPr="00707F23">
              <w:rPr>
                <w:rFonts w:ascii="Arial Narrow" w:hAnsi="Arial Narrow" w:cs="Times New Roman"/>
                <w:b/>
                <w:color w:val="FFFFFF"/>
                <w:sz w:val="24"/>
              </w:rPr>
              <w:t>4</w:t>
            </w:r>
            <w:r>
              <w:rPr>
                <w:rFonts w:ascii="Arial Narrow" w:hAnsi="Arial Narrow" w:cs="Times New Roman"/>
                <w:b/>
                <w:color w:val="FFFFFF"/>
                <w:sz w:val="24"/>
              </w:rPr>
              <w:t xml:space="preserve">.1 </w:t>
            </w:r>
            <w:r w:rsidRPr="0015043C">
              <w:rPr>
                <w:rFonts w:ascii="Arial Narrow" w:hAnsi="Arial Narrow" w:cs="Times New Roman"/>
                <w:b/>
                <w:color w:val="FFFFFF"/>
                <w:sz w:val="24"/>
              </w:rPr>
              <w:t xml:space="preserve"> Χρονοδιάγραμμα λήξης χρέους της Κεντρικής </w:t>
            </w:r>
            <w:r>
              <w:rPr>
                <w:rFonts w:ascii="Arial Narrow" w:hAnsi="Arial Narrow" w:cs="Times New Roman"/>
                <w:b/>
                <w:color w:val="FFFFFF"/>
                <w:sz w:val="24"/>
              </w:rPr>
              <w:t>Διοίκησης</w:t>
            </w:r>
          </w:p>
          <w:p w:rsidR="0031536C" w:rsidRPr="0031536C" w:rsidRDefault="0031536C" w:rsidP="0099665D">
            <w:pPr>
              <w:jc w:val="center"/>
              <w:rPr>
                <w:rFonts w:ascii="Arial Narrow" w:hAnsi="Arial Narrow"/>
                <w:b/>
                <w:color w:val="FFFFFF"/>
              </w:rPr>
            </w:pPr>
            <w:r>
              <w:rPr>
                <w:rFonts w:ascii="Arial Narrow" w:hAnsi="Arial Narrow"/>
                <w:b/>
                <w:color w:val="FFFFFF"/>
              </w:rPr>
              <w:t>την 3</w:t>
            </w:r>
            <w:r w:rsidRPr="0099665D">
              <w:rPr>
                <w:rFonts w:ascii="Arial Narrow" w:hAnsi="Arial Narrow"/>
                <w:b/>
                <w:color w:val="FFFFFF"/>
              </w:rPr>
              <w:t>0/9</w:t>
            </w:r>
            <w:r>
              <w:rPr>
                <w:rFonts w:ascii="Arial Narrow" w:hAnsi="Arial Narrow"/>
                <w:b/>
                <w:color w:val="FFFFFF"/>
              </w:rPr>
              <w:t>/2018</w:t>
            </w:r>
          </w:p>
          <w:p w:rsidR="0031536C" w:rsidRPr="0015043C" w:rsidRDefault="0031536C" w:rsidP="0099665D">
            <w:pPr>
              <w:spacing w:after="120"/>
              <w:jc w:val="center"/>
              <w:rPr>
                <w:sz w:val="22"/>
                <w:szCs w:val="22"/>
              </w:rPr>
            </w:pPr>
            <w:r w:rsidRPr="0015043C">
              <w:rPr>
                <w:rFonts w:ascii="Arial Narrow" w:hAnsi="Arial Narrow"/>
                <w:b/>
                <w:color w:val="FFFFFF"/>
                <w:szCs w:val="16"/>
              </w:rPr>
              <w:t>(σε εκατ. ευρώ)</w:t>
            </w:r>
          </w:p>
        </w:tc>
      </w:tr>
      <w:tr w:rsidR="0031536C" w:rsidRPr="0015043C" w:rsidTr="0099665D">
        <w:tc>
          <w:tcPr>
            <w:tcW w:w="9287" w:type="dxa"/>
          </w:tcPr>
          <w:p w:rsidR="0031536C" w:rsidRPr="0015043C" w:rsidRDefault="0031536C" w:rsidP="0099665D">
            <w:pPr>
              <w:pStyle w:val="a6"/>
              <w:tabs>
                <w:tab w:val="left" w:pos="4608"/>
                <w:tab w:val="left" w:pos="5508"/>
                <w:tab w:val="left" w:pos="6588"/>
              </w:tabs>
              <w:spacing w:before="60" w:after="60"/>
              <w:jc w:val="center"/>
              <w:rPr>
                <w:rFonts w:ascii="Arial Narrow" w:hAnsi="Arial Narrow" w:cs="Times New Roman"/>
                <w:b/>
                <w:color w:val="FFFFFF"/>
                <w:sz w:val="24"/>
              </w:rPr>
            </w:pPr>
            <w:r w:rsidRPr="0031536C">
              <w:rPr>
                <w:rFonts w:ascii="Arial Narrow" w:hAnsi="Arial Narrow" w:cs="Times New Roman"/>
                <w:b/>
                <w:noProof/>
                <w:color w:val="FFFFFF"/>
                <w:sz w:val="24"/>
              </w:rPr>
              <w:drawing>
                <wp:inline distT="0" distB="0" distL="0" distR="0">
                  <wp:extent cx="5486400" cy="2387600"/>
                  <wp:effectExtent l="0" t="0" r="0" b="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99665D" w:rsidRPr="00847FDD" w:rsidRDefault="0099665D" w:rsidP="0099665D">
      <w:pPr>
        <w:rPr>
          <w:rFonts w:ascii="Arial Narrow" w:hAnsi="Arial Narrow" w:cs="Arial"/>
          <w:sz w:val="16"/>
          <w:szCs w:val="16"/>
        </w:rPr>
      </w:pPr>
      <w:r>
        <w:rPr>
          <w:rFonts w:ascii="Arial Narrow" w:hAnsi="Arial Narrow" w:cs="Arial"/>
          <w:sz w:val="16"/>
          <w:szCs w:val="16"/>
        </w:rPr>
        <w:t xml:space="preserve">Σημ.: </w:t>
      </w:r>
      <w:r w:rsidRPr="00847FDD">
        <w:rPr>
          <w:rFonts w:ascii="Arial Narrow" w:hAnsi="Arial Narrow" w:cs="Arial"/>
          <w:sz w:val="16"/>
          <w:szCs w:val="16"/>
        </w:rPr>
        <w:t>Δεν περιλαμβάνεται η επιμήκυνση των δανείων του EFSF που συμφωνήθηκε στο Eurogroup της 22-6-2018</w:t>
      </w:r>
      <w:r>
        <w:rPr>
          <w:rFonts w:ascii="Arial Narrow" w:hAnsi="Arial Narrow" w:cs="Arial"/>
          <w:sz w:val="16"/>
          <w:szCs w:val="16"/>
        </w:rPr>
        <w:t>.</w:t>
      </w:r>
    </w:p>
    <w:p w:rsidR="0031536C" w:rsidRDefault="0031536C" w:rsidP="0031536C">
      <w:pPr>
        <w:tabs>
          <w:tab w:val="left" w:pos="180"/>
        </w:tabs>
        <w:jc w:val="both"/>
        <w:rPr>
          <w:rFonts w:ascii="Arial Narrow" w:hAnsi="Arial Narrow"/>
          <w:sz w:val="16"/>
          <w:szCs w:val="16"/>
        </w:rPr>
      </w:pPr>
      <w:r w:rsidRPr="0015043C">
        <w:rPr>
          <w:rFonts w:ascii="Arial Narrow" w:hAnsi="Arial Narrow"/>
          <w:sz w:val="16"/>
          <w:szCs w:val="16"/>
        </w:rPr>
        <w:t xml:space="preserve">Πηγή:  </w:t>
      </w:r>
      <w:r>
        <w:rPr>
          <w:rFonts w:ascii="Arial Narrow" w:hAnsi="Arial Narrow"/>
          <w:sz w:val="16"/>
          <w:szCs w:val="16"/>
        </w:rPr>
        <w:t>ΟΔΔΗΧ</w:t>
      </w:r>
    </w:p>
    <w:p w:rsidR="009468BC" w:rsidRDefault="009468BC" w:rsidP="00E93186">
      <w:pPr>
        <w:jc w:val="both"/>
        <w:rPr>
          <w:color w:val="FFFFFF"/>
          <w:sz w:val="22"/>
          <w:szCs w:val="22"/>
        </w:rPr>
      </w:pPr>
    </w:p>
    <w:p w:rsidR="00235D78" w:rsidRDefault="00235D78" w:rsidP="00E93186">
      <w:pPr>
        <w:jc w:val="both"/>
        <w:rPr>
          <w:sz w:val="22"/>
          <w:szCs w:val="22"/>
        </w:rPr>
      </w:pPr>
    </w:p>
    <w:p w:rsidR="00E93186" w:rsidRPr="00E3344E" w:rsidRDefault="00E93186" w:rsidP="00E93186">
      <w:pPr>
        <w:jc w:val="both"/>
        <w:rPr>
          <w:sz w:val="22"/>
          <w:szCs w:val="22"/>
        </w:rPr>
      </w:pPr>
      <w:r w:rsidRPr="00E3344E">
        <w:rPr>
          <w:sz w:val="22"/>
          <w:szCs w:val="22"/>
        </w:rPr>
        <w:t>Ε</w:t>
      </w:r>
      <w:r>
        <w:rPr>
          <w:sz w:val="22"/>
          <w:szCs w:val="22"/>
        </w:rPr>
        <w:t>πισημαίνεται ότι στις 30/09/2018</w:t>
      </w:r>
      <w:r w:rsidRPr="00E3344E">
        <w:rPr>
          <w:sz w:val="22"/>
          <w:szCs w:val="22"/>
        </w:rPr>
        <w:t xml:space="preserve"> το ύψος των ομολόγων του Ε</w:t>
      </w:r>
      <w:r w:rsidR="00014FFC">
        <w:rPr>
          <w:sz w:val="22"/>
          <w:szCs w:val="22"/>
        </w:rPr>
        <w:t xml:space="preserve">Δ αποτελούσε </w:t>
      </w:r>
      <w:r w:rsidRPr="00E3344E">
        <w:rPr>
          <w:sz w:val="22"/>
          <w:szCs w:val="22"/>
        </w:rPr>
        <w:t>το 1</w:t>
      </w:r>
      <w:r w:rsidRPr="0077794A">
        <w:rPr>
          <w:sz w:val="22"/>
          <w:szCs w:val="22"/>
        </w:rPr>
        <w:t>4</w:t>
      </w:r>
      <w:r>
        <w:rPr>
          <w:sz w:val="22"/>
          <w:szCs w:val="22"/>
        </w:rPr>
        <w:t>,0</w:t>
      </w:r>
      <w:r w:rsidRPr="00E3344E">
        <w:rPr>
          <w:sz w:val="22"/>
          <w:szCs w:val="22"/>
        </w:rPr>
        <w:t xml:space="preserve">% του χρέους </w:t>
      </w:r>
      <w:r w:rsidR="00977014">
        <w:rPr>
          <w:sz w:val="22"/>
          <w:szCs w:val="22"/>
        </w:rPr>
        <w:t xml:space="preserve">της </w:t>
      </w:r>
      <w:r w:rsidRPr="00E3344E">
        <w:rPr>
          <w:sz w:val="22"/>
          <w:szCs w:val="22"/>
        </w:rPr>
        <w:t>Κεντρικής Διοίκησης (έναντι 91</w:t>
      </w:r>
      <w:r w:rsidR="0099665D">
        <w:rPr>
          <w:sz w:val="22"/>
          <w:szCs w:val="22"/>
        </w:rPr>
        <w:t>,0</w:t>
      </w:r>
      <w:r w:rsidRPr="00E3344E">
        <w:rPr>
          <w:sz w:val="22"/>
          <w:szCs w:val="22"/>
        </w:rPr>
        <w:t>% το 2009)</w:t>
      </w:r>
      <w:r w:rsidR="00014FFC">
        <w:rPr>
          <w:sz w:val="22"/>
          <w:szCs w:val="22"/>
        </w:rPr>
        <w:t>, ενώ τα</w:t>
      </w:r>
      <w:r w:rsidRPr="00E3344E">
        <w:rPr>
          <w:sz w:val="22"/>
          <w:szCs w:val="22"/>
        </w:rPr>
        <w:t xml:space="preserve"> δάνεια που ελήφθησαν από το</w:t>
      </w:r>
      <w:r>
        <w:rPr>
          <w:sz w:val="22"/>
          <w:szCs w:val="22"/>
        </w:rPr>
        <w:t>ν</w:t>
      </w:r>
      <w:r w:rsidRPr="00E3344E">
        <w:rPr>
          <w:sz w:val="22"/>
          <w:szCs w:val="22"/>
        </w:rPr>
        <w:t xml:space="preserve"> Μηχανι</w:t>
      </w:r>
      <w:r w:rsidR="00014FFC">
        <w:rPr>
          <w:sz w:val="22"/>
          <w:szCs w:val="22"/>
        </w:rPr>
        <w:t>σμό Στήριξης</w:t>
      </w:r>
      <w:r w:rsidRPr="00E3344E">
        <w:rPr>
          <w:sz w:val="22"/>
          <w:szCs w:val="22"/>
        </w:rPr>
        <w:t xml:space="preserve"> αποτελούν πλέον το </w:t>
      </w:r>
      <w:r w:rsidRPr="0077794A">
        <w:rPr>
          <w:sz w:val="22"/>
          <w:szCs w:val="22"/>
        </w:rPr>
        <w:t>7</w:t>
      </w:r>
      <w:r>
        <w:rPr>
          <w:sz w:val="22"/>
          <w:szCs w:val="22"/>
        </w:rPr>
        <w:t>1</w:t>
      </w:r>
      <w:r w:rsidRPr="0077794A">
        <w:rPr>
          <w:sz w:val="22"/>
          <w:szCs w:val="22"/>
        </w:rPr>
        <w:t>,2</w:t>
      </w:r>
      <w:r w:rsidRPr="00E3344E">
        <w:rPr>
          <w:sz w:val="22"/>
          <w:szCs w:val="22"/>
        </w:rPr>
        <w:t xml:space="preserve">% του χρέους </w:t>
      </w:r>
      <w:r w:rsidR="00977014">
        <w:rPr>
          <w:sz w:val="22"/>
          <w:szCs w:val="22"/>
        </w:rPr>
        <w:t xml:space="preserve">της </w:t>
      </w:r>
      <w:r w:rsidRPr="00E3344E">
        <w:rPr>
          <w:sz w:val="22"/>
          <w:szCs w:val="22"/>
        </w:rPr>
        <w:t>Κεντρικής Διοίκησης (διάγραμμα 4.2).</w:t>
      </w:r>
    </w:p>
    <w:p w:rsidR="00E93186" w:rsidRDefault="00E93186" w:rsidP="00E93186">
      <w:pPr>
        <w:jc w:val="both"/>
        <w:rPr>
          <w:color w:val="FFFFFF"/>
          <w:sz w:val="22"/>
          <w:szCs w:val="22"/>
        </w:rPr>
      </w:pPr>
    </w:p>
    <w:p w:rsidR="00235D78" w:rsidRDefault="00235D78" w:rsidP="00E93186">
      <w:pPr>
        <w:jc w:val="both"/>
        <w:rPr>
          <w:color w:val="FFFFFF"/>
          <w:sz w:val="22"/>
          <w:szCs w:val="22"/>
        </w:rPr>
      </w:pPr>
    </w:p>
    <w:p w:rsidR="00235D78" w:rsidRDefault="00235D78" w:rsidP="00E93186">
      <w:pPr>
        <w:jc w:val="both"/>
        <w:rPr>
          <w:color w:val="FFFFFF"/>
          <w:sz w:val="22"/>
          <w:szCs w:val="22"/>
        </w:rPr>
      </w:pPr>
    </w:p>
    <w:tbl>
      <w:tblPr>
        <w:tblW w:w="9288" w:type="dxa"/>
        <w:tblBorders>
          <w:insideV w:val="single" w:sz="4" w:space="0" w:color="auto"/>
        </w:tblBorders>
        <w:tblLook w:val="00A0"/>
      </w:tblPr>
      <w:tblGrid>
        <w:gridCol w:w="9288"/>
      </w:tblGrid>
      <w:tr w:rsidR="00235D78" w:rsidRPr="0015043C" w:rsidTr="0099665D">
        <w:trPr>
          <w:trHeight w:val="476"/>
        </w:trPr>
        <w:tc>
          <w:tcPr>
            <w:tcW w:w="9288" w:type="dxa"/>
            <w:shd w:val="clear" w:color="auto" w:fill="404040" w:themeFill="text1" w:themeFillTint="BF"/>
          </w:tcPr>
          <w:p w:rsidR="00235D78" w:rsidRPr="0015043C" w:rsidRDefault="00235D78" w:rsidP="0099665D">
            <w:pPr>
              <w:spacing w:before="120"/>
              <w:jc w:val="center"/>
              <w:rPr>
                <w:rFonts w:ascii="Arial Narrow" w:hAnsi="Arial Narrow"/>
                <w:b/>
                <w:color w:val="FFFFFF"/>
              </w:rPr>
            </w:pPr>
            <w:r w:rsidRPr="0015043C">
              <w:rPr>
                <w:rFonts w:ascii="Arial Narrow" w:hAnsi="Arial Narrow"/>
                <w:b/>
                <w:color w:val="FFFFFF"/>
              </w:rPr>
              <w:t xml:space="preserve">Διάγραμμα </w:t>
            </w:r>
            <w:r>
              <w:rPr>
                <w:rFonts w:ascii="Arial Narrow" w:hAnsi="Arial Narrow"/>
                <w:b/>
                <w:color w:val="FFFFFF"/>
              </w:rPr>
              <w:t>4.</w:t>
            </w:r>
            <w:r w:rsidRPr="005F24E1">
              <w:rPr>
                <w:rFonts w:ascii="Arial Narrow" w:hAnsi="Arial Narrow"/>
                <w:b/>
                <w:color w:val="FFFFFF"/>
              </w:rPr>
              <w:t>2</w:t>
            </w:r>
            <w:r w:rsidRPr="0015043C">
              <w:rPr>
                <w:rFonts w:ascii="Arial Narrow" w:hAnsi="Arial Narrow"/>
                <w:b/>
                <w:color w:val="FFFFFF"/>
              </w:rPr>
              <w:t xml:space="preserve">  Σύνθεση χρέους Κεντρικής </w:t>
            </w:r>
            <w:r>
              <w:rPr>
                <w:rFonts w:ascii="Arial Narrow" w:hAnsi="Arial Narrow"/>
                <w:b/>
                <w:color w:val="FFFFFF"/>
              </w:rPr>
              <w:t>Διοίκησης</w:t>
            </w:r>
          </w:p>
          <w:p w:rsidR="00235D78" w:rsidRPr="00C5708C" w:rsidRDefault="00235D78" w:rsidP="0099665D">
            <w:pPr>
              <w:spacing w:after="120"/>
              <w:jc w:val="center"/>
              <w:rPr>
                <w:sz w:val="22"/>
                <w:szCs w:val="22"/>
              </w:rPr>
            </w:pPr>
            <w:r w:rsidRPr="0015043C">
              <w:rPr>
                <w:rFonts w:ascii="Arial Narrow" w:hAnsi="Arial Narrow"/>
                <w:b/>
                <w:color w:val="FFFFFF"/>
              </w:rPr>
              <w:t>την 3</w:t>
            </w:r>
            <w:r w:rsidRPr="005F24E1">
              <w:rPr>
                <w:rFonts w:ascii="Arial Narrow" w:hAnsi="Arial Narrow"/>
                <w:b/>
                <w:color w:val="FFFFFF"/>
              </w:rPr>
              <w:t>0</w:t>
            </w:r>
            <w:r w:rsidRPr="0015043C">
              <w:rPr>
                <w:rFonts w:ascii="Arial Narrow" w:hAnsi="Arial Narrow"/>
                <w:b/>
                <w:color w:val="FFFFFF"/>
              </w:rPr>
              <w:t>/</w:t>
            </w:r>
            <w:r w:rsidRPr="005F24E1">
              <w:rPr>
                <w:rFonts w:ascii="Arial Narrow" w:hAnsi="Arial Narrow"/>
                <w:b/>
                <w:color w:val="FFFFFF"/>
              </w:rPr>
              <w:t>9</w:t>
            </w:r>
            <w:r w:rsidRPr="0015043C">
              <w:rPr>
                <w:rFonts w:ascii="Arial Narrow" w:hAnsi="Arial Narrow"/>
                <w:b/>
                <w:color w:val="FFFFFF"/>
              </w:rPr>
              <w:t>/201</w:t>
            </w:r>
            <w:r>
              <w:rPr>
                <w:rFonts w:ascii="Arial Narrow" w:hAnsi="Arial Narrow"/>
                <w:b/>
                <w:color w:val="FFFFFF"/>
              </w:rPr>
              <w:t>8</w:t>
            </w:r>
          </w:p>
        </w:tc>
      </w:tr>
      <w:tr w:rsidR="00235D78" w:rsidRPr="0015043C" w:rsidTr="0099665D">
        <w:tc>
          <w:tcPr>
            <w:tcW w:w="9288" w:type="dxa"/>
          </w:tcPr>
          <w:p w:rsidR="00235D78" w:rsidRPr="0015043C" w:rsidRDefault="00235D78" w:rsidP="0099665D">
            <w:pPr>
              <w:jc w:val="center"/>
              <w:rPr>
                <w:sz w:val="22"/>
                <w:szCs w:val="22"/>
              </w:rPr>
            </w:pPr>
            <w:r w:rsidRPr="00235D78">
              <w:rPr>
                <w:noProof/>
                <w:sz w:val="22"/>
                <w:szCs w:val="22"/>
              </w:rPr>
              <w:drawing>
                <wp:inline distT="0" distB="0" distL="0" distR="0">
                  <wp:extent cx="5224927" cy="2628369"/>
                  <wp:effectExtent l="19050" t="0" r="0" b="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235D78" w:rsidRPr="0015043C" w:rsidRDefault="00235D78" w:rsidP="00235D78">
      <w:pPr>
        <w:jc w:val="both"/>
        <w:rPr>
          <w:szCs w:val="22"/>
        </w:rPr>
      </w:pPr>
      <w:r>
        <w:rPr>
          <w:rFonts w:ascii="Arial Narrow" w:hAnsi="Arial Narrow"/>
          <w:sz w:val="16"/>
          <w:szCs w:val="16"/>
        </w:rPr>
        <w:t>Π</w:t>
      </w:r>
      <w:r w:rsidRPr="0015043C">
        <w:rPr>
          <w:rFonts w:ascii="Arial Narrow" w:hAnsi="Arial Narrow"/>
          <w:sz w:val="16"/>
          <w:szCs w:val="16"/>
        </w:rPr>
        <w:t xml:space="preserve">ηγή:  </w:t>
      </w:r>
      <w:r>
        <w:rPr>
          <w:rFonts w:ascii="Arial Narrow" w:hAnsi="Arial Narrow"/>
          <w:sz w:val="16"/>
          <w:szCs w:val="16"/>
        </w:rPr>
        <w:t>ΟΔΔΗΧ</w:t>
      </w:r>
    </w:p>
    <w:p w:rsidR="00235D78" w:rsidRDefault="00235D78" w:rsidP="00235D78">
      <w:pPr>
        <w:jc w:val="both"/>
        <w:rPr>
          <w:sz w:val="22"/>
        </w:rPr>
      </w:pPr>
    </w:p>
    <w:p w:rsidR="00235D78" w:rsidRPr="00E93186" w:rsidRDefault="00235D78" w:rsidP="00E93186">
      <w:pPr>
        <w:jc w:val="both"/>
        <w:rPr>
          <w:color w:val="FFFFFF"/>
          <w:sz w:val="22"/>
          <w:szCs w:val="22"/>
        </w:rPr>
      </w:pPr>
    </w:p>
    <w:p w:rsidR="00E93186" w:rsidRDefault="00E93186" w:rsidP="00E93186">
      <w:pPr>
        <w:jc w:val="both"/>
        <w:rPr>
          <w:color w:val="FFFFFF"/>
          <w:sz w:val="22"/>
          <w:szCs w:val="22"/>
        </w:rPr>
      </w:pPr>
    </w:p>
    <w:p w:rsidR="00235D78" w:rsidRDefault="00235D78">
      <w:pPr>
        <w:rPr>
          <w:color w:val="FFFFFF"/>
          <w:sz w:val="22"/>
          <w:szCs w:val="22"/>
        </w:rPr>
      </w:pPr>
      <w:r>
        <w:rPr>
          <w:color w:val="FFFFFF"/>
          <w:sz w:val="22"/>
          <w:szCs w:val="22"/>
        </w:rPr>
        <w:br w:type="page"/>
      </w:r>
    </w:p>
    <w:p w:rsidR="00235D78" w:rsidRPr="00510ABA" w:rsidRDefault="00235D78" w:rsidP="00235D78">
      <w:pPr>
        <w:jc w:val="both"/>
        <w:rPr>
          <w:sz w:val="22"/>
        </w:rPr>
      </w:pPr>
      <w:r w:rsidRPr="00510ABA">
        <w:rPr>
          <w:sz w:val="22"/>
        </w:rPr>
        <w:lastRenderedPageBreak/>
        <w:t xml:space="preserve">Η μέση υπολειπόμενη φυσική διάρκεια του χρέους της Κεντρικής Διοίκησης </w:t>
      </w:r>
      <w:r>
        <w:rPr>
          <w:sz w:val="22"/>
        </w:rPr>
        <w:t xml:space="preserve">ήταν 6,3 έτη το 2011, ενώ στις 30/9/2018 </w:t>
      </w:r>
      <w:r w:rsidR="00014FFC">
        <w:rPr>
          <w:sz w:val="22"/>
        </w:rPr>
        <w:t>είχε</w:t>
      </w:r>
      <w:r>
        <w:rPr>
          <w:sz w:val="22"/>
        </w:rPr>
        <w:t xml:space="preserve"> σχεδόν τριπλασιαστεί και διαμορφώθηκε στα 18,54 έτη</w:t>
      </w:r>
      <w:r>
        <w:rPr>
          <w:bCs/>
          <w:sz w:val="22"/>
        </w:rPr>
        <w:t xml:space="preserve"> </w:t>
      </w:r>
      <w:r>
        <w:rPr>
          <w:sz w:val="22"/>
        </w:rPr>
        <w:t>(πίνακας 4.5</w:t>
      </w:r>
      <w:r w:rsidRPr="00510ABA">
        <w:rPr>
          <w:sz w:val="22"/>
        </w:rPr>
        <w:t xml:space="preserve">). </w:t>
      </w:r>
    </w:p>
    <w:p w:rsidR="00235D78" w:rsidRDefault="00235D78" w:rsidP="00E93186">
      <w:pPr>
        <w:jc w:val="both"/>
        <w:rPr>
          <w:color w:val="FFFFFF"/>
          <w:sz w:val="22"/>
          <w:szCs w:val="22"/>
        </w:rPr>
      </w:pPr>
    </w:p>
    <w:p w:rsidR="000D2557" w:rsidRPr="00510ABA" w:rsidRDefault="000D2557" w:rsidP="000D2557">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440"/>
        <w:gridCol w:w="1623"/>
        <w:gridCol w:w="1299"/>
      </w:tblGrid>
      <w:tr w:rsidR="000D2557" w:rsidRPr="0015043C" w:rsidTr="0099665D">
        <w:trPr>
          <w:jc w:val="center"/>
        </w:trPr>
        <w:tc>
          <w:tcPr>
            <w:tcW w:w="6134" w:type="dxa"/>
            <w:gridSpan w:val="4"/>
            <w:tcBorders>
              <w:bottom w:val="nil"/>
            </w:tcBorders>
            <w:shd w:val="clear" w:color="auto" w:fill="404040" w:themeFill="text1" w:themeFillTint="BF"/>
            <w:tcMar>
              <w:left w:w="28" w:type="dxa"/>
              <w:right w:w="28" w:type="dxa"/>
            </w:tcMar>
          </w:tcPr>
          <w:p w:rsidR="000D2557" w:rsidRPr="0015043C" w:rsidRDefault="000D2557" w:rsidP="0099665D">
            <w:pPr>
              <w:autoSpaceDE w:val="0"/>
              <w:autoSpaceDN w:val="0"/>
              <w:adjustRightInd w:val="0"/>
              <w:spacing w:before="120"/>
              <w:jc w:val="center"/>
              <w:rPr>
                <w:rFonts w:ascii="Arial Narrow" w:hAnsi="Arial Narrow" w:cs="TimesNewRoman,Bold+1"/>
                <w:b/>
                <w:bCs/>
                <w:color w:val="FFFFFF"/>
                <w:szCs w:val="22"/>
              </w:rPr>
            </w:pPr>
            <w:r w:rsidRPr="0015043C">
              <w:rPr>
                <w:rFonts w:ascii="Arial Narrow" w:hAnsi="Arial Narrow" w:cs="TimesNewRoman,Bold+1"/>
                <w:b/>
                <w:bCs/>
                <w:color w:val="FFFFFF"/>
                <w:szCs w:val="22"/>
              </w:rPr>
              <w:t xml:space="preserve">Πίνακας </w:t>
            </w:r>
            <w:r w:rsidRPr="00392857">
              <w:rPr>
                <w:rFonts w:ascii="Arial Narrow" w:hAnsi="Arial Narrow" w:cs="TimesNewRoman,Bold"/>
                <w:b/>
                <w:bCs/>
                <w:color w:val="FFFFFF"/>
                <w:szCs w:val="22"/>
              </w:rPr>
              <w:t>4</w:t>
            </w:r>
            <w:r>
              <w:rPr>
                <w:rFonts w:ascii="Arial Narrow" w:hAnsi="Arial Narrow" w:cs="TimesNewRoman,Bold"/>
                <w:b/>
                <w:bCs/>
                <w:color w:val="FFFFFF"/>
                <w:szCs w:val="22"/>
              </w:rPr>
              <w:t>.5</w:t>
            </w:r>
            <w:r w:rsidRPr="0015043C">
              <w:rPr>
                <w:rFonts w:ascii="Arial Narrow" w:hAnsi="Arial Narrow" w:cs="TimesNewRoman,Bold"/>
                <w:b/>
                <w:bCs/>
                <w:color w:val="FFFFFF"/>
                <w:szCs w:val="22"/>
              </w:rPr>
              <w:t xml:space="preserve">   </w:t>
            </w:r>
            <w:r w:rsidRPr="0015043C">
              <w:rPr>
                <w:rFonts w:ascii="Arial Narrow" w:hAnsi="Arial Narrow" w:cs="TimesNewRoman,Bold+1"/>
                <w:b/>
                <w:bCs/>
                <w:color w:val="FFFFFF"/>
                <w:szCs w:val="22"/>
              </w:rPr>
              <w:t>Μέση υπολειπόμενη φυσική</w:t>
            </w:r>
          </w:p>
          <w:p w:rsidR="000D2557" w:rsidRPr="0015043C" w:rsidRDefault="000D2557" w:rsidP="0099665D">
            <w:pPr>
              <w:autoSpaceDE w:val="0"/>
              <w:autoSpaceDN w:val="0"/>
              <w:adjustRightInd w:val="0"/>
              <w:spacing w:after="120"/>
              <w:jc w:val="center"/>
              <w:rPr>
                <w:rFonts w:ascii="Arial Narrow" w:hAnsi="Arial Narrow" w:cs="TimesNewRoman,Bold"/>
                <w:b/>
                <w:bCs/>
                <w:color w:val="FFFFFF"/>
                <w:sz w:val="22"/>
                <w:szCs w:val="22"/>
              </w:rPr>
            </w:pPr>
            <w:r w:rsidRPr="0015043C">
              <w:rPr>
                <w:rFonts w:ascii="Arial Narrow" w:hAnsi="Arial Narrow" w:cs="TimesNewRoman,Bold+1"/>
                <w:b/>
                <w:bCs/>
                <w:color w:val="FFFFFF"/>
                <w:szCs w:val="22"/>
              </w:rPr>
              <w:t xml:space="preserve">διάρκεια χρέους Κεντρικής </w:t>
            </w:r>
            <w:r>
              <w:rPr>
                <w:rFonts w:ascii="Arial Narrow" w:hAnsi="Arial Narrow" w:cs="TimesNewRoman,Bold+1"/>
                <w:b/>
                <w:bCs/>
                <w:color w:val="FFFFFF"/>
                <w:szCs w:val="22"/>
              </w:rPr>
              <w:t>Διοίκησης</w:t>
            </w:r>
          </w:p>
        </w:tc>
      </w:tr>
      <w:tr w:rsidR="000D2557" w:rsidRPr="0015043C" w:rsidTr="0099665D">
        <w:trPr>
          <w:jc w:val="center"/>
        </w:trPr>
        <w:tc>
          <w:tcPr>
            <w:tcW w:w="1772" w:type="dxa"/>
            <w:tcBorders>
              <w:top w:val="nil"/>
              <w:bottom w:val="single" w:sz="4" w:space="0" w:color="auto"/>
              <w:right w:val="nil"/>
            </w:tcBorders>
            <w:tcMar>
              <w:left w:w="28" w:type="dxa"/>
              <w:right w:w="28" w:type="dxa"/>
            </w:tcMar>
          </w:tcPr>
          <w:p w:rsidR="000D2557" w:rsidRPr="0015043C" w:rsidRDefault="000D2557" w:rsidP="0099665D">
            <w:pPr>
              <w:autoSpaceDE w:val="0"/>
              <w:autoSpaceDN w:val="0"/>
              <w:adjustRightInd w:val="0"/>
              <w:jc w:val="center"/>
              <w:rPr>
                <w:rFonts w:ascii="Arial Narrow" w:hAnsi="Arial Narrow" w:cs="TimesNewRoman,Bold"/>
                <w:b/>
                <w:bCs/>
                <w:sz w:val="10"/>
                <w:szCs w:val="16"/>
              </w:rPr>
            </w:pPr>
          </w:p>
        </w:tc>
        <w:tc>
          <w:tcPr>
            <w:tcW w:w="4362" w:type="dxa"/>
            <w:gridSpan w:val="3"/>
            <w:tcBorders>
              <w:top w:val="nil"/>
              <w:left w:val="nil"/>
              <w:bottom w:val="single" w:sz="4" w:space="0" w:color="auto"/>
            </w:tcBorders>
          </w:tcPr>
          <w:p w:rsidR="000D2557" w:rsidRPr="0015043C" w:rsidRDefault="000D2557" w:rsidP="0099665D">
            <w:pPr>
              <w:autoSpaceDE w:val="0"/>
              <w:autoSpaceDN w:val="0"/>
              <w:adjustRightInd w:val="0"/>
              <w:jc w:val="center"/>
              <w:rPr>
                <w:rFonts w:ascii="Arial Narrow" w:hAnsi="Arial Narrow" w:cs="TimesNewRoman,Bold"/>
                <w:b/>
                <w:bCs/>
                <w:sz w:val="10"/>
                <w:szCs w:val="16"/>
              </w:rPr>
            </w:pPr>
          </w:p>
        </w:tc>
      </w:tr>
      <w:tr w:rsidR="000D2557" w:rsidRPr="0015043C" w:rsidTr="0099665D">
        <w:trPr>
          <w:jc w:val="center"/>
        </w:trPr>
        <w:tc>
          <w:tcPr>
            <w:tcW w:w="1772" w:type="dxa"/>
            <w:vMerge w:val="restart"/>
            <w:tcMar>
              <w:left w:w="28" w:type="dxa"/>
              <w:right w:w="28" w:type="dxa"/>
            </w:tcMar>
            <w:vAlign w:val="center"/>
          </w:tcPr>
          <w:p w:rsidR="000D2557" w:rsidRPr="0015043C" w:rsidRDefault="000D2557" w:rsidP="0099665D">
            <w:pPr>
              <w:pStyle w:val="6"/>
            </w:pPr>
            <w:r w:rsidRPr="0015043C">
              <w:t>Ημερομηνία</w:t>
            </w:r>
          </w:p>
        </w:tc>
        <w:tc>
          <w:tcPr>
            <w:tcW w:w="4362" w:type="dxa"/>
            <w:gridSpan w:val="3"/>
            <w:tcBorders>
              <w:bottom w:val="single" w:sz="4" w:space="0" w:color="auto"/>
            </w:tcBorders>
          </w:tcPr>
          <w:p w:rsidR="000D2557" w:rsidRPr="0015043C" w:rsidRDefault="000D2557" w:rsidP="0099665D">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 xml:space="preserve">Μέση Διάρκεια σε έτη </w:t>
            </w:r>
          </w:p>
        </w:tc>
      </w:tr>
      <w:tr w:rsidR="000D2557" w:rsidRPr="0015043C" w:rsidTr="0099665D">
        <w:trPr>
          <w:jc w:val="center"/>
        </w:trPr>
        <w:tc>
          <w:tcPr>
            <w:tcW w:w="1772" w:type="dxa"/>
            <w:vMerge/>
            <w:tcBorders>
              <w:bottom w:val="single" w:sz="4" w:space="0" w:color="auto"/>
            </w:tcBorders>
            <w:tcMar>
              <w:left w:w="28" w:type="dxa"/>
              <w:right w:w="28" w:type="dxa"/>
            </w:tcMar>
            <w:vAlign w:val="center"/>
          </w:tcPr>
          <w:p w:rsidR="000D2557" w:rsidRPr="0015043C" w:rsidRDefault="000D2557" w:rsidP="0099665D">
            <w:pPr>
              <w:autoSpaceDE w:val="0"/>
              <w:autoSpaceDN w:val="0"/>
              <w:adjustRightInd w:val="0"/>
              <w:jc w:val="center"/>
              <w:rPr>
                <w:rFonts w:ascii="Arial Narrow" w:hAnsi="Arial Narrow" w:cs="TimesNewRoman,Bold"/>
                <w:b/>
                <w:bCs/>
                <w:sz w:val="16"/>
                <w:szCs w:val="16"/>
              </w:rPr>
            </w:pPr>
          </w:p>
        </w:tc>
        <w:tc>
          <w:tcPr>
            <w:tcW w:w="1440" w:type="dxa"/>
            <w:tcBorders>
              <w:bottom w:val="single" w:sz="4" w:space="0" w:color="auto"/>
              <w:right w:val="nil"/>
            </w:tcBorders>
            <w:vAlign w:val="center"/>
          </w:tcPr>
          <w:p w:rsidR="000D2557" w:rsidRPr="0015043C" w:rsidRDefault="000D2557" w:rsidP="0099665D">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Χρέος σε ευρώ</w:t>
            </w:r>
          </w:p>
        </w:tc>
        <w:tc>
          <w:tcPr>
            <w:tcW w:w="1623" w:type="dxa"/>
            <w:tcBorders>
              <w:left w:val="nil"/>
              <w:bottom w:val="single" w:sz="4" w:space="0" w:color="auto"/>
              <w:right w:val="nil"/>
            </w:tcBorders>
            <w:vAlign w:val="center"/>
          </w:tcPr>
          <w:p w:rsidR="000D2557" w:rsidRPr="0015043C" w:rsidRDefault="000D2557" w:rsidP="0099665D">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Χρέος εκτός ζώνης ευρώ</w:t>
            </w:r>
          </w:p>
        </w:tc>
        <w:tc>
          <w:tcPr>
            <w:tcW w:w="1299" w:type="dxa"/>
            <w:tcBorders>
              <w:left w:val="nil"/>
              <w:bottom w:val="single" w:sz="4" w:space="0" w:color="auto"/>
            </w:tcBorders>
            <w:vAlign w:val="center"/>
          </w:tcPr>
          <w:p w:rsidR="000D2557" w:rsidRPr="0015043C" w:rsidRDefault="000D2557" w:rsidP="0099665D">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Συνολικό χρέος</w:t>
            </w:r>
          </w:p>
        </w:tc>
      </w:tr>
      <w:tr w:rsidR="000D2557" w:rsidRPr="0015043C" w:rsidTr="0099665D">
        <w:trPr>
          <w:jc w:val="center"/>
        </w:trPr>
        <w:tc>
          <w:tcPr>
            <w:tcW w:w="1772" w:type="dxa"/>
            <w:tcBorders>
              <w:top w:val="nil"/>
              <w:bottom w:val="nil"/>
              <w:right w:val="nil"/>
            </w:tcBorders>
            <w:shd w:val="clear" w:color="auto" w:fill="auto"/>
            <w:tcMar>
              <w:left w:w="28" w:type="dxa"/>
              <w:right w:w="28" w:type="dxa"/>
            </w:tcMar>
          </w:tcPr>
          <w:p w:rsidR="000D2557" w:rsidRPr="000D2557" w:rsidRDefault="000D2557" w:rsidP="0099665D">
            <w:pPr>
              <w:autoSpaceDE w:val="0"/>
              <w:autoSpaceDN w:val="0"/>
              <w:adjustRightInd w:val="0"/>
              <w:spacing w:before="120" w:after="120"/>
              <w:ind w:firstLine="540"/>
              <w:rPr>
                <w:rFonts w:ascii="Arial Narrow" w:hAnsi="Arial Narrow" w:cs="TimesNewRoman,Bold"/>
                <w:bCs/>
                <w:sz w:val="16"/>
                <w:szCs w:val="16"/>
              </w:rPr>
            </w:pPr>
            <w:r w:rsidRPr="0015043C">
              <w:rPr>
                <w:rFonts w:ascii="Arial Narrow" w:hAnsi="Arial Narrow" w:cs="TimesNewRoman,Bold"/>
                <w:bCs/>
                <w:sz w:val="16"/>
                <w:szCs w:val="16"/>
              </w:rPr>
              <w:t>3</w:t>
            </w:r>
            <w:r w:rsidRPr="000D2557">
              <w:rPr>
                <w:rFonts w:ascii="Arial Narrow" w:hAnsi="Arial Narrow" w:cs="TimesNewRoman,Bold"/>
                <w:bCs/>
                <w:sz w:val="16"/>
                <w:szCs w:val="16"/>
              </w:rPr>
              <w:t>1/12</w:t>
            </w:r>
            <w:r>
              <w:rPr>
                <w:rFonts w:ascii="Arial Narrow" w:hAnsi="Arial Narrow" w:cs="TimesNewRoman,Bold"/>
                <w:bCs/>
                <w:sz w:val="16"/>
                <w:szCs w:val="16"/>
              </w:rPr>
              <w:t>/20</w:t>
            </w:r>
            <w:r w:rsidRPr="000D2557">
              <w:rPr>
                <w:rFonts w:ascii="Arial Narrow" w:hAnsi="Arial Narrow" w:cs="TimesNewRoman,Bold"/>
                <w:bCs/>
                <w:sz w:val="16"/>
                <w:szCs w:val="16"/>
              </w:rPr>
              <w:t>11</w:t>
            </w:r>
          </w:p>
        </w:tc>
        <w:tc>
          <w:tcPr>
            <w:tcW w:w="1440"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6,28</w:t>
            </w:r>
          </w:p>
        </w:tc>
        <w:tc>
          <w:tcPr>
            <w:tcW w:w="1623"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3,21</w:t>
            </w:r>
          </w:p>
        </w:tc>
        <w:tc>
          <w:tcPr>
            <w:tcW w:w="1299" w:type="dxa"/>
            <w:tcBorders>
              <w:top w:val="nil"/>
              <w:left w:val="nil"/>
              <w:bottom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6,30</w:t>
            </w:r>
          </w:p>
        </w:tc>
      </w:tr>
      <w:tr w:rsidR="000D2557" w:rsidRPr="0015043C" w:rsidTr="0099665D">
        <w:trPr>
          <w:jc w:val="center"/>
        </w:trPr>
        <w:tc>
          <w:tcPr>
            <w:tcW w:w="1772" w:type="dxa"/>
            <w:tcBorders>
              <w:top w:val="nil"/>
              <w:bottom w:val="nil"/>
              <w:right w:val="nil"/>
            </w:tcBorders>
            <w:shd w:val="clear" w:color="auto" w:fill="auto"/>
            <w:tcMar>
              <w:left w:w="28" w:type="dxa"/>
              <w:right w:w="28" w:type="dxa"/>
            </w:tcMar>
          </w:tcPr>
          <w:p w:rsidR="000D2557" w:rsidRPr="00DB5197" w:rsidRDefault="000D2557" w:rsidP="0099665D">
            <w:pPr>
              <w:autoSpaceDE w:val="0"/>
              <w:autoSpaceDN w:val="0"/>
              <w:adjustRightInd w:val="0"/>
              <w:spacing w:before="120" w:after="120"/>
              <w:ind w:firstLine="540"/>
              <w:rPr>
                <w:rFonts w:ascii="Arial Narrow" w:hAnsi="Arial Narrow" w:cs="TimesNewRoman,Bold"/>
                <w:bCs/>
                <w:sz w:val="16"/>
                <w:szCs w:val="16"/>
                <w:lang w:val="en-GB"/>
              </w:rPr>
            </w:pPr>
            <w:r w:rsidRPr="000D2557">
              <w:rPr>
                <w:rFonts w:ascii="Arial Narrow" w:hAnsi="Arial Narrow" w:cs="TimesNewRoman,Bold"/>
                <w:bCs/>
                <w:sz w:val="16"/>
                <w:szCs w:val="16"/>
              </w:rPr>
              <w:t>3</w:t>
            </w:r>
            <w:r>
              <w:rPr>
                <w:rFonts w:ascii="Arial Narrow" w:hAnsi="Arial Narrow" w:cs="TimesNewRoman,Bold"/>
                <w:bCs/>
                <w:sz w:val="16"/>
                <w:szCs w:val="16"/>
              </w:rPr>
              <w:t>1</w:t>
            </w:r>
            <w:r w:rsidRPr="000D2557">
              <w:rPr>
                <w:rFonts w:ascii="Arial Narrow" w:hAnsi="Arial Narrow" w:cs="TimesNewRoman,Bold"/>
                <w:bCs/>
                <w:sz w:val="16"/>
                <w:szCs w:val="16"/>
              </w:rPr>
              <w:t>/</w:t>
            </w:r>
            <w:r>
              <w:rPr>
                <w:rFonts w:ascii="Arial Narrow" w:hAnsi="Arial Narrow" w:cs="TimesNewRoman,Bold"/>
                <w:bCs/>
                <w:sz w:val="16"/>
                <w:szCs w:val="16"/>
              </w:rPr>
              <w:t>12</w:t>
            </w:r>
            <w:r w:rsidRPr="000D2557">
              <w:rPr>
                <w:rFonts w:ascii="Arial Narrow" w:hAnsi="Arial Narrow" w:cs="TimesNewRoman,Bold"/>
                <w:bCs/>
                <w:sz w:val="16"/>
                <w:szCs w:val="16"/>
              </w:rPr>
              <w:t>/20</w:t>
            </w:r>
            <w:r>
              <w:rPr>
                <w:rFonts w:ascii="Arial Narrow" w:hAnsi="Arial Narrow" w:cs="TimesNewRoman,Bold"/>
                <w:bCs/>
                <w:sz w:val="16"/>
                <w:szCs w:val="16"/>
                <w:lang w:val="en-GB"/>
              </w:rPr>
              <w:t>12</w:t>
            </w:r>
          </w:p>
        </w:tc>
        <w:tc>
          <w:tcPr>
            <w:tcW w:w="1440"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15,72</w:t>
            </w:r>
          </w:p>
        </w:tc>
        <w:tc>
          <w:tcPr>
            <w:tcW w:w="1623"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2,36</w:t>
            </w:r>
          </w:p>
        </w:tc>
        <w:tc>
          <w:tcPr>
            <w:tcW w:w="1299" w:type="dxa"/>
            <w:tcBorders>
              <w:top w:val="nil"/>
              <w:left w:val="nil"/>
              <w:bottom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15,29</w:t>
            </w:r>
          </w:p>
        </w:tc>
      </w:tr>
      <w:tr w:rsidR="000D2557" w:rsidRPr="0015043C" w:rsidTr="0099665D">
        <w:trPr>
          <w:jc w:val="center"/>
        </w:trPr>
        <w:tc>
          <w:tcPr>
            <w:tcW w:w="1772" w:type="dxa"/>
            <w:tcBorders>
              <w:top w:val="nil"/>
              <w:bottom w:val="nil"/>
              <w:right w:val="nil"/>
            </w:tcBorders>
            <w:shd w:val="clear" w:color="auto" w:fill="auto"/>
            <w:tcMar>
              <w:left w:w="28" w:type="dxa"/>
              <w:right w:w="28" w:type="dxa"/>
            </w:tcMar>
          </w:tcPr>
          <w:p w:rsidR="000D2557" w:rsidRPr="00DF40E8" w:rsidRDefault="000D2557" w:rsidP="0099665D">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31/12/2013</w:t>
            </w:r>
          </w:p>
        </w:tc>
        <w:tc>
          <w:tcPr>
            <w:tcW w:w="1440"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16,54</w:t>
            </w:r>
          </w:p>
        </w:tc>
        <w:tc>
          <w:tcPr>
            <w:tcW w:w="1623"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3,76</w:t>
            </w:r>
          </w:p>
        </w:tc>
        <w:tc>
          <w:tcPr>
            <w:tcW w:w="1299" w:type="dxa"/>
            <w:tcBorders>
              <w:top w:val="nil"/>
              <w:left w:val="nil"/>
              <w:bottom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16,02</w:t>
            </w:r>
          </w:p>
        </w:tc>
      </w:tr>
      <w:tr w:rsidR="000D2557" w:rsidRPr="0015043C" w:rsidTr="0099665D">
        <w:trPr>
          <w:jc w:val="center"/>
        </w:trPr>
        <w:tc>
          <w:tcPr>
            <w:tcW w:w="1772" w:type="dxa"/>
            <w:tcBorders>
              <w:top w:val="nil"/>
              <w:bottom w:val="nil"/>
              <w:right w:val="nil"/>
            </w:tcBorders>
            <w:shd w:val="clear" w:color="auto" w:fill="auto"/>
            <w:tcMar>
              <w:left w:w="28" w:type="dxa"/>
              <w:right w:w="28" w:type="dxa"/>
            </w:tcMar>
          </w:tcPr>
          <w:p w:rsidR="000D2557" w:rsidRPr="00DF40E8" w:rsidRDefault="000D2557" w:rsidP="0099665D">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31/12/2014</w:t>
            </w:r>
          </w:p>
        </w:tc>
        <w:tc>
          <w:tcPr>
            <w:tcW w:w="1440"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16,70</w:t>
            </w:r>
          </w:p>
        </w:tc>
        <w:tc>
          <w:tcPr>
            <w:tcW w:w="1623"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4,20</w:t>
            </w:r>
          </w:p>
        </w:tc>
        <w:tc>
          <w:tcPr>
            <w:tcW w:w="1299" w:type="dxa"/>
            <w:tcBorders>
              <w:top w:val="nil"/>
              <w:left w:val="nil"/>
              <w:bottom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16,16</w:t>
            </w:r>
          </w:p>
        </w:tc>
      </w:tr>
      <w:tr w:rsidR="000D2557" w:rsidRPr="0015043C" w:rsidTr="0099665D">
        <w:trPr>
          <w:jc w:val="center"/>
        </w:trPr>
        <w:tc>
          <w:tcPr>
            <w:tcW w:w="1772" w:type="dxa"/>
            <w:tcBorders>
              <w:top w:val="nil"/>
              <w:bottom w:val="nil"/>
              <w:right w:val="nil"/>
            </w:tcBorders>
            <w:shd w:val="clear" w:color="auto" w:fill="auto"/>
            <w:tcMar>
              <w:left w:w="28" w:type="dxa"/>
              <w:right w:w="28" w:type="dxa"/>
            </w:tcMar>
          </w:tcPr>
          <w:p w:rsidR="000D2557" w:rsidRPr="00DF40E8" w:rsidRDefault="000D2557" w:rsidP="0099665D">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31/12/2015</w:t>
            </w:r>
          </w:p>
        </w:tc>
        <w:tc>
          <w:tcPr>
            <w:tcW w:w="1440"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17,21</w:t>
            </w:r>
          </w:p>
        </w:tc>
        <w:tc>
          <w:tcPr>
            <w:tcW w:w="1623"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4,28</w:t>
            </w:r>
          </w:p>
        </w:tc>
        <w:tc>
          <w:tcPr>
            <w:tcW w:w="1299" w:type="dxa"/>
            <w:tcBorders>
              <w:top w:val="nil"/>
              <w:left w:val="nil"/>
              <w:bottom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16,76</w:t>
            </w:r>
          </w:p>
        </w:tc>
      </w:tr>
      <w:tr w:rsidR="000D2557" w:rsidRPr="0015043C" w:rsidTr="0099665D">
        <w:trPr>
          <w:jc w:val="center"/>
        </w:trPr>
        <w:tc>
          <w:tcPr>
            <w:tcW w:w="1772" w:type="dxa"/>
            <w:tcBorders>
              <w:top w:val="nil"/>
              <w:bottom w:val="nil"/>
              <w:right w:val="nil"/>
            </w:tcBorders>
            <w:shd w:val="clear" w:color="auto" w:fill="auto"/>
            <w:tcMar>
              <w:left w:w="28" w:type="dxa"/>
              <w:right w:w="28" w:type="dxa"/>
            </w:tcMar>
          </w:tcPr>
          <w:p w:rsidR="000D2557" w:rsidRDefault="000D2557" w:rsidP="0099665D">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31/12/2016</w:t>
            </w:r>
          </w:p>
        </w:tc>
        <w:tc>
          <w:tcPr>
            <w:tcW w:w="1440"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17,00</w:t>
            </w:r>
          </w:p>
        </w:tc>
        <w:tc>
          <w:tcPr>
            <w:tcW w:w="1623" w:type="dxa"/>
            <w:tcBorders>
              <w:top w:val="nil"/>
              <w:left w:val="nil"/>
              <w:bottom w:val="nil"/>
              <w:right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3,73</w:t>
            </w:r>
          </w:p>
        </w:tc>
        <w:tc>
          <w:tcPr>
            <w:tcW w:w="1299" w:type="dxa"/>
            <w:tcBorders>
              <w:top w:val="nil"/>
              <w:left w:val="nil"/>
              <w:bottom w:val="nil"/>
            </w:tcBorders>
            <w:shd w:val="clear" w:color="auto" w:fill="auto"/>
            <w:vAlign w:val="center"/>
          </w:tcPr>
          <w:p w:rsidR="000D2557" w:rsidRDefault="000D2557" w:rsidP="0099665D">
            <w:pPr>
              <w:ind w:right="397"/>
              <w:jc w:val="right"/>
              <w:rPr>
                <w:rFonts w:ascii="Arial Narrow" w:hAnsi="Arial Narrow" w:cs="Arial"/>
                <w:sz w:val="16"/>
                <w:szCs w:val="16"/>
              </w:rPr>
            </w:pPr>
            <w:r>
              <w:rPr>
                <w:rFonts w:ascii="Arial Narrow" w:hAnsi="Arial Narrow" w:cs="Arial"/>
                <w:sz w:val="16"/>
                <w:szCs w:val="16"/>
              </w:rPr>
              <w:t>16,60</w:t>
            </w:r>
          </w:p>
        </w:tc>
      </w:tr>
      <w:tr w:rsidR="000D2557" w:rsidRPr="0015043C" w:rsidTr="000D2557">
        <w:trPr>
          <w:jc w:val="center"/>
        </w:trPr>
        <w:tc>
          <w:tcPr>
            <w:tcW w:w="1772" w:type="dxa"/>
            <w:tcBorders>
              <w:top w:val="nil"/>
              <w:bottom w:val="nil"/>
              <w:right w:val="nil"/>
            </w:tcBorders>
            <w:shd w:val="clear" w:color="auto" w:fill="auto"/>
            <w:tcMar>
              <w:left w:w="28" w:type="dxa"/>
              <w:right w:w="28" w:type="dxa"/>
            </w:tcMar>
          </w:tcPr>
          <w:p w:rsidR="000D2557" w:rsidRDefault="00AC74E3" w:rsidP="0099665D">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w:t>
            </w:r>
            <w:r w:rsidR="000D2557">
              <w:rPr>
                <w:rFonts w:ascii="Arial Narrow" w:hAnsi="Arial Narrow" w:cs="TimesNewRoman,Bold"/>
                <w:bCs/>
                <w:sz w:val="16"/>
                <w:szCs w:val="16"/>
              </w:rPr>
              <w:t>/2017</w:t>
            </w:r>
          </w:p>
        </w:tc>
        <w:tc>
          <w:tcPr>
            <w:tcW w:w="1440" w:type="dxa"/>
            <w:tcBorders>
              <w:top w:val="nil"/>
              <w:left w:val="nil"/>
              <w:bottom w:val="nil"/>
              <w:right w:val="nil"/>
            </w:tcBorders>
            <w:shd w:val="clear" w:color="auto" w:fill="auto"/>
            <w:vAlign w:val="center"/>
          </w:tcPr>
          <w:p w:rsidR="000D2557" w:rsidRDefault="00794BB0" w:rsidP="0099665D">
            <w:pPr>
              <w:ind w:right="397"/>
              <w:jc w:val="right"/>
              <w:rPr>
                <w:rFonts w:ascii="Arial Narrow" w:hAnsi="Arial Narrow" w:cs="Arial"/>
                <w:sz w:val="16"/>
                <w:szCs w:val="16"/>
              </w:rPr>
            </w:pPr>
            <w:r>
              <w:rPr>
                <w:rFonts w:ascii="Arial Narrow" w:hAnsi="Arial Narrow" w:cs="Arial"/>
                <w:sz w:val="16"/>
                <w:szCs w:val="16"/>
              </w:rPr>
              <w:t>18,74</w:t>
            </w:r>
          </w:p>
        </w:tc>
        <w:tc>
          <w:tcPr>
            <w:tcW w:w="1623" w:type="dxa"/>
            <w:tcBorders>
              <w:top w:val="nil"/>
              <w:left w:val="nil"/>
              <w:bottom w:val="nil"/>
              <w:right w:val="nil"/>
            </w:tcBorders>
            <w:shd w:val="clear" w:color="auto" w:fill="auto"/>
            <w:vAlign w:val="center"/>
          </w:tcPr>
          <w:p w:rsidR="000D2557" w:rsidRDefault="00794BB0" w:rsidP="0099665D">
            <w:pPr>
              <w:ind w:right="397"/>
              <w:jc w:val="right"/>
              <w:rPr>
                <w:rFonts w:ascii="Arial Narrow" w:hAnsi="Arial Narrow" w:cs="Arial"/>
                <w:sz w:val="16"/>
                <w:szCs w:val="16"/>
              </w:rPr>
            </w:pPr>
            <w:r>
              <w:rPr>
                <w:rFonts w:ascii="Arial Narrow" w:hAnsi="Arial Narrow" w:cs="Arial"/>
                <w:sz w:val="16"/>
                <w:szCs w:val="16"/>
              </w:rPr>
              <w:t>3,01</w:t>
            </w:r>
          </w:p>
        </w:tc>
        <w:tc>
          <w:tcPr>
            <w:tcW w:w="1299" w:type="dxa"/>
            <w:tcBorders>
              <w:top w:val="nil"/>
              <w:left w:val="nil"/>
              <w:bottom w:val="nil"/>
            </w:tcBorders>
            <w:shd w:val="clear" w:color="auto" w:fill="auto"/>
            <w:vAlign w:val="center"/>
          </w:tcPr>
          <w:p w:rsidR="000D2557" w:rsidRDefault="00C45AA0" w:rsidP="0099665D">
            <w:pPr>
              <w:ind w:right="397"/>
              <w:jc w:val="right"/>
              <w:rPr>
                <w:rFonts w:ascii="Arial Narrow" w:hAnsi="Arial Narrow" w:cs="Arial"/>
                <w:sz w:val="16"/>
                <w:szCs w:val="16"/>
              </w:rPr>
            </w:pPr>
            <w:r>
              <w:rPr>
                <w:rFonts w:ascii="Arial Narrow" w:hAnsi="Arial Narrow" w:cs="Arial"/>
                <w:sz w:val="16"/>
                <w:szCs w:val="16"/>
              </w:rPr>
              <w:t>18,32</w:t>
            </w:r>
          </w:p>
        </w:tc>
      </w:tr>
      <w:tr w:rsidR="000D2557" w:rsidRPr="0015043C" w:rsidTr="0099665D">
        <w:trPr>
          <w:jc w:val="center"/>
        </w:trPr>
        <w:tc>
          <w:tcPr>
            <w:tcW w:w="1772" w:type="dxa"/>
            <w:tcBorders>
              <w:top w:val="nil"/>
              <w:bottom w:val="single" w:sz="4" w:space="0" w:color="auto"/>
              <w:right w:val="nil"/>
            </w:tcBorders>
            <w:shd w:val="clear" w:color="auto" w:fill="auto"/>
            <w:tcMar>
              <w:left w:w="28" w:type="dxa"/>
              <w:right w:w="28" w:type="dxa"/>
            </w:tcMar>
          </w:tcPr>
          <w:p w:rsidR="000D2557" w:rsidRDefault="000D2557" w:rsidP="0099665D">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30/09/2018</w:t>
            </w:r>
          </w:p>
        </w:tc>
        <w:tc>
          <w:tcPr>
            <w:tcW w:w="1440" w:type="dxa"/>
            <w:tcBorders>
              <w:top w:val="nil"/>
              <w:left w:val="nil"/>
              <w:bottom w:val="single" w:sz="4" w:space="0" w:color="auto"/>
              <w:right w:val="nil"/>
            </w:tcBorders>
            <w:shd w:val="clear" w:color="auto" w:fill="auto"/>
            <w:vAlign w:val="center"/>
          </w:tcPr>
          <w:p w:rsidR="000D2557" w:rsidRDefault="00794BB0" w:rsidP="0099665D">
            <w:pPr>
              <w:ind w:right="397"/>
              <w:jc w:val="right"/>
              <w:rPr>
                <w:rFonts w:ascii="Arial Narrow" w:hAnsi="Arial Narrow" w:cs="Arial"/>
                <w:sz w:val="16"/>
                <w:szCs w:val="16"/>
              </w:rPr>
            </w:pPr>
            <w:r>
              <w:rPr>
                <w:rFonts w:ascii="Arial Narrow" w:hAnsi="Arial Narrow" w:cs="Arial"/>
                <w:sz w:val="16"/>
                <w:szCs w:val="16"/>
              </w:rPr>
              <w:t>18,89</w:t>
            </w:r>
          </w:p>
        </w:tc>
        <w:tc>
          <w:tcPr>
            <w:tcW w:w="1623" w:type="dxa"/>
            <w:tcBorders>
              <w:top w:val="nil"/>
              <w:left w:val="nil"/>
              <w:bottom w:val="single" w:sz="4" w:space="0" w:color="auto"/>
              <w:right w:val="nil"/>
            </w:tcBorders>
            <w:shd w:val="clear" w:color="auto" w:fill="auto"/>
            <w:vAlign w:val="center"/>
          </w:tcPr>
          <w:p w:rsidR="000D2557" w:rsidRDefault="00794BB0" w:rsidP="0099665D">
            <w:pPr>
              <w:ind w:right="397"/>
              <w:jc w:val="right"/>
              <w:rPr>
                <w:rFonts w:ascii="Arial Narrow" w:hAnsi="Arial Narrow" w:cs="Arial"/>
                <w:sz w:val="16"/>
                <w:szCs w:val="16"/>
              </w:rPr>
            </w:pPr>
            <w:r>
              <w:rPr>
                <w:rFonts w:ascii="Arial Narrow" w:hAnsi="Arial Narrow" w:cs="Arial"/>
                <w:sz w:val="16"/>
                <w:szCs w:val="16"/>
              </w:rPr>
              <w:t>2,59</w:t>
            </w:r>
          </w:p>
        </w:tc>
        <w:tc>
          <w:tcPr>
            <w:tcW w:w="1299" w:type="dxa"/>
            <w:tcBorders>
              <w:top w:val="nil"/>
              <w:left w:val="nil"/>
              <w:bottom w:val="single" w:sz="4" w:space="0" w:color="auto"/>
            </w:tcBorders>
            <w:shd w:val="clear" w:color="auto" w:fill="auto"/>
            <w:vAlign w:val="center"/>
          </w:tcPr>
          <w:p w:rsidR="000D2557" w:rsidRDefault="00C45AA0" w:rsidP="0099665D">
            <w:pPr>
              <w:ind w:right="397"/>
              <w:jc w:val="right"/>
              <w:rPr>
                <w:rFonts w:ascii="Arial Narrow" w:hAnsi="Arial Narrow" w:cs="Arial"/>
                <w:sz w:val="16"/>
                <w:szCs w:val="16"/>
              </w:rPr>
            </w:pPr>
            <w:r>
              <w:rPr>
                <w:rFonts w:ascii="Arial Narrow" w:hAnsi="Arial Narrow" w:cs="Arial"/>
                <w:sz w:val="16"/>
                <w:szCs w:val="16"/>
              </w:rPr>
              <w:t>18,54</w:t>
            </w:r>
          </w:p>
        </w:tc>
      </w:tr>
    </w:tbl>
    <w:p w:rsidR="000D2557" w:rsidRPr="0015043C" w:rsidRDefault="000D2557" w:rsidP="000D2557">
      <w:pPr>
        <w:ind w:firstLine="1440"/>
        <w:jc w:val="both"/>
        <w:rPr>
          <w:sz w:val="22"/>
          <w:szCs w:val="22"/>
        </w:rPr>
      </w:pPr>
      <w:r w:rsidRPr="0015043C">
        <w:rPr>
          <w:rFonts w:ascii="Arial Narrow" w:hAnsi="Arial Narrow"/>
          <w:sz w:val="16"/>
          <w:szCs w:val="16"/>
        </w:rPr>
        <w:t xml:space="preserve">Πηγή:  </w:t>
      </w:r>
      <w:r>
        <w:rPr>
          <w:rFonts w:ascii="Arial Narrow" w:hAnsi="Arial Narrow"/>
          <w:sz w:val="16"/>
          <w:szCs w:val="16"/>
        </w:rPr>
        <w:t>ΟΔΔΗΧ</w:t>
      </w:r>
    </w:p>
    <w:p w:rsidR="000D2557" w:rsidRDefault="000D2557" w:rsidP="000D2557">
      <w:pPr>
        <w:jc w:val="both"/>
        <w:rPr>
          <w:sz w:val="22"/>
          <w:szCs w:val="22"/>
        </w:rPr>
      </w:pPr>
    </w:p>
    <w:p w:rsidR="000D2557" w:rsidRDefault="000D2557" w:rsidP="000D2557">
      <w:pPr>
        <w:jc w:val="both"/>
        <w:rPr>
          <w:sz w:val="22"/>
          <w:szCs w:val="22"/>
          <w:lang w:val="en-GB"/>
        </w:rPr>
      </w:pPr>
    </w:p>
    <w:p w:rsidR="000D2557" w:rsidRPr="00B01F1E" w:rsidRDefault="00BF07A4" w:rsidP="000D2557">
      <w:pPr>
        <w:jc w:val="both"/>
        <w:rPr>
          <w:sz w:val="22"/>
          <w:szCs w:val="22"/>
        </w:rPr>
      </w:pPr>
      <w:r>
        <w:rPr>
          <w:sz w:val="22"/>
          <w:szCs w:val="22"/>
        </w:rPr>
        <w:t>Στις 30/09/2018</w:t>
      </w:r>
      <w:r w:rsidR="000D2557" w:rsidRPr="00B01F1E">
        <w:rPr>
          <w:sz w:val="22"/>
          <w:szCs w:val="22"/>
        </w:rPr>
        <w:t xml:space="preserve">, ποσοστό </w:t>
      </w:r>
      <w:r>
        <w:rPr>
          <w:sz w:val="22"/>
          <w:szCs w:val="22"/>
        </w:rPr>
        <w:t>77,6</w:t>
      </w:r>
      <w:r w:rsidR="000D2557" w:rsidRPr="00B01F1E">
        <w:rPr>
          <w:sz w:val="22"/>
          <w:szCs w:val="22"/>
        </w:rPr>
        <w:t xml:space="preserve">% του χρέους </w:t>
      </w:r>
      <w:r w:rsidR="00977014">
        <w:rPr>
          <w:sz w:val="22"/>
          <w:szCs w:val="22"/>
        </w:rPr>
        <w:t xml:space="preserve">της </w:t>
      </w:r>
      <w:r w:rsidR="000D2557" w:rsidRPr="00B01F1E">
        <w:rPr>
          <w:sz w:val="22"/>
          <w:szCs w:val="22"/>
        </w:rPr>
        <w:t>Κεντρικής Διοίκησης είχε υπολειπόμενη φυσική δ</w:t>
      </w:r>
      <w:r w:rsidR="000D2557" w:rsidRPr="00B01F1E">
        <w:rPr>
          <w:sz w:val="22"/>
          <w:szCs w:val="22"/>
        </w:rPr>
        <w:t>ι</w:t>
      </w:r>
      <w:r w:rsidR="000D2557" w:rsidRPr="00B01F1E">
        <w:rPr>
          <w:sz w:val="22"/>
          <w:szCs w:val="22"/>
        </w:rPr>
        <w:t xml:space="preserve">άρκεια μεγαλύτερη των </w:t>
      </w:r>
      <w:r w:rsidR="000D2557">
        <w:rPr>
          <w:sz w:val="22"/>
          <w:szCs w:val="22"/>
        </w:rPr>
        <w:t>πέντε</w:t>
      </w:r>
      <w:r w:rsidR="000D2557" w:rsidRPr="00B01F1E">
        <w:rPr>
          <w:sz w:val="22"/>
          <w:szCs w:val="22"/>
        </w:rPr>
        <w:t xml:space="preserve"> ετών, λόγω της επιμήκυνσης των δανείων του Μηχανισμού Στήριξης και της έκδοσης νέων ομολόγων του Ελληνικού Δημοσίου στο πλαίσιο της ανταλλαγής ομολόγων (</w:t>
      </w:r>
      <w:r w:rsidR="000D2557" w:rsidRPr="00B01F1E">
        <w:rPr>
          <w:sz w:val="22"/>
          <w:szCs w:val="22"/>
          <w:lang w:val="en-US"/>
        </w:rPr>
        <w:t>PSI</w:t>
      </w:r>
      <w:r w:rsidR="000D2557">
        <w:rPr>
          <w:sz w:val="22"/>
          <w:szCs w:val="22"/>
        </w:rPr>
        <w:t>) (π</w:t>
      </w:r>
      <w:r w:rsidR="000D2557" w:rsidRPr="00B01F1E">
        <w:rPr>
          <w:sz w:val="22"/>
          <w:szCs w:val="22"/>
        </w:rPr>
        <w:t>ί</w:t>
      </w:r>
      <w:r>
        <w:rPr>
          <w:sz w:val="22"/>
          <w:szCs w:val="22"/>
        </w:rPr>
        <w:t>νακας 4.6</w:t>
      </w:r>
      <w:r w:rsidR="000D2557" w:rsidRPr="00B01F1E">
        <w:rPr>
          <w:sz w:val="22"/>
          <w:szCs w:val="22"/>
        </w:rPr>
        <w:t>).</w:t>
      </w:r>
    </w:p>
    <w:p w:rsidR="000D2557" w:rsidRDefault="000D2557" w:rsidP="000D2557">
      <w:pPr>
        <w:jc w:val="both"/>
        <w:rPr>
          <w:sz w:val="22"/>
          <w:szCs w:val="22"/>
        </w:rPr>
      </w:pPr>
    </w:p>
    <w:p w:rsidR="000D2557" w:rsidRDefault="000D2557" w:rsidP="000D2557">
      <w:pPr>
        <w:jc w:val="both"/>
        <w:rPr>
          <w:sz w:val="22"/>
          <w:szCs w:val="22"/>
        </w:rPr>
      </w:pPr>
    </w:p>
    <w:p w:rsidR="000D2557" w:rsidRPr="00B01F1E" w:rsidRDefault="000D2557" w:rsidP="000D2557">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101"/>
      </w:tblGrid>
      <w:tr w:rsidR="000D2557" w:rsidRPr="0015043C" w:rsidTr="0099665D">
        <w:trPr>
          <w:trHeight w:val="557"/>
          <w:jc w:val="center"/>
        </w:trPr>
        <w:tc>
          <w:tcPr>
            <w:tcW w:w="6078" w:type="dxa"/>
            <w:gridSpan w:val="2"/>
            <w:tcBorders>
              <w:bottom w:val="nil"/>
            </w:tcBorders>
            <w:shd w:val="clear" w:color="auto" w:fill="404040" w:themeFill="text1" w:themeFillTint="BF"/>
            <w:tcMar>
              <w:left w:w="28" w:type="dxa"/>
              <w:right w:w="28" w:type="dxa"/>
            </w:tcMar>
          </w:tcPr>
          <w:p w:rsidR="000D2557" w:rsidRPr="0015043C" w:rsidRDefault="000D2557" w:rsidP="0099665D">
            <w:pPr>
              <w:autoSpaceDE w:val="0"/>
              <w:autoSpaceDN w:val="0"/>
              <w:adjustRightInd w:val="0"/>
              <w:spacing w:before="120"/>
              <w:jc w:val="center"/>
              <w:rPr>
                <w:rFonts w:ascii="Arial Narrow" w:hAnsi="Arial Narrow" w:cs="TimesNewRoman,Bold+1"/>
                <w:b/>
                <w:bCs/>
                <w:color w:val="FFFFFF"/>
                <w:szCs w:val="22"/>
              </w:rPr>
            </w:pPr>
            <w:r w:rsidRPr="0015043C">
              <w:rPr>
                <w:rFonts w:ascii="Arial Narrow" w:hAnsi="Arial Narrow" w:cs="TimesNewRoman,Bold+1"/>
                <w:b/>
                <w:bCs/>
                <w:color w:val="FFFFFF"/>
                <w:szCs w:val="22"/>
              </w:rPr>
              <w:t xml:space="preserve">Πίνακας </w:t>
            </w:r>
            <w:r w:rsidRPr="00707F23">
              <w:rPr>
                <w:rFonts w:ascii="Arial Narrow" w:hAnsi="Arial Narrow" w:cs="TimesNewRoman,Bold"/>
                <w:b/>
                <w:bCs/>
                <w:color w:val="FFFFFF"/>
                <w:szCs w:val="22"/>
              </w:rPr>
              <w:t>4</w:t>
            </w:r>
            <w:r w:rsidR="00BF07A4">
              <w:rPr>
                <w:rFonts w:ascii="Arial Narrow" w:hAnsi="Arial Narrow" w:cs="TimesNewRoman,Bold"/>
                <w:b/>
                <w:bCs/>
                <w:color w:val="FFFFFF"/>
                <w:szCs w:val="22"/>
              </w:rPr>
              <w:t>.6</w:t>
            </w:r>
            <w:r w:rsidRPr="0015043C">
              <w:rPr>
                <w:rFonts w:ascii="Arial Narrow" w:hAnsi="Arial Narrow" w:cs="TimesNewRoman,Bold"/>
                <w:b/>
                <w:bCs/>
                <w:color w:val="FFFFFF"/>
                <w:szCs w:val="22"/>
              </w:rPr>
              <w:t xml:space="preserve">   </w:t>
            </w:r>
            <w:r w:rsidRPr="0015043C">
              <w:rPr>
                <w:rFonts w:ascii="Arial Narrow" w:hAnsi="Arial Narrow" w:cs="TimesNewRoman,Bold+1"/>
                <w:b/>
                <w:bCs/>
                <w:color w:val="FFFFFF"/>
                <w:szCs w:val="22"/>
              </w:rPr>
              <w:t xml:space="preserve">Χρέος Κεντρικής </w:t>
            </w:r>
            <w:r>
              <w:rPr>
                <w:rFonts w:ascii="Arial Narrow" w:hAnsi="Arial Narrow" w:cs="TimesNewRoman,Bold+1"/>
                <w:b/>
                <w:bCs/>
                <w:color w:val="FFFFFF"/>
                <w:szCs w:val="22"/>
              </w:rPr>
              <w:t xml:space="preserve">Διοίκησης </w:t>
            </w:r>
            <w:r w:rsidRPr="0015043C">
              <w:rPr>
                <w:rFonts w:ascii="Arial Narrow" w:hAnsi="Arial Narrow" w:cs="TimesNewRoman,Bold+1"/>
                <w:b/>
                <w:bCs/>
                <w:color w:val="FFFFFF"/>
                <w:szCs w:val="22"/>
              </w:rPr>
              <w:t>ως προς την</w:t>
            </w:r>
          </w:p>
          <w:p w:rsidR="000D2557" w:rsidRPr="0015043C" w:rsidRDefault="000D2557" w:rsidP="0099665D">
            <w:pPr>
              <w:autoSpaceDE w:val="0"/>
              <w:autoSpaceDN w:val="0"/>
              <w:adjustRightInd w:val="0"/>
              <w:spacing w:after="120"/>
              <w:jc w:val="center"/>
              <w:rPr>
                <w:rFonts w:ascii="Arial Narrow" w:hAnsi="Arial Narrow" w:cs="TimesNewRoman,Bold"/>
                <w:b/>
                <w:bCs/>
                <w:color w:val="FFFFFF"/>
                <w:sz w:val="22"/>
                <w:szCs w:val="22"/>
              </w:rPr>
            </w:pPr>
            <w:r w:rsidRPr="0015043C">
              <w:rPr>
                <w:rFonts w:ascii="Arial Narrow" w:hAnsi="Arial Narrow" w:cs="TimesNewRoman,Bold+1"/>
                <w:b/>
                <w:bCs/>
                <w:color w:val="FFFFFF"/>
                <w:szCs w:val="22"/>
              </w:rPr>
              <w:t>υπολειπόμενη φυσική διάρκεια</w:t>
            </w:r>
            <w:r w:rsidR="00882711">
              <w:rPr>
                <w:rFonts w:ascii="Arial Narrow" w:hAnsi="Arial Narrow" w:cs="TimesNewRoman,Bold+1"/>
                <w:b/>
                <w:bCs/>
                <w:color w:val="FFFFFF"/>
                <w:szCs w:val="22"/>
              </w:rPr>
              <w:t xml:space="preserve"> (%)</w:t>
            </w:r>
          </w:p>
        </w:tc>
      </w:tr>
      <w:tr w:rsidR="000D2557" w:rsidRPr="0015043C" w:rsidTr="0099665D">
        <w:trPr>
          <w:trHeight w:val="155"/>
          <w:jc w:val="center"/>
        </w:trPr>
        <w:tc>
          <w:tcPr>
            <w:tcW w:w="2977" w:type="dxa"/>
            <w:tcBorders>
              <w:top w:val="nil"/>
              <w:bottom w:val="single" w:sz="4" w:space="0" w:color="auto"/>
              <w:right w:val="nil"/>
            </w:tcBorders>
            <w:tcMar>
              <w:left w:w="28" w:type="dxa"/>
              <w:right w:w="28" w:type="dxa"/>
            </w:tcMar>
          </w:tcPr>
          <w:p w:rsidR="000D2557" w:rsidRPr="0015043C" w:rsidRDefault="000D2557" w:rsidP="0099665D">
            <w:pPr>
              <w:autoSpaceDE w:val="0"/>
              <w:autoSpaceDN w:val="0"/>
              <w:adjustRightInd w:val="0"/>
              <w:jc w:val="center"/>
              <w:rPr>
                <w:rFonts w:ascii="Arial Narrow" w:hAnsi="Arial Narrow" w:cs="TimesNewRoman,Bold"/>
                <w:b/>
                <w:bCs/>
                <w:sz w:val="12"/>
                <w:szCs w:val="16"/>
              </w:rPr>
            </w:pPr>
          </w:p>
        </w:tc>
        <w:tc>
          <w:tcPr>
            <w:tcW w:w="3101" w:type="dxa"/>
            <w:tcBorders>
              <w:top w:val="nil"/>
              <w:left w:val="nil"/>
              <w:bottom w:val="single" w:sz="4" w:space="0" w:color="auto"/>
            </w:tcBorders>
          </w:tcPr>
          <w:p w:rsidR="000D2557" w:rsidRPr="0015043C" w:rsidRDefault="000D2557" w:rsidP="0099665D">
            <w:pPr>
              <w:autoSpaceDE w:val="0"/>
              <w:autoSpaceDN w:val="0"/>
              <w:adjustRightInd w:val="0"/>
              <w:jc w:val="center"/>
              <w:rPr>
                <w:rFonts w:ascii="Arial Narrow" w:hAnsi="Arial Narrow" w:cs="TimesNewRoman,Bold"/>
                <w:b/>
                <w:bCs/>
                <w:sz w:val="12"/>
                <w:szCs w:val="16"/>
              </w:rPr>
            </w:pPr>
          </w:p>
        </w:tc>
      </w:tr>
      <w:tr w:rsidR="000D2557" w:rsidRPr="0015043C" w:rsidTr="0099665D">
        <w:trPr>
          <w:trHeight w:val="263"/>
          <w:jc w:val="center"/>
        </w:trPr>
        <w:tc>
          <w:tcPr>
            <w:tcW w:w="2977" w:type="dxa"/>
            <w:tcBorders>
              <w:bottom w:val="single" w:sz="4" w:space="0" w:color="auto"/>
            </w:tcBorders>
            <w:tcMar>
              <w:left w:w="28" w:type="dxa"/>
              <w:right w:w="28" w:type="dxa"/>
            </w:tcMar>
          </w:tcPr>
          <w:p w:rsidR="000D2557" w:rsidRPr="0015043C" w:rsidRDefault="000D2557" w:rsidP="0099665D">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Διάρκεια</w:t>
            </w:r>
          </w:p>
        </w:tc>
        <w:tc>
          <w:tcPr>
            <w:tcW w:w="3101" w:type="dxa"/>
            <w:tcBorders>
              <w:bottom w:val="single" w:sz="4" w:space="0" w:color="auto"/>
            </w:tcBorders>
          </w:tcPr>
          <w:p w:rsidR="000D2557" w:rsidRPr="00064EF9" w:rsidRDefault="000D2557" w:rsidP="0099665D">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3</w:t>
            </w:r>
            <w:r w:rsidRPr="00BF07A4">
              <w:rPr>
                <w:rFonts w:ascii="Arial Narrow" w:hAnsi="Arial Narrow" w:cs="TimesNewRoman,Bold"/>
                <w:b/>
                <w:bCs/>
                <w:sz w:val="16"/>
                <w:szCs w:val="16"/>
              </w:rPr>
              <w:t>0/09/201</w:t>
            </w:r>
            <w:r w:rsidR="00C603B0">
              <w:rPr>
                <w:rFonts w:ascii="Arial Narrow" w:hAnsi="Arial Narrow" w:cs="TimesNewRoman,Bold"/>
                <w:b/>
                <w:bCs/>
                <w:sz w:val="16"/>
                <w:szCs w:val="16"/>
              </w:rPr>
              <w:t>8</w:t>
            </w:r>
          </w:p>
        </w:tc>
      </w:tr>
      <w:tr w:rsidR="000D2557" w:rsidRPr="0015043C" w:rsidTr="0099665D">
        <w:trPr>
          <w:trHeight w:val="217"/>
          <w:jc w:val="center"/>
        </w:trPr>
        <w:tc>
          <w:tcPr>
            <w:tcW w:w="2977" w:type="dxa"/>
            <w:tcBorders>
              <w:bottom w:val="nil"/>
              <w:right w:val="nil"/>
            </w:tcBorders>
            <w:tcMar>
              <w:left w:w="28" w:type="dxa"/>
              <w:right w:w="28" w:type="dxa"/>
            </w:tcMar>
          </w:tcPr>
          <w:p w:rsidR="000D2557" w:rsidRPr="0015043C" w:rsidRDefault="000D2557" w:rsidP="0099665D">
            <w:pPr>
              <w:pStyle w:val="a6"/>
              <w:autoSpaceDE w:val="0"/>
              <w:autoSpaceDN w:val="0"/>
              <w:adjustRightInd w:val="0"/>
              <w:spacing w:before="120" w:after="120"/>
              <w:rPr>
                <w:rFonts w:ascii="Arial Narrow" w:hAnsi="Arial Narrow" w:cs="TimesNewRoman,Bold"/>
                <w:bCs/>
              </w:rPr>
            </w:pPr>
            <w:r w:rsidRPr="0015043C">
              <w:rPr>
                <w:rFonts w:ascii="Arial Narrow" w:hAnsi="Arial Narrow" w:cs="TimesNewRoman,Bold"/>
                <w:bCs/>
              </w:rPr>
              <w:t>Βραχυπρόθεσμο (μέχρι 1 έτος)</w:t>
            </w:r>
          </w:p>
        </w:tc>
        <w:tc>
          <w:tcPr>
            <w:tcW w:w="3101" w:type="dxa"/>
            <w:tcBorders>
              <w:left w:val="nil"/>
              <w:bottom w:val="nil"/>
            </w:tcBorders>
          </w:tcPr>
          <w:p w:rsidR="000D2557" w:rsidRPr="00BF07A4" w:rsidRDefault="00ED0953" w:rsidP="0099665D">
            <w:pPr>
              <w:tabs>
                <w:tab w:val="decimal" w:pos="1532"/>
              </w:tabs>
              <w:autoSpaceDE w:val="0"/>
              <w:autoSpaceDN w:val="0"/>
              <w:adjustRightInd w:val="0"/>
              <w:spacing w:before="120" w:after="120"/>
              <w:jc w:val="both"/>
              <w:rPr>
                <w:rFonts w:ascii="Arial Narrow" w:hAnsi="Arial Narrow" w:cs="TimesNewRoman,Bold"/>
                <w:bCs/>
                <w:sz w:val="16"/>
                <w:szCs w:val="16"/>
              </w:rPr>
            </w:pPr>
            <w:r>
              <w:rPr>
                <w:rFonts w:ascii="Arial Narrow" w:hAnsi="Arial Narrow" w:cs="TimesNewRoman,Bold"/>
                <w:bCs/>
                <w:sz w:val="16"/>
                <w:szCs w:val="16"/>
              </w:rPr>
              <w:t>13,0%</w:t>
            </w:r>
          </w:p>
        </w:tc>
      </w:tr>
      <w:tr w:rsidR="000D2557" w:rsidRPr="0015043C" w:rsidTr="0099665D">
        <w:trPr>
          <w:trHeight w:val="232"/>
          <w:jc w:val="center"/>
        </w:trPr>
        <w:tc>
          <w:tcPr>
            <w:tcW w:w="2977" w:type="dxa"/>
            <w:tcBorders>
              <w:top w:val="nil"/>
              <w:bottom w:val="nil"/>
              <w:right w:val="nil"/>
            </w:tcBorders>
            <w:shd w:val="clear" w:color="auto" w:fill="auto"/>
            <w:tcMar>
              <w:left w:w="28" w:type="dxa"/>
              <w:right w:w="28" w:type="dxa"/>
            </w:tcMar>
          </w:tcPr>
          <w:p w:rsidR="000D2557" w:rsidRPr="0015043C" w:rsidRDefault="000D2557" w:rsidP="0099665D">
            <w:pPr>
              <w:autoSpaceDE w:val="0"/>
              <w:autoSpaceDN w:val="0"/>
              <w:adjustRightInd w:val="0"/>
              <w:spacing w:before="120" w:after="120"/>
              <w:rPr>
                <w:rFonts w:ascii="Arial Narrow" w:hAnsi="Arial Narrow" w:cs="TimesNewRoman,Bold"/>
                <w:bCs/>
                <w:sz w:val="16"/>
                <w:szCs w:val="16"/>
              </w:rPr>
            </w:pPr>
            <w:r w:rsidRPr="0015043C">
              <w:rPr>
                <w:rFonts w:ascii="Arial Narrow" w:hAnsi="Arial Narrow" w:cs="TimesNewRoman,Bold"/>
                <w:bCs/>
                <w:sz w:val="16"/>
                <w:szCs w:val="16"/>
              </w:rPr>
              <w:t>Μεσοπρόθεσμο (1 έως 5 έτη)</w:t>
            </w:r>
          </w:p>
        </w:tc>
        <w:tc>
          <w:tcPr>
            <w:tcW w:w="3101" w:type="dxa"/>
            <w:tcBorders>
              <w:top w:val="nil"/>
              <w:left w:val="nil"/>
              <w:bottom w:val="nil"/>
            </w:tcBorders>
            <w:shd w:val="clear" w:color="auto" w:fill="auto"/>
          </w:tcPr>
          <w:p w:rsidR="000D2557" w:rsidRPr="00BF07A4" w:rsidRDefault="00ED0953" w:rsidP="0099665D">
            <w:pPr>
              <w:tabs>
                <w:tab w:val="decimal" w:pos="1532"/>
              </w:tabs>
              <w:autoSpaceDE w:val="0"/>
              <w:autoSpaceDN w:val="0"/>
              <w:adjustRightInd w:val="0"/>
              <w:spacing w:before="120" w:after="120"/>
              <w:jc w:val="both"/>
              <w:rPr>
                <w:rFonts w:ascii="Arial Narrow" w:hAnsi="Arial Narrow" w:cs="TimesNewRoman,Bold"/>
                <w:bCs/>
                <w:sz w:val="16"/>
                <w:szCs w:val="16"/>
              </w:rPr>
            </w:pPr>
            <w:r>
              <w:rPr>
                <w:rFonts w:ascii="Arial Narrow" w:hAnsi="Arial Narrow" w:cs="TimesNewRoman,Bold"/>
                <w:bCs/>
                <w:sz w:val="16"/>
                <w:szCs w:val="16"/>
              </w:rPr>
              <w:t>9,4%</w:t>
            </w:r>
          </w:p>
        </w:tc>
      </w:tr>
      <w:tr w:rsidR="000D2557" w:rsidRPr="0015043C" w:rsidTr="0099665D">
        <w:trPr>
          <w:trHeight w:val="232"/>
          <w:jc w:val="center"/>
        </w:trPr>
        <w:tc>
          <w:tcPr>
            <w:tcW w:w="2977" w:type="dxa"/>
            <w:tcBorders>
              <w:top w:val="nil"/>
              <w:bottom w:val="nil"/>
              <w:right w:val="nil"/>
            </w:tcBorders>
            <w:tcMar>
              <w:left w:w="28" w:type="dxa"/>
              <w:right w:w="28" w:type="dxa"/>
            </w:tcMar>
          </w:tcPr>
          <w:p w:rsidR="000D2557" w:rsidRPr="0015043C" w:rsidRDefault="000D2557" w:rsidP="0099665D">
            <w:pPr>
              <w:autoSpaceDE w:val="0"/>
              <w:autoSpaceDN w:val="0"/>
              <w:adjustRightInd w:val="0"/>
              <w:spacing w:before="120" w:after="120"/>
              <w:rPr>
                <w:rFonts w:ascii="Arial Narrow" w:hAnsi="Arial Narrow" w:cs="TimesNewRoman,Bold"/>
                <w:bCs/>
                <w:sz w:val="16"/>
                <w:szCs w:val="16"/>
              </w:rPr>
            </w:pPr>
            <w:r w:rsidRPr="0015043C">
              <w:rPr>
                <w:rFonts w:ascii="Arial Narrow" w:hAnsi="Arial Narrow" w:cs="TimesNewRoman,Bold"/>
                <w:bCs/>
                <w:sz w:val="16"/>
                <w:szCs w:val="16"/>
              </w:rPr>
              <w:t>Μακροπρόθεσμο (άνω των 5 ετών)</w:t>
            </w:r>
          </w:p>
        </w:tc>
        <w:tc>
          <w:tcPr>
            <w:tcW w:w="3101" w:type="dxa"/>
            <w:tcBorders>
              <w:top w:val="nil"/>
              <w:left w:val="nil"/>
              <w:bottom w:val="nil"/>
            </w:tcBorders>
          </w:tcPr>
          <w:p w:rsidR="000D2557" w:rsidRPr="00ED0953" w:rsidRDefault="00ED0953" w:rsidP="0099665D">
            <w:pPr>
              <w:tabs>
                <w:tab w:val="decimal" w:pos="1532"/>
              </w:tabs>
              <w:autoSpaceDE w:val="0"/>
              <w:autoSpaceDN w:val="0"/>
              <w:adjustRightInd w:val="0"/>
              <w:spacing w:before="120" w:after="120"/>
              <w:jc w:val="both"/>
              <w:rPr>
                <w:rFonts w:ascii="Arial Narrow" w:hAnsi="Arial Narrow" w:cs="TimesNewRoman,Bold"/>
                <w:bCs/>
                <w:sz w:val="16"/>
                <w:szCs w:val="16"/>
              </w:rPr>
            </w:pPr>
            <w:r>
              <w:rPr>
                <w:rFonts w:ascii="Arial Narrow" w:hAnsi="Arial Narrow" w:cs="TimesNewRoman,Bold"/>
                <w:bCs/>
                <w:sz w:val="16"/>
                <w:szCs w:val="16"/>
              </w:rPr>
              <w:t>77,6%</w:t>
            </w:r>
          </w:p>
        </w:tc>
      </w:tr>
      <w:tr w:rsidR="000D2557" w:rsidRPr="0015043C" w:rsidTr="00753179">
        <w:trPr>
          <w:trHeight w:val="232"/>
          <w:jc w:val="center"/>
        </w:trPr>
        <w:tc>
          <w:tcPr>
            <w:tcW w:w="2977" w:type="dxa"/>
            <w:tcBorders>
              <w:top w:val="nil"/>
              <w:right w:val="nil"/>
            </w:tcBorders>
            <w:shd w:val="clear" w:color="auto" w:fill="D9D9D9" w:themeFill="background1" w:themeFillShade="D9"/>
            <w:tcMar>
              <w:left w:w="28" w:type="dxa"/>
              <w:right w:w="28" w:type="dxa"/>
            </w:tcMar>
          </w:tcPr>
          <w:p w:rsidR="000D2557" w:rsidRPr="0015043C" w:rsidRDefault="000D2557" w:rsidP="0099665D">
            <w:pPr>
              <w:autoSpaceDE w:val="0"/>
              <w:autoSpaceDN w:val="0"/>
              <w:adjustRightInd w:val="0"/>
              <w:spacing w:before="120" w:after="120"/>
              <w:jc w:val="both"/>
              <w:rPr>
                <w:rFonts w:ascii="Arial Narrow" w:hAnsi="Arial Narrow" w:cs="TimesNewRoman,Bold"/>
                <w:b/>
                <w:bCs/>
                <w:sz w:val="16"/>
                <w:szCs w:val="16"/>
              </w:rPr>
            </w:pPr>
            <w:r w:rsidRPr="0015043C">
              <w:rPr>
                <w:rFonts w:ascii="Arial Narrow" w:hAnsi="Arial Narrow" w:cs="TimesNewRoman,Bold"/>
                <w:b/>
                <w:bCs/>
                <w:sz w:val="16"/>
                <w:szCs w:val="16"/>
              </w:rPr>
              <w:t>Σύνολο</w:t>
            </w:r>
          </w:p>
        </w:tc>
        <w:tc>
          <w:tcPr>
            <w:tcW w:w="3101" w:type="dxa"/>
            <w:tcBorders>
              <w:top w:val="nil"/>
              <w:left w:val="nil"/>
            </w:tcBorders>
            <w:shd w:val="clear" w:color="auto" w:fill="D9D9D9" w:themeFill="background1" w:themeFillShade="D9"/>
          </w:tcPr>
          <w:p w:rsidR="000D2557" w:rsidRPr="0015043C" w:rsidRDefault="004B6243" w:rsidP="0099665D">
            <w:pPr>
              <w:tabs>
                <w:tab w:val="decimal" w:pos="1532"/>
              </w:tabs>
              <w:autoSpaceDE w:val="0"/>
              <w:autoSpaceDN w:val="0"/>
              <w:adjustRightInd w:val="0"/>
              <w:spacing w:before="120" w:after="120"/>
              <w:jc w:val="both"/>
              <w:rPr>
                <w:rFonts w:ascii="Arial Narrow" w:hAnsi="Arial Narrow" w:cs="TimesNewRoman,Bold"/>
                <w:b/>
                <w:bCs/>
                <w:sz w:val="16"/>
                <w:szCs w:val="16"/>
              </w:rPr>
            </w:pPr>
            <w:r w:rsidRPr="0015043C">
              <w:rPr>
                <w:rFonts w:ascii="Arial Narrow" w:hAnsi="Arial Narrow" w:cs="TimesNewRoman,Bold"/>
                <w:b/>
                <w:bCs/>
                <w:sz w:val="16"/>
                <w:szCs w:val="16"/>
              </w:rPr>
              <w:fldChar w:fldCharType="begin"/>
            </w:r>
            <w:r w:rsidR="000D2557" w:rsidRPr="0015043C">
              <w:rPr>
                <w:rFonts w:ascii="Arial Narrow" w:hAnsi="Arial Narrow" w:cs="TimesNewRoman,Bold"/>
                <w:b/>
                <w:bCs/>
                <w:sz w:val="16"/>
                <w:szCs w:val="16"/>
              </w:rPr>
              <w:instrText xml:space="preserve"> =SUM(ABOVE)*100 \# "0,00%" </w:instrText>
            </w:r>
            <w:r w:rsidRPr="0015043C">
              <w:rPr>
                <w:rFonts w:ascii="Arial Narrow" w:hAnsi="Arial Narrow" w:cs="TimesNewRoman,Bold"/>
                <w:b/>
                <w:bCs/>
                <w:sz w:val="16"/>
                <w:szCs w:val="16"/>
              </w:rPr>
              <w:fldChar w:fldCharType="separate"/>
            </w:r>
            <w:r w:rsidR="000D2557">
              <w:rPr>
                <w:rFonts w:ascii="Arial Narrow" w:hAnsi="Arial Narrow" w:cs="TimesNewRoman,Bold"/>
                <w:b/>
                <w:bCs/>
                <w:noProof/>
                <w:sz w:val="16"/>
                <w:szCs w:val="16"/>
              </w:rPr>
              <w:t>100,0</w:t>
            </w:r>
            <w:r w:rsidR="000D2557" w:rsidRPr="0015043C">
              <w:rPr>
                <w:rFonts w:ascii="Arial Narrow" w:hAnsi="Arial Narrow" w:cs="TimesNewRoman,Bold"/>
                <w:b/>
                <w:bCs/>
                <w:noProof/>
                <w:sz w:val="16"/>
                <w:szCs w:val="16"/>
              </w:rPr>
              <w:t>%</w:t>
            </w:r>
            <w:r w:rsidRPr="0015043C">
              <w:rPr>
                <w:rFonts w:ascii="Arial Narrow" w:hAnsi="Arial Narrow" w:cs="TimesNewRoman,Bold"/>
                <w:b/>
                <w:bCs/>
                <w:sz w:val="16"/>
                <w:szCs w:val="16"/>
              </w:rPr>
              <w:fldChar w:fldCharType="end"/>
            </w:r>
          </w:p>
        </w:tc>
      </w:tr>
    </w:tbl>
    <w:p w:rsidR="000D2557" w:rsidRPr="0015043C" w:rsidRDefault="000D2557" w:rsidP="000D2557">
      <w:pPr>
        <w:tabs>
          <w:tab w:val="left" w:pos="180"/>
        </w:tabs>
        <w:jc w:val="both"/>
        <w:rPr>
          <w:rFonts w:ascii="Arial Narrow" w:hAnsi="Arial Narrow"/>
          <w:sz w:val="16"/>
          <w:szCs w:val="16"/>
        </w:rPr>
      </w:pPr>
      <w:r w:rsidRPr="0015043C">
        <w:rPr>
          <w:rFonts w:ascii="Arial Narrow" w:hAnsi="Arial Narrow"/>
          <w:sz w:val="16"/>
          <w:szCs w:val="16"/>
        </w:rPr>
        <w:t xml:space="preserve"> </w:t>
      </w:r>
      <w:r w:rsidRPr="0015043C">
        <w:rPr>
          <w:rFonts w:ascii="Arial Narrow" w:hAnsi="Arial Narrow"/>
          <w:sz w:val="16"/>
          <w:szCs w:val="16"/>
        </w:rPr>
        <w:tab/>
      </w:r>
      <w:r w:rsidRPr="0015043C">
        <w:rPr>
          <w:rFonts w:ascii="Arial Narrow" w:hAnsi="Arial Narrow"/>
          <w:sz w:val="16"/>
          <w:szCs w:val="16"/>
        </w:rPr>
        <w:tab/>
      </w:r>
      <w:r w:rsidRPr="0015043C">
        <w:rPr>
          <w:rFonts w:ascii="Arial Narrow" w:hAnsi="Arial Narrow"/>
          <w:sz w:val="16"/>
          <w:szCs w:val="16"/>
        </w:rPr>
        <w:tab/>
        <w:t>Πηγή:  Ο</w:t>
      </w:r>
      <w:r>
        <w:rPr>
          <w:rFonts w:ascii="Arial Narrow" w:hAnsi="Arial Narrow"/>
          <w:sz w:val="16"/>
          <w:szCs w:val="16"/>
        </w:rPr>
        <w:t>ΔΔΗΧ</w:t>
      </w:r>
    </w:p>
    <w:p w:rsidR="000D2557" w:rsidRDefault="000D2557" w:rsidP="000D2557">
      <w:pPr>
        <w:jc w:val="both"/>
        <w:rPr>
          <w:sz w:val="22"/>
          <w:szCs w:val="22"/>
        </w:rPr>
      </w:pPr>
    </w:p>
    <w:p w:rsidR="000D2557" w:rsidRPr="0015043C" w:rsidRDefault="000D2557" w:rsidP="000D2557">
      <w:pPr>
        <w:jc w:val="both"/>
        <w:rPr>
          <w:sz w:val="22"/>
          <w:szCs w:val="22"/>
        </w:rPr>
      </w:pPr>
    </w:p>
    <w:p w:rsidR="000D2557" w:rsidRPr="00F713CA" w:rsidRDefault="000D2557" w:rsidP="000D2557">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t xml:space="preserve">4. </w:t>
      </w:r>
      <w:r w:rsidRPr="0015043C">
        <w:rPr>
          <w:rFonts w:ascii="Arial Narrow" w:hAnsi="Arial Narrow"/>
          <w:b/>
          <w:bCs/>
          <w:color w:val="FFFFFF"/>
          <w:sz w:val="26"/>
          <w:szCs w:val="22"/>
        </w:rPr>
        <w:tab/>
      </w:r>
      <w:r>
        <w:rPr>
          <w:rFonts w:ascii="Arial Narrow" w:hAnsi="Arial Narrow"/>
          <w:b/>
          <w:bCs/>
          <w:color w:val="FFFFFF"/>
          <w:sz w:val="26"/>
          <w:szCs w:val="22"/>
        </w:rPr>
        <w:t>Δαπάνες εξυπηρέτησης χρέους Κεντρικής Διοίκησης</w:t>
      </w:r>
    </w:p>
    <w:p w:rsidR="000D2557" w:rsidRPr="0015043C" w:rsidRDefault="000D2557" w:rsidP="000D2557">
      <w:pPr>
        <w:jc w:val="both"/>
        <w:rPr>
          <w:sz w:val="22"/>
          <w:szCs w:val="22"/>
        </w:rPr>
      </w:pPr>
    </w:p>
    <w:p w:rsidR="000D2557" w:rsidRPr="00F713CA" w:rsidRDefault="000D2557" w:rsidP="000D2557">
      <w:pPr>
        <w:autoSpaceDE w:val="0"/>
        <w:autoSpaceDN w:val="0"/>
        <w:adjustRightInd w:val="0"/>
        <w:jc w:val="both"/>
        <w:rPr>
          <w:sz w:val="22"/>
          <w:szCs w:val="22"/>
        </w:rPr>
      </w:pPr>
      <w:r w:rsidRPr="00F713CA">
        <w:rPr>
          <w:sz w:val="22"/>
          <w:szCs w:val="22"/>
        </w:rPr>
        <w:t>Οι δαπάνες εξυπηρέτησης του χρέους</w:t>
      </w:r>
      <w:r>
        <w:rPr>
          <w:sz w:val="22"/>
          <w:szCs w:val="22"/>
        </w:rPr>
        <w:t xml:space="preserve"> της Κεντρικής Διοίκησης </w:t>
      </w:r>
      <w:r w:rsidR="00ED0953">
        <w:rPr>
          <w:sz w:val="22"/>
          <w:szCs w:val="22"/>
        </w:rPr>
        <w:t>το 2018</w:t>
      </w:r>
      <w:r>
        <w:rPr>
          <w:sz w:val="22"/>
          <w:szCs w:val="22"/>
        </w:rPr>
        <w:t xml:space="preserve"> </w:t>
      </w:r>
      <w:r w:rsidRPr="00F713CA">
        <w:rPr>
          <w:sz w:val="22"/>
          <w:szCs w:val="22"/>
        </w:rPr>
        <w:t>εκτ</w:t>
      </w:r>
      <w:r>
        <w:rPr>
          <w:sz w:val="22"/>
          <w:szCs w:val="22"/>
        </w:rPr>
        <w:t>ιμάται ότι θα διαμορφ</w:t>
      </w:r>
      <w:r>
        <w:rPr>
          <w:sz w:val="22"/>
          <w:szCs w:val="22"/>
        </w:rPr>
        <w:t>ω</w:t>
      </w:r>
      <w:r>
        <w:rPr>
          <w:sz w:val="22"/>
          <w:szCs w:val="22"/>
        </w:rPr>
        <w:t xml:space="preserve">θούν σε </w:t>
      </w:r>
      <w:r w:rsidR="00ED0953">
        <w:rPr>
          <w:sz w:val="22"/>
          <w:szCs w:val="22"/>
        </w:rPr>
        <w:t>13.249</w:t>
      </w:r>
      <w:r>
        <w:rPr>
          <w:sz w:val="22"/>
          <w:szCs w:val="22"/>
        </w:rPr>
        <w:t xml:space="preserve"> εκατ. ευρώ, έναντι </w:t>
      </w:r>
      <w:r w:rsidR="00ED0953">
        <w:rPr>
          <w:sz w:val="22"/>
          <w:szCs w:val="22"/>
        </w:rPr>
        <w:t>101.642</w:t>
      </w:r>
      <w:r w:rsidRPr="00F713CA">
        <w:rPr>
          <w:sz w:val="22"/>
          <w:szCs w:val="22"/>
        </w:rPr>
        <w:t xml:space="preserve"> εκατ. ευρώ</w:t>
      </w:r>
      <w:r>
        <w:rPr>
          <w:sz w:val="22"/>
          <w:szCs w:val="22"/>
        </w:rPr>
        <w:t xml:space="preserve"> το έτος 201</w:t>
      </w:r>
      <w:r w:rsidR="00ED0953">
        <w:rPr>
          <w:sz w:val="22"/>
          <w:szCs w:val="22"/>
        </w:rPr>
        <w:t>7</w:t>
      </w:r>
      <w:r>
        <w:rPr>
          <w:sz w:val="22"/>
          <w:szCs w:val="22"/>
        </w:rPr>
        <w:t xml:space="preserve"> (π</w:t>
      </w:r>
      <w:r w:rsidR="000963BB">
        <w:rPr>
          <w:sz w:val="22"/>
          <w:szCs w:val="22"/>
        </w:rPr>
        <w:t>ίνακας 4.7</w:t>
      </w:r>
      <w:r w:rsidRPr="00F713CA">
        <w:rPr>
          <w:sz w:val="22"/>
          <w:szCs w:val="22"/>
        </w:rPr>
        <w:t xml:space="preserve">). </w:t>
      </w:r>
      <w:r w:rsidR="00014FFC">
        <w:rPr>
          <w:sz w:val="22"/>
          <w:szCs w:val="22"/>
        </w:rPr>
        <w:t>Το ιδιαίτερα υψ</w:t>
      </w:r>
      <w:r w:rsidR="00014FFC">
        <w:rPr>
          <w:sz w:val="22"/>
          <w:szCs w:val="22"/>
        </w:rPr>
        <w:t>η</w:t>
      </w:r>
      <w:r w:rsidR="00014FFC">
        <w:rPr>
          <w:sz w:val="22"/>
          <w:szCs w:val="22"/>
        </w:rPr>
        <w:t>λό μέγεθος των δαπανών εξυπηρέτησης χρέους Κεντρικής Διοίκησης κατά το 2017 οφείλεται στην εφαρμογή των βραχυπρόθεσμων μέτρων ελάφρυνσης του χρέους και στην ανταλλαγή των ομολόγων.</w:t>
      </w:r>
    </w:p>
    <w:tbl>
      <w:tblPr>
        <w:tblW w:w="9138" w:type="dxa"/>
        <w:tblLayout w:type="fixed"/>
        <w:tblLook w:val="0000"/>
      </w:tblPr>
      <w:tblGrid>
        <w:gridCol w:w="600"/>
        <w:gridCol w:w="762"/>
        <w:gridCol w:w="967"/>
        <w:gridCol w:w="774"/>
        <w:gridCol w:w="783"/>
        <w:gridCol w:w="916"/>
        <w:gridCol w:w="813"/>
        <w:gridCol w:w="973"/>
        <w:gridCol w:w="1184"/>
        <w:gridCol w:w="1366"/>
      </w:tblGrid>
      <w:tr w:rsidR="008864C7" w:rsidRPr="0015043C" w:rsidTr="0099665D">
        <w:tc>
          <w:tcPr>
            <w:tcW w:w="9138" w:type="dxa"/>
            <w:gridSpan w:val="10"/>
            <w:tcBorders>
              <w:top w:val="single" w:sz="4" w:space="0" w:color="auto"/>
              <w:left w:val="single" w:sz="4" w:space="0" w:color="auto"/>
              <w:bottom w:val="nil"/>
              <w:right w:val="single" w:sz="4" w:space="0" w:color="auto"/>
            </w:tcBorders>
            <w:shd w:val="clear" w:color="auto" w:fill="404040" w:themeFill="text1" w:themeFillTint="BF"/>
            <w:noWrap/>
            <w:tcMar>
              <w:left w:w="28" w:type="dxa"/>
              <w:right w:w="28" w:type="dxa"/>
            </w:tcMar>
            <w:vAlign w:val="bottom"/>
          </w:tcPr>
          <w:p w:rsidR="008864C7" w:rsidRPr="0015043C" w:rsidRDefault="008864C7" w:rsidP="0099665D">
            <w:pPr>
              <w:keepNext/>
              <w:spacing w:before="120"/>
              <w:jc w:val="center"/>
              <w:outlineLvl w:val="4"/>
              <w:rPr>
                <w:rFonts w:ascii="Arial Narrow" w:hAnsi="Arial Narrow"/>
                <w:b/>
                <w:bCs/>
                <w:color w:val="FFFFFF"/>
                <w:szCs w:val="16"/>
              </w:rPr>
            </w:pPr>
            <w:r w:rsidRPr="0015043C">
              <w:rPr>
                <w:rFonts w:ascii="Arial Narrow" w:hAnsi="Arial Narrow"/>
                <w:b/>
                <w:bCs/>
                <w:color w:val="FFFFFF"/>
                <w:szCs w:val="16"/>
              </w:rPr>
              <w:lastRenderedPageBreak/>
              <w:t xml:space="preserve">Πίνακας </w:t>
            </w:r>
            <w:r>
              <w:rPr>
                <w:rFonts w:ascii="Arial Narrow" w:hAnsi="Arial Narrow"/>
                <w:b/>
                <w:bCs/>
                <w:color w:val="FFFFFF"/>
                <w:szCs w:val="16"/>
              </w:rPr>
              <w:t xml:space="preserve">4.7 </w:t>
            </w:r>
            <w:r w:rsidRPr="0015043C">
              <w:rPr>
                <w:rFonts w:ascii="Arial Narrow" w:hAnsi="Arial Narrow"/>
                <w:b/>
                <w:bCs/>
                <w:color w:val="FFFFFF"/>
                <w:szCs w:val="16"/>
              </w:rPr>
              <w:t xml:space="preserve">  Δαπάνες εξυπηρέτησης χρέους Κεντρικής </w:t>
            </w:r>
            <w:r>
              <w:rPr>
                <w:rFonts w:ascii="Arial Narrow" w:hAnsi="Arial Narrow"/>
                <w:b/>
                <w:bCs/>
                <w:color w:val="FFFFFF"/>
                <w:szCs w:val="16"/>
              </w:rPr>
              <w:t>Διοίκησης</w:t>
            </w:r>
            <w:r w:rsidRPr="0015043C">
              <w:rPr>
                <w:rFonts w:ascii="Arial Narrow" w:hAnsi="Arial Narrow"/>
                <w:b/>
                <w:bCs/>
                <w:color w:val="FFFFFF"/>
                <w:szCs w:val="16"/>
              </w:rPr>
              <w:t xml:space="preserve"> </w:t>
            </w:r>
          </w:p>
          <w:p w:rsidR="008864C7" w:rsidRPr="0015043C" w:rsidRDefault="008864C7" w:rsidP="0099665D">
            <w:pPr>
              <w:keepNext/>
              <w:spacing w:after="120"/>
              <w:jc w:val="center"/>
              <w:outlineLvl w:val="4"/>
              <w:rPr>
                <w:rFonts w:ascii="Arial Narrow" w:hAnsi="Arial Narrow"/>
                <w:b/>
                <w:bCs/>
                <w:color w:val="FFFFFF"/>
                <w:szCs w:val="16"/>
              </w:rPr>
            </w:pPr>
            <w:r w:rsidRPr="0015043C">
              <w:rPr>
                <w:rFonts w:ascii="Arial Narrow" w:hAnsi="Arial Narrow"/>
                <w:b/>
                <w:color w:val="FFFFFF"/>
                <w:szCs w:val="16"/>
              </w:rPr>
              <w:t>(σε εκατ. ευρώ)</w:t>
            </w:r>
          </w:p>
        </w:tc>
      </w:tr>
      <w:tr w:rsidR="008864C7" w:rsidRPr="0015043C" w:rsidTr="0099665D">
        <w:trPr>
          <w:trHeight w:val="172"/>
        </w:trPr>
        <w:tc>
          <w:tcPr>
            <w:tcW w:w="9138" w:type="dxa"/>
            <w:gridSpan w:val="10"/>
            <w:tcBorders>
              <w:top w:val="nil"/>
              <w:left w:val="single" w:sz="4" w:space="0" w:color="auto"/>
              <w:bottom w:val="nil"/>
              <w:right w:val="single" w:sz="4" w:space="0" w:color="auto"/>
            </w:tcBorders>
            <w:shd w:val="clear" w:color="auto" w:fill="auto"/>
            <w:noWrap/>
            <w:tcMar>
              <w:left w:w="28" w:type="dxa"/>
              <w:right w:w="28" w:type="dxa"/>
            </w:tcMar>
            <w:vAlign w:val="bottom"/>
          </w:tcPr>
          <w:p w:rsidR="008864C7" w:rsidRPr="0015043C" w:rsidRDefault="008864C7" w:rsidP="0099665D">
            <w:pPr>
              <w:rPr>
                <w:rFonts w:ascii="Arial Narrow" w:hAnsi="Arial Narrow"/>
                <w:sz w:val="10"/>
                <w:szCs w:val="16"/>
              </w:rPr>
            </w:pPr>
          </w:p>
        </w:tc>
      </w:tr>
      <w:tr w:rsidR="008864C7" w:rsidRPr="0015043C" w:rsidTr="0099665D">
        <w:trPr>
          <w:trHeight w:val="242"/>
        </w:trPr>
        <w:tc>
          <w:tcPr>
            <w:tcW w:w="600"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rsidR="008864C7" w:rsidRPr="0015043C" w:rsidRDefault="008864C7" w:rsidP="0099665D">
            <w:pPr>
              <w:jc w:val="center"/>
              <w:rPr>
                <w:rFonts w:ascii="Arial Narrow" w:hAnsi="Arial Narrow"/>
                <w:sz w:val="16"/>
                <w:szCs w:val="16"/>
              </w:rPr>
            </w:pPr>
          </w:p>
          <w:p w:rsidR="008864C7" w:rsidRPr="00F10DC4" w:rsidRDefault="008864C7" w:rsidP="0099665D">
            <w:pPr>
              <w:jc w:val="center"/>
              <w:rPr>
                <w:rFonts w:ascii="Arial Narrow" w:hAnsi="Arial Narrow"/>
                <w:b/>
                <w:sz w:val="16"/>
                <w:szCs w:val="16"/>
              </w:rPr>
            </w:pPr>
            <w:r w:rsidRPr="00F10DC4">
              <w:rPr>
                <w:rFonts w:ascii="Arial Narrow" w:hAnsi="Arial Narrow"/>
                <w:b/>
                <w:sz w:val="16"/>
                <w:szCs w:val="16"/>
              </w:rPr>
              <w:t>Έτος</w:t>
            </w:r>
          </w:p>
          <w:p w:rsidR="008864C7" w:rsidRPr="0015043C" w:rsidRDefault="008864C7" w:rsidP="0099665D">
            <w:pPr>
              <w:jc w:val="center"/>
              <w:rPr>
                <w:rFonts w:ascii="Arial Narrow" w:hAnsi="Arial Narrow"/>
                <w:sz w:val="16"/>
                <w:szCs w:val="16"/>
              </w:rPr>
            </w:pPr>
          </w:p>
        </w:tc>
        <w:tc>
          <w:tcPr>
            <w:tcW w:w="2503"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8864C7" w:rsidRPr="0015043C" w:rsidRDefault="008864C7" w:rsidP="0099665D">
            <w:pPr>
              <w:keepNext/>
              <w:jc w:val="center"/>
              <w:outlineLvl w:val="5"/>
              <w:rPr>
                <w:rFonts w:ascii="Arial Narrow" w:hAnsi="Arial Narrow"/>
                <w:b/>
                <w:bCs/>
                <w:sz w:val="16"/>
                <w:szCs w:val="16"/>
              </w:rPr>
            </w:pPr>
            <w:r w:rsidRPr="0015043C">
              <w:rPr>
                <w:rFonts w:ascii="Arial Narrow" w:hAnsi="Arial Narrow"/>
                <w:b/>
                <w:bCs/>
                <w:sz w:val="16"/>
                <w:szCs w:val="16"/>
              </w:rPr>
              <w:t>Χρεολύσια</w:t>
            </w:r>
          </w:p>
        </w:tc>
        <w:tc>
          <w:tcPr>
            <w:tcW w:w="2512"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Τόκοι</w:t>
            </w:r>
          </w:p>
        </w:tc>
        <w:tc>
          <w:tcPr>
            <w:tcW w:w="973" w:type="dxa"/>
            <w:vMerge w:val="restart"/>
            <w:tcBorders>
              <w:top w:val="single" w:sz="4" w:space="0" w:color="auto"/>
              <w:left w:val="nil"/>
              <w:right w:val="single" w:sz="4" w:space="0" w:color="auto"/>
            </w:tcBorders>
            <w:shd w:val="clear" w:color="auto" w:fill="auto"/>
            <w:noWrap/>
            <w:tcMar>
              <w:left w:w="28" w:type="dxa"/>
              <w:right w:w="28" w:type="dxa"/>
            </w:tcMar>
            <w:vAlign w:val="center"/>
          </w:tcPr>
          <w:p w:rsidR="008864C7" w:rsidRDefault="008864C7" w:rsidP="0099665D">
            <w:pPr>
              <w:jc w:val="center"/>
              <w:rPr>
                <w:rFonts w:ascii="Arial Narrow" w:hAnsi="Arial Narrow"/>
                <w:b/>
                <w:bCs/>
                <w:sz w:val="16"/>
                <w:szCs w:val="16"/>
              </w:rPr>
            </w:pPr>
            <w:r>
              <w:rPr>
                <w:rFonts w:ascii="Arial Narrow" w:hAnsi="Arial Narrow"/>
                <w:b/>
                <w:bCs/>
                <w:sz w:val="16"/>
                <w:szCs w:val="16"/>
              </w:rPr>
              <w:t>Παράλληλες</w:t>
            </w:r>
          </w:p>
          <w:p w:rsidR="008864C7" w:rsidRPr="0015043C" w:rsidRDefault="008864C7" w:rsidP="0099665D">
            <w:pPr>
              <w:jc w:val="center"/>
              <w:rPr>
                <w:rFonts w:ascii="Arial Narrow" w:hAnsi="Arial Narrow"/>
                <w:b/>
                <w:bCs/>
                <w:sz w:val="16"/>
                <w:szCs w:val="16"/>
              </w:rPr>
            </w:pPr>
            <w:r>
              <w:rPr>
                <w:rFonts w:ascii="Arial Narrow" w:hAnsi="Arial Narrow"/>
                <w:b/>
                <w:bCs/>
                <w:sz w:val="16"/>
                <w:szCs w:val="16"/>
              </w:rPr>
              <w:t>δαπάνες</w:t>
            </w:r>
          </w:p>
        </w:tc>
        <w:tc>
          <w:tcPr>
            <w:tcW w:w="1184" w:type="dxa"/>
            <w:vMerge w:val="restart"/>
            <w:tcBorders>
              <w:top w:val="single" w:sz="4" w:space="0" w:color="auto"/>
              <w:left w:val="nil"/>
              <w:right w:val="single" w:sz="4" w:space="0" w:color="auto"/>
            </w:tcBorders>
            <w:shd w:val="clear" w:color="auto" w:fill="auto"/>
            <w:tcMar>
              <w:left w:w="28" w:type="dxa"/>
              <w:right w:w="28" w:type="dxa"/>
            </w:tcMar>
            <w:vAlign w:val="center"/>
          </w:tcPr>
          <w:p w:rsidR="008864C7" w:rsidRDefault="008864C7" w:rsidP="0099665D">
            <w:pPr>
              <w:jc w:val="center"/>
              <w:rPr>
                <w:rFonts w:ascii="Arial Narrow" w:hAnsi="Arial Narrow"/>
                <w:b/>
                <w:bCs/>
                <w:sz w:val="16"/>
                <w:szCs w:val="16"/>
              </w:rPr>
            </w:pPr>
            <w:r>
              <w:rPr>
                <w:rFonts w:ascii="Arial Narrow" w:hAnsi="Arial Narrow"/>
                <w:b/>
                <w:bCs/>
                <w:sz w:val="16"/>
                <w:szCs w:val="16"/>
              </w:rPr>
              <w:t xml:space="preserve">Τόκοι και </w:t>
            </w:r>
          </w:p>
          <w:p w:rsidR="008864C7" w:rsidRPr="0015043C" w:rsidRDefault="008864C7" w:rsidP="0099665D">
            <w:pPr>
              <w:jc w:val="center"/>
              <w:rPr>
                <w:rFonts w:ascii="Arial Narrow" w:hAnsi="Arial Narrow"/>
                <w:b/>
                <w:bCs/>
                <w:sz w:val="16"/>
                <w:szCs w:val="16"/>
              </w:rPr>
            </w:pPr>
            <w:r>
              <w:rPr>
                <w:rFonts w:ascii="Arial Narrow" w:hAnsi="Arial Narrow"/>
                <w:b/>
                <w:bCs/>
                <w:sz w:val="16"/>
                <w:szCs w:val="16"/>
              </w:rPr>
              <w:t>παραλ. δαπάνες</w:t>
            </w:r>
          </w:p>
        </w:tc>
        <w:tc>
          <w:tcPr>
            <w:tcW w:w="136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Γενικό σύνολο</w:t>
            </w:r>
          </w:p>
        </w:tc>
      </w:tr>
      <w:tr w:rsidR="008864C7" w:rsidRPr="0015043C" w:rsidTr="0099665D">
        <w:trPr>
          <w:trHeight w:val="193"/>
        </w:trPr>
        <w:tc>
          <w:tcPr>
            <w:tcW w:w="600" w:type="dxa"/>
            <w:vMerge/>
            <w:tcBorders>
              <w:left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rPr>
                <w:rFonts w:ascii="Arial Narrow" w:hAnsi="Arial Narrow"/>
                <w:sz w:val="16"/>
                <w:szCs w:val="16"/>
              </w:rPr>
            </w:pPr>
          </w:p>
        </w:tc>
        <w:tc>
          <w:tcPr>
            <w:tcW w:w="762" w:type="dxa"/>
            <w:tcBorders>
              <w:top w:val="nil"/>
              <w:left w:val="nil"/>
              <w:bottom w:val="nil"/>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Συναλ.</w:t>
            </w:r>
          </w:p>
        </w:tc>
        <w:tc>
          <w:tcPr>
            <w:tcW w:w="967" w:type="dxa"/>
            <w:tcBorders>
              <w:top w:val="nil"/>
              <w:left w:val="nil"/>
              <w:bottom w:val="nil"/>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Εθν. νομ.</w:t>
            </w:r>
          </w:p>
        </w:tc>
        <w:tc>
          <w:tcPr>
            <w:tcW w:w="774" w:type="dxa"/>
            <w:tcBorders>
              <w:top w:val="nil"/>
              <w:left w:val="nil"/>
              <w:bottom w:val="nil"/>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Σύνολο</w:t>
            </w:r>
          </w:p>
        </w:tc>
        <w:tc>
          <w:tcPr>
            <w:tcW w:w="78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Συναλ.</w:t>
            </w:r>
          </w:p>
        </w:tc>
        <w:tc>
          <w:tcPr>
            <w:tcW w:w="91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Εθν. νομ.</w:t>
            </w:r>
          </w:p>
        </w:tc>
        <w:tc>
          <w:tcPr>
            <w:tcW w:w="81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r w:rsidRPr="0015043C">
              <w:rPr>
                <w:rFonts w:ascii="Arial Narrow" w:hAnsi="Arial Narrow"/>
                <w:b/>
                <w:bCs/>
                <w:sz w:val="16"/>
                <w:szCs w:val="16"/>
              </w:rPr>
              <w:t>Σύνολο</w:t>
            </w:r>
          </w:p>
        </w:tc>
        <w:tc>
          <w:tcPr>
            <w:tcW w:w="973" w:type="dxa"/>
            <w:vMerge/>
            <w:tcBorders>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p>
        </w:tc>
        <w:tc>
          <w:tcPr>
            <w:tcW w:w="1184" w:type="dxa"/>
            <w:vMerge/>
            <w:tcBorders>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bCs/>
                <w:sz w:val="16"/>
                <w:szCs w:val="16"/>
              </w:rPr>
            </w:pPr>
          </w:p>
        </w:tc>
        <w:tc>
          <w:tcPr>
            <w:tcW w:w="1366" w:type="dxa"/>
            <w:vMerge/>
            <w:tcBorders>
              <w:left w:val="single" w:sz="4" w:space="0" w:color="auto"/>
              <w:bottom w:val="single" w:sz="4" w:space="0" w:color="000000"/>
              <w:right w:val="single" w:sz="4" w:space="0" w:color="auto"/>
            </w:tcBorders>
            <w:tcMar>
              <w:left w:w="28" w:type="dxa"/>
              <w:right w:w="28" w:type="dxa"/>
            </w:tcMar>
            <w:vAlign w:val="center"/>
          </w:tcPr>
          <w:p w:rsidR="008864C7" w:rsidRPr="0015043C" w:rsidRDefault="008864C7" w:rsidP="0099665D">
            <w:pPr>
              <w:rPr>
                <w:rFonts w:ascii="Arial Narrow" w:hAnsi="Arial Narrow"/>
                <w:b/>
                <w:bCs/>
                <w:sz w:val="16"/>
                <w:szCs w:val="16"/>
              </w:rPr>
            </w:pPr>
          </w:p>
        </w:tc>
      </w:tr>
      <w:tr w:rsidR="008864C7" w:rsidRPr="0015043C" w:rsidTr="0099665D">
        <w:trPr>
          <w:trHeight w:val="193"/>
        </w:trPr>
        <w:tc>
          <w:tcPr>
            <w:tcW w:w="600" w:type="dxa"/>
            <w:vMerge/>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rPr>
                <w:rFonts w:ascii="Arial Narrow" w:hAnsi="Arial Narrow"/>
                <w:b/>
                <w:sz w:val="16"/>
                <w:szCs w:val="16"/>
              </w:rPr>
            </w:pPr>
          </w:p>
        </w:tc>
        <w:tc>
          <w:tcPr>
            <w:tcW w:w="76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 </w:t>
            </w:r>
          </w:p>
        </w:tc>
        <w:tc>
          <w:tcPr>
            <w:tcW w:w="9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 </w:t>
            </w:r>
          </w:p>
        </w:tc>
        <w:tc>
          <w:tcPr>
            <w:tcW w:w="7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(1)</w:t>
            </w:r>
          </w:p>
        </w:tc>
        <w:tc>
          <w:tcPr>
            <w:tcW w:w="78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 </w:t>
            </w:r>
          </w:p>
        </w:tc>
        <w:tc>
          <w:tcPr>
            <w:tcW w:w="91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 </w:t>
            </w:r>
          </w:p>
        </w:tc>
        <w:tc>
          <w:tcPr>
            <w:tcW w:w="81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(2)</w:t>
            </w:r>
          </w:p>
        </w:tc>
        <w:tc>
          <w:tcPr>
            <w:tcW w:w="97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Pr>
                <w:rFonts w:ascii="Arial Narrow" w:hAnsi="Arial Narrow"/>
                <w:b/>
                <w:sz w:val="16"/>
                <w:szCs w:val="16"/>
              </w:rPr>
              <w:t>(3)</w:t>
            </w:r>
          </w:p>
        </w:tc>
        <w:tc>
          <w:tcPr>
            <w:tcW w:w="1184"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Pr>
                <w:rFonts w:ascii="Arial Narrow" w:hAnsi="Arial Narrow"/>
                <w:b/>
                <w:sz w:val="16"/>
                <w:szCs w:val="16"/>
              </w:rPr>
              <w:t>(2+3</w:t>
            </w:r>
            <w:r w:rsidRPr="0015043C">
              <w:rPr>
                <w:rFonts w:ascii="Arial Narrow" w:hAnsi="Arial Narrow"/>
                <w:b/>
                <w:sz w:val="16"/>
                <w:szCs w:val="16"/>
              </w:rPr>
              <w:t>)</w:t>
            </w:r>
          </w:p>
        </w:tc>
        <w:tc>
          <w:tcPr>
            <w:tcW w:w="136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b/>
                <w:sz w:val="16"/>
                <w:szCs w:val="16"/>
              </w:rPr>
            </w:pPr>
            <w:r w:rsidRPr="0015043C">
              <w:rPr>
                <w:rFonts w:ascii="Arial Narrow" w:hAnsi="Arial Narrow"/>
                <w:b/>
                <w:sz w:val="16"/>
                <w:szCs w:val="16"/>
              </w:rPr>
              <w:t>(1+2+3)</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1997</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3.057</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7.088</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10.145</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1.348</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7.461</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8.809</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308</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9.117</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19.262</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1998</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3.550</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6.132</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9.682</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1.625</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7.393</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9.018</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170</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9.188</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18.870</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1999</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2.682</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6.569</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9.251</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1.532</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7.758</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9.290</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101</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9.391</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18.642</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2000</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4.640</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8.491</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13.131</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1.922</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7.577</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9.499</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58</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9.557</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22.688</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2001</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2.566</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9.052</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11.618</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719</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8.570</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9.289</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39</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9.328</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20.946</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2002</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2.397</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17.883</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20.280</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391</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8.144</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8.535</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59</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8.594</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28.874</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2003</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1.204</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19.559</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20.763</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180</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9.028</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9.208</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70</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9.278</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30.041</w:t>
            </w:r>
          </w:p>
        </w:tc>
      </w:tr>
      <w:tr w:rsidR="008864C7" w:rsidRPr="0015043C" w:rsidTr="0099665D">
        <w:trPr>
          <w:trHeight w:val="20"/>
        </w:trPr>
        <w:tc>
          <w:tcPr>
            <w:tcW w:w="600" w:type="dxa"/>
            <w:tcBorders>
              <w:top w:val="nil"/>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2004</w:t>
            </w:r>
          </w:p>
        </w:tc>
        <w:tc>
          <w:tcPr>
            <w:tcW w:w="762"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667</w:t>
            </w:r>
          </w:p>
        </w:tc>
        <w:tc>
          <w:tcPr>
            <w:tcW w:w="967"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17.777</w:t>
            </w:r>
          </w:p>
        </w:tc>
        <w:tc>
          <w:tcPr>
            <w:tcW w:w="774"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18.444</w:t>
            </w:r>
          </w:p>
        </w:tc>
        <w:tc>
          <w:tcPr>
            <w:tcW w:w="783"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85</w:t>
            </w:r>
          </w:p>
        </w:tc>
        <w:tc>
          <w:tcPr>
            <w:tcW w:w="916"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9.198</w:t>
            </w:r>
          </w:p>
        </w:tc>
        <w:tc>
          <w:tcPr>
            <w:tcW w:w="813"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9.283</w:t>
            </w:r>
          </w:p>
        </w:tc>
        <w:tc>
          <w:tcPr>
            <w:tcW w:w="973" w:type="dxa"/>
            <w:tcBorders>
              <w:top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72</w:t>
            </w:r>
          </w:p>
        </w:tc>
        <w:tc>
          <w:tcPr>
            <w:tcW w:w="1184" w:type="dxa"/>
            <w:tcBorders>
              <w:top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9.355</w:t>
            </w:r>
          </w:p>
        </w:tc>
        <w:tc>
          <w:tcPr>
            <w:tcW w:w="1366" w:type="dxa"/>
            <w:tcBorders>
              <w:top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27.799</w:t>
            </w:r>
          </w:p>
        </w:tc>
      </w:tr>
      <w:tr w:rsidR="008864C7" w:rsidRPr="0015043C" w:rsidTr="0099665D">
        <w:trPr>
          <w:trHeight w:val="20"/>
        </w:trPr>
        <w:tc>
          <w:tcPr>
            <w:tcW w:w="600" w:type="dxa"/>
            <w:tcBorders>
              <w:top w:val="nil"/>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lang w:val="en-US"/>
              </w:rPr>
            </w:pPr>
            <w:r w:rsidRPr="0015043C">
              <w:rPr>
                <w:rFonts w:ascii="Arial Narrow" w:hAnsi="Arial Narrow"/>
                <w:sz w:val="16"/>
                <w:szCs w:val="16"/>
              </w:rPr>
              <w:t>2005</w:t>
            </w:r>
          </w:p>
        </w:tc>
        <w:tc>
          <w:tcPr>
            <w:tcW w:w="762"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751</w:t>
            </w:r>
          </w:p>
        </w:tc>
        <w:tc>
          <w:tcPr>
            <w:tcW w:w="967"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19.628</w:t>
            </w:r>
          </w:p>
        </w:tc>
        <w:tc>
          <w:tcPr>
            <w:tcW w:w="774"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20.379</w:t>
            </w:r>
          </w:p>
        </w:tc>
        <w:tc>
          <w:tcPr>
            <w:tcW w:w="783"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108</w:t>
            </w:r>
          </w:p>
        </w:tc>
        <w:tc>
          <w:tcPr>
            <w:tcW w:w="916"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9.508</w:t>
            </w:r>
          </w:p>
        </w:tc>
        <w:tc>
          <w:tcPr>
            <w:tcW w:w="813" w:type="dxa"/>
            <w:tcBorders>
              <w:top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9.616</w:t>
            </w:r>
          </w:p>
        </w:tc>
        <w:tc>
          <w:tcPr>
            <w:tcW w:w="973" w:type="dxa"/>
            <w:tcBorders>
              <w:top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71</w:t>
            </w:r>
          </w:p>
        </w:tc>
        <w:tc>
          <w:tcPr>
            <w:tcW w:w="1184" w:type="dxa"/>
            <w:tcBorders>
              <w:top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9.687</w:t>
            </w:r>
          </w:p>
        </w:tc>
        <w:tc>
          <w:tcPr>
            <w:tcW w:w="1366" w:type="dxa"/>
            <w:tcBorders>
              <w:top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30.066</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lang w:val="en-US"/>
              </w:rPr>
            </w:pPr>
            <w:r w:rsidRPr="0015043C">
              <w:rPr>
                <w:rFonts w:ascii="Arial Narrow" w:hAnsi="Arial Narrow"/>
                <w:sz w:val="16"/>
                <w:szCs w:val="16"/>
                <w:lang w:val="en-US"/>
              </w:rPr>
              <w:t>2006</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65</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16.524</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16.589</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92</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9.349</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9.441</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56</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9.497</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26.086</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lang w:val="en-US"/>
              </w:rPr>
            </w:pPr>
            <w:r w:rsidRPr="0015043C">
              <w:rPr>
                <w:rFonts w:ascii="Arial Narrow" w:hAnsi="Arial Narrow"/>
                <w:sz w:val="16"/>
                <w:szCs w:val="16"/>
                <w:lang w:val="en-US"/>
              </w:rPr>
              <w:t>2007</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43</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22.152</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22.195</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74</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9.583</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9.657</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71</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9.728</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31.923</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lang w:val="en-US"/>
              </w:rPr>
              <w:t>200</w:t>
            </w:r>
            <w:r w:rsidRPr="0015043C">
              <w:rPr>
                <w:rFonts w:ascii="Arial Narrow" w:hAnsi="Arial Narrow"/>
                <w:sz w:val="16"/>
                <w:szCs w:val="16"/>
              </w:rPr>
              <w:t>8</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424</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25.822</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26.246</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82</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11.052</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11.134</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72</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11.206</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37.452</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sidRPr="0015043C">
              <w:rPr>
                <w:rFonts w:ascii="Arial Narrow" w:hAnsi="Arial Narrow"/>
                <w:sz w:val="16"/>
                <w:szCs w:val="16"/>
              </w:rPr>
              <w:t>2009</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375</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28.760</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29.135</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39</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12.145</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12.184</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141</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12.325</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41.460</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Pr>
                <w:rFonts w:ascii="Arial Narrow" w:hAnsi="Arial Narrow"/>
                <w:sz w:val="16"/>
                <w:szCs w:val="16"/>
              </w:rPr>
              <w:t>2010</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159</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19.390</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19.549</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104</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12.873</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12.977</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246</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13.223</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32.772</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Pr>
                <w:rFonts w:ascii="Arial Narrow" w:hAnsi="Arial Narrow"/>
                <w:sz w:val="16"/>
                <w:szCs w:val="16"/>
              </w:rPr>
              <w:t>2011</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-129</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28.976</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28.847</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372</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15.758</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16.130</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218</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16.348</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45.195</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Default="008864C7" w:rsidP="0099665D">
            <w:pPr>
              <w:jc w:val="center"/>
              <w:rPr>
                <w:rFonts w:ascii="Arial Narrow" w:hAnsi="Arial Narrow"/>
                <w:sz w:val="16"/>
                <w:szCs w:val="16"/>
              </w:rPr>
            </w:pPr>
            <w:r>
              <w:rPr>
                <w:rFonts w:ascii="Arial Narrow" w:hAnsi="Arial Narrow"/>
                <w:sz w:val="16"/>
                <w:szCs w:val="16"/>
              </w:rPr>
              <w:t>2012</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-1.353</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25.261</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23.908</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603</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11.530</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12.133</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631</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12.764</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36.672</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Default="008864C7" w:rsidP="0099665D">
            <w:pPr>
              <w:jc w:val="center"/>
              <w:rPr>
                <w:rFonts w:ascii="Arial Narrow" w:hAnsi="Arial Narrow"/>
                <w:sz w:val="16"/>
                <w:szCs w:val="16"/>
              </w:rPr>
            </w:pPr>
            <w:r>
              <w:rPr>
                <w:rFonts w:ascii="Arial Narrow" w:hAnsi="Arial Narrow"/>
                <w:sz w:val="16"/>
                <w:szCs w:val="16"/>
              </w:rPr>
              <w:t>2013</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2.110</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10.647</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12.757</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848</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5.173</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6.021</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150</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6.171</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18.928</w:t>
            </w:r>
          </w:p>
        </w:tc>
      </w:tr>
      <w:tr w:rsidR="008864C7" w:rsidRPr="0015043C" w:rsidTr="0099665D">
        <w:trPr>
          <w:trHeight w:val="20"/>
        </w:trPr>
        <w:tc>
          <w:tcPr>
            <w:tcW w:w="600" w:type="dxa"/>
            <w:tcBorders>
              <w:left w:val="single" w:sz="4" w:space="0" w:color="auto"/>
            </w:tcBorders>
            <w:shd w:val="clear" w:color="auto" w:fill="auto"/>
            <w:noWrap/>
            <w:tcMar>
              <w:left w:w="28" w:type="dxa"/>
              <w:right w:w="28" w:type="dxa"/>
            </w:tcMar>
            <w:vAlign w:val="bottom"/>
          </w:tcPr>
          <w:p w:rsidR="008864C7" w:rsidRDefault="008864C7" w:rsidP="0099665D">
            <w:pPr>
              <w:jc w:val="center"/>
              <w:rPr>
                <w:rFonts w:ascii="Arial Narrow" w:hAnsi="Arial Narrow"/>
                <w:sz w:val="16"/>
                <w:szCs w:val="16"/>
              </w:rPr>
            </w:pPr>
            <w:r>
              <w:rPr>
                <w:rFonts w:ascii="Arial Narrow" w:hAnsi="Arial Narrow"/>
                <w:sz w:val="16"/>
                <w:szCs w:val="16"/>
              </w:rPr>
              <w:t>2014</w:t>
            </w:r>
          </w:p>
        </w:tc>
        <w:tc>
          <w:tcPr>
            <w:tcW w:w="762"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2.367</w:t>
            </w:r>
          </w:p>
        </w:tc>
        <w:tc>
          <w:tcPr>
            <w:tcW w:w="967"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22.453</w:t>
            </w:r>
          </w:p>
        </w:tc>
        <w:tc>
          <w:tcPr>
            <w:tcW w:w="774"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24.820</w:t>
            </w:r>
          </w:p>
        </w:tc>
        <w:tc>
          <w:tcPr>
            <w:tcW w:w="78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955</w:t>
            </w:r>
          </w:p>
        </w:tc>
        <w:tc>
          <w:tcPr>
            <w:tcW w:w="916"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4.573</w:t>
            </w:r>
          </w:p>
        </w:tc>
        <w:tc>
          <w:tcPr>
            <w:tcW w:w="813" w:type="dxa"/>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5.528</w:t>
            </w:r>
          </w:p>
        </w:tc>
        <w:tc>
          <w:tcPr>
            <w:tcW w:w="973" w:type="dxa"/>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82</w:t>
            </w:r>
          </w:p>
        </w:tc>
        <w:tc>
          <w:tcPr>
            <w:tcW w:w="1184" w:type="dxa"/>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5.610</w:t>
            </w:r>
          </w:p>
        </w:tc>
        <w:tc>
          <w:tcPr>
            <w:tcW w:w="1366" w:type="dxa"/>
            <w:tcBorders>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30.430</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Pr="0015043C" w:rsidRDefault="008864C7" w:rsidP="0099665D">
            <w:pPr>
              <w:jc w:val="center"/>
              <w:rPr>
                <w:rFonts w:ascii="Arial Narrow" w:hAnsi="Arial Narrow"/>
                <w:sz w:val="16"/>
                <w:szCs w:val="16"/>
              </w:rPr>
            </w:pPr>
            <w:r>
              <w:rPr>
                <w:rFonts w:ascii="Arial Narrow" w:hAnsi="Arial Narrow"/>
                <w:sz w:val="16"/>
                <w:szCs w:val="16"/>
              </w:rPr>
              <w:t>2015</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3.242</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23.981</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27.223</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760</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5.040</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5.800</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178</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5.978</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33.201</w:t>
            </w:r>
          </w:p>
        </w:tc>
      </w:tr>
      <w:tr w:rsidR="008864C7" w:rsidRPr="0015043C" w:rsidTr="0099665D">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Default="008864C7" w:rsidP="0099665D">
            <w:pPr>
              <w:jc w:val="center"/>
              <w:rPr>
                <w:rFonts w:ascii="Arial Narrow" w:hAnsi="Arial Narrow"/>
                <w:sz w:val="16"/>
                <w:szCs w:val="16"/>
              </w:rPr>
            </w:pPr>
            <w:r>
              <w:rPr>
                <w:rFonts w:ascii="Arial Narrow" w:hAnsi="Arial Narrow"/>
                <w:sz w:val="16"/>
                <w:szCs w:val="16"/>
              </w:rPr>
              <w:t>2016</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1.159</w:t>
            </w:r>
          </w:p>
        </w:tc>
        <w:tc>
          <w:tcPr>
            <w:tcW w:w="967"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6.401</w:t>
            </w:r>
          </w:p>
        </w:tc>
        <w:tc>
          <w:tcPr>
            <w:tcW w:w="774"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7.560</w:t>
            </w:r>
          </w:p>
        </w:tc>
        <w:tc>
          <w:tcPr>
            <w:tcW w:w="78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426</w:t>
            </w:r>
          </w:p>
        </w:tc>
        <w:tc>
          <w:tcPr>
            <w:tcW w:w="916"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5.162</w:t>
            </w:r>
          </w:p>
        </w:tc>
        <w:tc>
          <w:tcPr>
            <w:tcW w:w="813"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5.588</w:t>
            </w:r>
          </w:p>
        </w:tc>
        <w:tc>
          <w:tcPr>
            <w:tcW w:w="973" w:type="dxa"/>
            <w:tcBorders>
              <w:top w:val="nil"/>
              <w:bottom w:val="nil"/>
            </w:tcBorders>
            <w:shd w:val="clear" w:color="auto" w:fill="auto"/>
            <w:noWrap/>
            <w:tcMar>
              <w:left w:w="28" w:type="dxa"/>
              <w:right w:w="28" w:type="dxa"/>
            </w:tcMar>
            <w:vAlign w:val="bottom"/>
          </w:tcPr>
          <w:p w:rsidR="008864C7" w:rsidRDefault="008864C7" w:rsidP="0099665D">
            <w:pPr>
              <w:ind w:right="340"/>
              <w:jc w:val="right"/>
              <w:rPr>
                <w:rFonts w:ascii="Arial Narrow" w:hAnsi="Arial Narrow" w:cs="Arial"/>
                <w:sz w:val="16"/>
                <w:szCs w:val="16"/>
              </w:rPr>
            </w:pPr>
            <w:r>
              <w:rPr>
                <w:rFonts w:ascii="Arial Narrow" w:hAnsi="Arial Narrow" w:cs="Arial"/>
                <w:sz w:val="16"/>
                <w:szCs w:val="16"/>
              </w:rPr>
              <w:t>55</w:t>
            </w:r>
          </w:p>
        </w:tc>
        <w:tc>
          <w:tcPr>
            <w:tcW w:w="1184" w:type="dxa"/>
            <w:tcBorders>
              <w:top w:val="nil"/>
              <w:bottom w:val="nil"/>
            </w:tcBorders>
            <w:shd w:val="clear" w:color="auto" w:fill="auto"/>
            <w:noWrap/>
            <w:tcMar>
              <w:left w:w="28" w:type="dxa"/>
              <w:right w:w="28" w:type="dxa"/>
            </w:tcMar>
            <w:vAlign w:val="bottom"/>
          </w:tcPr>
          <w:p w:rsidR="008864C7" w:rsidRDefault="008864C7" w:rsidP="0099665D">
            <w:pPr>
              <w:ind w:right="397"/>
              <w:jc w:val="right"/>
              <w:rPr>
                <w:rFonts w:ascii="Arial Narrow" w:hAnsi="Arial Narrow" w:cs="Arial"/>
                <w:sz w:val="16"/>
                <w:szCs w:val="16"/>
              </w:rPr>
            </w:pPr>
            <w:r>
              <w:rPr>
                <w:rFonts w:ascii="Arial Narrow" w:hAnsi="Arial Narrow" w:cs="Arial"/>
                <w:sz w:val="16"/>
                <w:szCs w:val="16"/>
              </w:rPr>
              <w:t>5.643</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8864C7" w:rsidP="0099665D">
            <w:pPr>
              <w:ind w:right="454"/>
              <w:jc w:val="right"/>
              <w:rPr>
                <w:rFonts w:ascii="Arial Narrow" w:hAnsi="Arial Narrow" w:cs="Arial"/>
                <w:sz w:val="16"/>
                <w:szCs w:val="16"/>
              </w:rPr>
            </w:pPr>
            <w:r>
              <w:rPr>
                <w:rFonts w:ascii="Arial Narrow" w:hAnsi="Arial Narrow" w:cs="Arial"/>
                <w:sz w:val="16"/>
                <w:szCs w:val="16"/>
              </w:rPr>
              <w:t>13.203</w:t>
            </w:r>
          </w:p>
        </w:tc>
      </w:tr>
      <w:tr w:rsidR="008864C7" w:rsidRPr="0015043C" w:rsidTr="0017771C">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8864C7" w:rsidRDefault="008864C7" w:rsidP="0099665D">
            <w:pPr>
              <w:jc w:val="center"/>
              <w:rPr>
                <w:rFonts w:ascii="Arial Narrow" w:hAnsi="Arial Narrow"/>
                <w:sz w:val="16"/>
                <w:szCs w:val="16"/>
              </w:rPr>
            </w:pPr>
            <w:r>
              <w:rPr>
                <w:rFonts w:ascii="Arial Narrow" w:hAnsi="Arial Narrow"/>
                <w:sz w:val="16"/>
                <w:szCs w:val="16"/>
              </w:rPr>
              <w:t>2017</w:t>
            </w:r>
          </w:p>
        </w:tc>
        <w:tc>
          <w:tcPr>
            <w:tcW w:w="762" w:type="dxa"/>
            <w:tcBorders>
              <w:top w:val="nil"/>
              <w:bottom w:val="nil"/>
            </w:tcBorders>
            <w:shd w:val="clear" w:color="auto" w:fill="auto"/>
            <w:noWrap/>
            <w:tcMar>
              <w:left w:w="28" w:type="dxa"/>
              <w:right w:w="28" w:type="dxa"/>
            </w:tcMar>
            <w:vAlign w:val="bottom"/>
          </w:tcPr>
          <w:p w:rsidR="008864C7" w:rsidRDefault="008864C7" w:rsidP="0099665D">
            <w:pPr>
              <w:ind w:right="170"/>
              <w:jc w:val="right"/>
              <w:rPr>
                <w:rFonts w:ascii="Arial Narrow" w:hAnsi="Arial Narrow" w:cs="Arial"/>
                <w:sz w:val="16"/>
                <w:szCs w:val="16"/>
              </w:rPr>
            </w:pPr>
            <w:r>
              <w:rPr>
                <w:rFonts w:ascii="Arial Narrow" w:hAnsi="Arial Narrow" w:cs="Arial"/>
                <w:sz w:val="16"/>
                <w:szCs w:val="16"/>
              </w:rPr>
              <w:t>790</w:t>
            </w:r>
          </w:p>
        </w:tc>
        <w:tc>
          <w:tcPr>
            <w:tcW w:w="967" w:type="dxa"/>
            <w:tcBorders>
              <w:top w:val="nil"/>
              <w:bottom w:val="nil"/>
            </w:tcBorders>
            <w:shd w:val="clear" w:color="auto" w:fill="auto"/>
            <w:noWrap/>
            <w:tcMar>
              <w:left w:w="28" w:type="dxa"/>
              <w:right w:w="28" w:type="dxa"/>
            </w:tcMar>
            <w:vAlign w:val="bottom"/>
          </w:tcPr>
          <w:p w:rsidR="008864C7" w:rsidRDefault="00724C7A" w:rsidP="0099665D">
            <w:pPr>
              <w:ind w:right="170"/>
              <w:jc w:val="right"/>
              <w:rPr>
                <w:rFonts w:ascii="Arial Narrow" w:hAnsi="Arial Narrow" w:cs="Arial"/>
                <w:sz w:val="16"/>
                <w:szCs w:val="16"/>
              </w:rPr>
            </w:pPr>
            <w:r>
              <w:rPr>
                <w:rFonts w:ascii="Arial Narrow" w:hAnsi="Arial Narrow" w:cs="Arial"/>
                <w:sz w:val="16"/>
                <w:szCs w:val="16"/>
              </w:rPr>
              <w:t>94.575</w:t>
            </w:r>
          </w:p>
        </w:tc>
        <w:tc>
          <w:tcPr>
            <w:tcW w:w="774" w:type="dxa"/>
            <w:tcBorders>
              <w:top w:val="nil"/>
              <w:bottom w:val="nil"/>
            </w:tcBorders>
            <w:shd w:val="clear" w:color="auto" w:fill="auto"/>
            <w:noWrap/>
            <w:tcMar>
              <w:left w:w="28" w:type="dxa"/>
              <w:right w:w="28" w:type="dxa"/>
            </w:tcMar>
            <w:vAlign w:val="bottom"/>
          </w:tcPr>
          <w:p w:rsidR="008864C7" w:rsidRDefault="00724C7A" w:rsidP="0099665D">
            <w:pPr>
              <w:ind w:right="170"/>
              <w:jc w:val="right"/>
              <w:rPr>
                <w:rFonts w:ascii="Arial Narrow" w:hAnsi="Arial Narrow" w:cs="Arial"/>
                <w:sz w:val="16"/>
                <w:szCs w:val="16"/>
              </w:rPr>
            </w:pPr>
            <w:r>
              <w:rPr>
                <w:rFonts w:ascii="Arial Narrow" w:hAnsi="Arial Narrow" w:cs="Arial"/>
                <w:sz w:val="16"/>
                <w:szCs w:val="16"/>
              </w:rPr>
              <w:t>95.365</w:t>
            </w:r>
          </w:p>
        </w:tc>
        <w:tc>
          <w:tcPr>
            <w:tcW w:w="783" w:type="dxa"/>
            <w:tcBorders>
              <w:top w:val="nil"/>
              <w:bottom w:val="nil"/>
            </w:tcBorders>
            <w:shd w:val="clear" w:color="auto" w:fill="auto"/>
            <w:noWrap/>
            <w:tcMar>
              <w:left w:w="28" w:type="dxa"/>
              <w:right w:w="28" w:type="dxa"/>
            </w:tcMar>
            <w:vAlign w:val="bottom"/>
          </w:tcPr>
          <w:p w:rsidR="008864C7" w:rsidRDefault="00724C7A" w:rsidP="00724C7A">
            <w:pPr>
              <w:ind w:right="170"/>
              <w:jc w:val="right"/>
              <w:rPr>
                <w:rFonts w:ascii="Arial Narrow" w:hAnsi="Arial Narrow" w:cs="Arial"/>
                <w:sz w:val="16"/>
                <w:szCs w:val="16"/>
              </w:rPr>
            </w:pPr>
            <w:r>
              <w:rPr>
                <w:rFonts w:ascii="Arial Narrow" w:hAnsi="Arial Narrow" w:cs="Arial"/>
                <w:sz w:val="16"/>
                <w:szCs w:val="16"/>
              </w:rPr>
              <w:t>370</w:t>
            </w:r>
          </w:p>
        </w:tc>
        <w:tc>
          <w:tcPr>
            <w:tcW w:w="916" w:type="dxa"/>
            <w:tcBorders>
              <w:top w:val="nil"/>
              <w:bottom w:val="nil"/>
            </w:tcBorders>
            <w:shd w:val="clear" w:color="auto" w:fill="auto"/>
            <w:noWrap/>
            <w:tcMar>
              <w:left w:w="28" w:type="dxa"/>
              <w:right w:w="28" w:type="dxa"/>
            </w:tcMar>
            <w:vAlign w:val="bottom"/>
          </w:tcPr>
          <w:p w:rsidR="008864C7" w:rsidRDefault="00724C7A" w:rsidP="0099665D">
            <w:pPr>
              <w:ind w:right="170"/>
              <w:jc w:val="right"/>
              <w:rPr>
                <w:rFonts w:ascii="Arial Narrow" w:hAnsi="Arial Narrow" w:cs="Arial"/>
                <w:sz w:val="16"/>
                <w:szCs w:val="16"/>
              </w:rPr>
            </w:pPr>
            <w:r>
              <w:rPr>
                <w:rFonts w:ascii="Arial Narrow" w:hAnsi="Arial Narrow" w:cs="Arial"/>
                <w:sz w:val="16"/>
                <w:szCs w:val="16"/>
              </w:rPr>
              <w:t>5.838</w:t>
            </w:r>
          </w:p>
        </w:tc>
        <w:tc>
          <w:tcPr>
            <w:tcW w:w="813" w:type="dxa"/>
            <w:tcBorders>
              <w:top w:val="nil"/>
              <w:bottom w:val="nil"/>
            </w:tcBorders>
            <w:shd w:val="clear" w:color="auto" w:fill="auto"/>
            <w:noWrap/>
            <w:tcMar>
              <w:left w:w="28" w:type="dxa"/>
              <w:right w:w="28" w:type="dxa"/>
            </w:tcMar>
            <w:vAlign w:val="bottom"/>
          </w:tcPr>
          <w:p w:rsidR="008864C7" w:rsidRDefault="00724C7A" w:rsidP="0099665D">
            <w:pPr>
              <w:ind w:right="170"/>
              <w:jc w:val="right"/>
              <w:rPr>
                <w:rFonts w:ascii="Arial Narrow" w:hAnsi="Arial Narrow" w:cs="Arial"/>
                <w:sz w:val="16"/>
                <w:szCs w:val="16"/>
              </w:rPr>
            </w:pPr>
            <w:r>
              <w:rPr>
                <w:rFonts w:ascii="Arial Narrow" w:hAnsi="Arial Narrow" w:cs="Arial"/>
                <w:sz w:val="16"/>
                <w:szCs w:val="16"/>
              </w:rPr>
              <w:t>6.208</w:t>
            </w:r>
          </w:p>
        </w:tc>
        <w:tc>
          <w:tcPr>
            <w:tcW w:w="973" w:type="dxa"/>
            <w:tcBorders>
              <w:top w:val="nil"/>
              <w:bottom w:val="nil"/>
            </w:tcBorders>
            <w:shd w:val="clear" w:color="auto" w:fill="auto"/>
            <w:noWrap/>
            <w:tcMar>
              <w:left w:w="28" w:type="dxa"/>
              <w:right w:w="28" w:type="dxa"/>
            </w:tcMar>
            <w:vAlign w:val="bottom"/>
          </w:tcPr>
          <w:p w:rsidR="008864C7" w:rsidRDefault="00724C7A" w:rsidP="0099665D">
            <w:pPr>
              <w:ind w:right="340"/>
              <w:jc w:val="right"/>
              <w:rPr>
                <w:rFonts w:ascii="Arial Narrow" w:hAnsi="Arial Narrow" w:cs="Arial"/>
                <w:sz w:val="16"/>
                <w:szCs w:val="16"/>
              </w:rPr>
            </w:pPr>
            <w:r>
              <w:rPr>
                <w:rFonts w:ascii="Arial Narrow" w:hAnsi="Arial Narrow" w:cs="Arial"/>
                <w:sz w:val="16"/>
                <w:szCs w:val="16"/>
              </w:rPr>
              <w:t>69</w:t>
            </w:r>
          </w:p>
        </w:tc>
        <w:tc>
          <w:tcPr>
            <w:tcW w:w="1184" w:type="dxa"/>
            <w:tcBorders>
              <w:top w:val="nil"/>
              <w:bottom w:val="nil"/>
            </w:tcBorders>
            <w:shd w:val="clear" w:color="auto" w:fill="auto"/>
            <w:noWrap/>
            <w:tcMar>
              <w:left w:w="28" w:type="dxa"/>
              <w:right w:w="28" w:type="dxa"/>
            </w:tcMar>
            <w:vAlign w:val="bottom"/>
          </w:tcPr>
          <w:p w:rsidR="008864C7" w:rsidRDefault="00724C7A" w:rsidP="0099665D">
            <w:pPr>
              <w:ind w:right="397"/>
              <w:jc w:val="right"/>
              <w:rPr>
                <w:rFonts w:ascii="Arial Narrow" w:hAnsi="Arial Narrow" w:cs="Arial"/>
                <w:sz w:val="16"/>
                <w:szCs w:val="16"/>
              </w:rPr>
            </w:pPr>
            <w:r>
              <w:rPr>
                <w:rFonts w:ascii="Arial Narrow" w:hAnsi="Arial Narrow" w:cs="Arial"/>
                <w:sz w:val="16"/>
                <w:szCs w:val="16"/>
              </w:rPr>
              <w:t>6.277</w:t>
            </w:r>
          </w:p>
        </w:tc>
        <w:tc>
          <w:tcPr>
            <w:tcW w:w="1366" w:type="dxa"/>
            <w:tcBorders>
              <w:top w:val="nil"/>
              <w:bottom w:val="nil"/>
              <w:right w:val="single" w:sz="4" w:space="0" w:color="auto"/>
            </w:tcBorders>
            <w:shd w:val="clear" w:color="auto" w:fill="auto"/>
            <w:noWrap/>
            <w:tcMar>
              <w:left w:w="28" w:type="dxa"/>
              <w:right w:w="28" w:type="dxa"/>
            </w:tcMar>
            <w:vAlign w:val="bottom"/>
          </w:tcPr>
          <w:p w:rsidR="008864C7" w:rsidRDefault="00724C7A" w:rsidP="0099665D">
            <w:pPr>
              <w:ind w:right="454"/>
              <w:jc w:val="right"/>
              <w:rPr>
                <w:rFonts w:ascii="Arial Narrow" w:hAnsi="Arial Narrow" w:cs="Arial"/>
                <w:sz w:val="16"/>
                <w:szCs w:val="16"/>
              </w:rPr>
            </w:pPr>
            <w:r>
              <w:rPr>
                <w:rFonts w:ascii="Arial Narrow" w:hAnsi="Arial Narrow" w:cs="Arial"/>
                <w:sz w:val="16"/>
                <w:szCs w:val="16"/>
              </w:rPr>
              <w:t>101.642</w:t>
            </w:r>
          </w:p>
        </w:tc>
      </w:tr>
      <w:tr w:rsidR="0017771C" w:rsidRPr="0015043C" w:rsidTr="0099665D">
        <w:trPr>
          <w:trHeight w:val="20"/>
        </w:trPr>
        <w:tc>
          <w:tcPr>
            <w:tcW w:w="600" w:type="dxa"/>
            <w:tcBorders>
              <w:top w:val="nil"/>
              <w:left w:val="single" w:sz="4" w:space="0" w:color="auto"/>
              <w:bottom w:val="single" w:sz="4" w:space="0" w:color="auto"/>
            </w:tcBorders>
            <w:shd w:val="clear" w:color="auto" w:fill="auto"/>
            <w:noWrap/>
            <w:tcMar>
              <w:left w:w="28" w:type="dxa"/>
              <w:right w:w="28" w:type="dxa"/>
            </w:tcMar>
            <w:vAlign w:val="bottom"/>
          </w:tcPr>
          <w:p w:rsidR="0017771C" w:rsidRDefault="0017771C" w:rsidP="0099665D">
            <w:pPr>
              <w:jc w:val="center"/>
              <w:rPr>
                <w:rFonts w:ascii="Arial Narrow" w:hAnsi="Arial Narrow"/>
                <w:sz w:val="16"/>
                <w:szCs w:val="16"/>
              </w:rPr>
            </w:pPr>
            <w:r>
              <w:rPr>
                <w:rFonts w:ascii="Arial Narrow" w:hAnsi="Arial Narrow"/>
                <w:sz w:val="16"/>
                <w:szCs w:val="16"/>
              </w:rPr>
              <w:t>2018*</w:t>
            </w:r>
          </w:p>
        </w:tc>
        <w:tc>
          <w:tcPr>
            <w:tcW w:w="762"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170"/>
              <w:jc w:val="right"/>
              <w:rPr>
                <w:rFonts w:ascii="Arial Narrow" w:hAnsi="Arial Narrow" w:cs="Arial"/>
                <w:sz w:val="16"/>
                <w:szCs w:val="16"/>
              </w:rPr>
            </w:pPr>
            <w:r>
              <w:rPr>
                <w:rFonts w:ascii="Arial Narrow" w:hAnsi="Arial Narrow" w:cs="Arial"/>
                <w:sz w:val="16"/>
                <w:szCs w:val="16"/>
              </w:rPr>
              <w:t>1.329</w:t>
            </w:r>
          </w:p>
        </w:tc>
        <w:tc>
          <w:tcPr>
            <w:tcW w:w="967"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170"/>
              <w:jc w:val="right"/>
              <w:rPr>
                <w:rFonts w:ascii="Arial Narrow" w:hAnsi="Arial Narrow" w:cs="Arial"/>
                <w:sz w:val="16"/>
                <w:szCs w:val="16"/>
              </w:rPr>
            </w:pPr>
            <w:r>
              <w:rPr>
                <w:rFonts w:ascii="Arial Narrow" w:hAnsi="Arial Narrow" w:cs="Arial"/>
                <w:sz w:val="16"/>
                <w:szCs w:val="16"/>
              </w:rPr>
              <w:t>6.257</w:t>
            </w:r>
          </w:p>
        </w:tc>
        <w:tc>
          <w:tcPr>
            <w:tcW w:w="774"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170"/>
              <w:jc w:val="right"/>
              <w:rPr>
                <w:rFonts w:ascii="Arial Narrow" w:hAnsi="Arial Narrow" w:cs="Arial"/>
                <w:sz w:val="16"/>
                <w:szCs w:val="16"/>
              </w:rPr>
            </w:pPr>
            <w:r>
              <w:rPr>
                <w:rFonts w:ascii="Arial Narrow" w:hAnsi="Arial Narrow" w:cs="Arial"/>
                <w:sz w:val="16"/>
                <w:szCs w:val="16"/>
              </w:rPr>
              <w:t>7.586</w:t>
            </w:r>
          </w:p>
        </w:tc>
        <w:tc>
          <w:tcPr>
            <w:tcW w:w="783"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170"/>
              <w:jc w:val="right"/>
              <w:rPr>
                <w:rFonts w:ascii="Arial Narrow" w:hAnsi="Arial Narrow" w:cs="Arial"/>
                <w:sz w:val="16"/>
                <w:szCs w:val="16"/>
              </w:rPr>
            </w:pPr>
            <w:r>
              <w:rPr>
                <w:rFonts w:ascii="Arial Narrow" w:hAnsi="Arial Narrow" w:cs="Arial"/>
                <w:sz w:val="16"/>
                <w:szCs w:val="16"/>
              </w:rPr>
              <w:t>344</w:t>
            </w:r>
          </w:p>
        </w:tc>
        <w:tc>
          <w:tcPr>
            <w:tcW w:w="916" w:type="dxa"/>
            <w:tcBorders>
              <w:top w:val="nil"/>
              <w:bottom w:val="single" w:sz="4" w:space="0" w:color="auto"/>
            </w:tcBorders>
            <w:shd w:val="clear" w:color="auto" w:fill="auto"/>
            <w:noWrap/>
            <w:tcMar>
              <w:left w:w="28" w:type="dxa"/>
              <w:right w:w="28" w:type="dxa"/>
            </w:tcMar>
            <w:vAlign w:val="bottom"/>
          </w:tcPr>
          <w:p w:rsidR="0017771C" w:rsidRDefault="007A54EC" w:rsidP="007A54EC">
            <w:pPr>
              <w:ind w:right="170"/>
              <w:jc w:val="right"/>
              <w:rPr>
                <w:rFonts w:ascii="Arial Narrow" w:hAnsi="Arial Narrow" w:cs="Arial"/>
                <w:sz w:val="16"/>
                <w:szCs w:val="16"/>
              </w:rPr>
            </w:pPr>
            <w:r>
              <w:rPr>
                <w:rFonts w:ascii="Arial Narrow" w:hAnsi="Arial Narrow" w:cs="Arial"/>
                <w:sz w:val="16"/>
                <w:szCs w:val="16"/>
              </w:rPr>
              <w:t>5.176</w:t>
            </w:r>
          </w:p>
        </w:tc>
        <w:tc>
          <w:tcPr>
            <w:tcW w:w="813"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170"/>
              <w:jc w:val="right"/>
              <w:rPr>
                <w:rFonts w:ascii="Arial Narrow" w:hAnsi="Arial Narrow" w:cs="Arial"/>
                <w:sz w:val="16"/>
                <w:szCs w:val="16"/>
              </w:rPr>
            </w:pPr>
            <w:r>
              <w:rPr>
                <w:rFonts w:ascii="Arial Narrow" w:hAnsi="Arial Narrow" w:cs="Arial"/>
                <w:sz w:val="16"/>
                <w:szCs w:val="16"/>
              </w:rPr>
              <w:t>5.520</w:t>
            </w:r>
          </w:p>
        </w:tc>
        <w:tc>
          <w:tcPr>
            <w:tcW w:w="973"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340"/>
              <w:jc w:val="right"/>
              <w:rPr>
                <w:rFonts w:ascii="Arial Narrow" w:hAnsi="Arial Narrow" w:cs="Arial"/>
                <w:sz w:val="16"/>
                <w:szCs w:val="16"/>
              </w:rPr>
            </w:pPr>
            <w:r>
              <w:rPr>
                <w:rFonts w:ascii="Arial Narrow" w:hAnsi="Arial Narrow" w:cs="Arial"/>
                <w:sz w:val="16"/>
                <w:szCs w:val="16"/>
              </w:rPr>
              <w:t>143</w:t>
            </w:r>
          </w:p>
        </w:tc>
        <w:tc>
          <w:tcPr>
            <w:tcW w:w="1184" w:type="dxa"/>
            <w:tcBorders>
              <w:top w:val="nil"/>
              <w:bottom w:val="single" w:sz="4" w:space="0" w:color="auto"/>
            </w:tcBorders>
            <w:shd w:val="clear" w:color="auto" w:fill="auto"/>
            <w:noWrap/>
            <w:tcMar>
              <w:left w:w="28" w:type="dxa"/>
              <w:right w:w="28" w:type="dxa"/>
            </w:tcMar>
            <w:vAlign w:val="bottom"/>
          </w:tcPr>
          <w:p w:rsidR="0017771C" w:rsidRDefault="007A54EC" w:rsidP="0099665D">
            <w:pPr>
              <w:ind w:right="397"/>
              <w:jc w:val="right"/>
              <w:rPr>
                <w:rFonts w:ascii="Arial Narrow" w:hAnsi="Arial Narrow" w:cs="Arial"/>
                <w:sz w:val="16"/>
                <w:szCs w:val="16"/>
              </w:rPr>
            </w:pPr>
            <w:r>
              <w:rPr>
                <w:rFonts w:ascii="Arial Narrow" w:hAnsi="Arial Narrow" w:cs="Arial"/>
                <w:sz w:val="16"/>
                <w:szCs w:val="16"/>
              </w:rPr>
              <w:t>5.663</w:t>
            </w:r>
          </w:p>
        </w:tc>
        <w:tc>
          <w:tcPr>
            <w:tcW w:w="1366" w:type="dxa"/>
            <w:tcBorders>
              <w:top w:val="nil"/>
              <w:bottom w:val="single" w:sz="4" w:space="0" w:color="auto"/>
              <w:right w:val="single" w:sz="4" w:space="0" w:color="auto"/>
            </w:tcBorders>
            <w:shd w:val="clear" w:color="auto" w:fill="auto"/>
            <w:noWrap/>
            <w:tcMar>
              <w:left w:w="28" w:type="dxa"/>
              <w:right w:w="28" w:type="dxa"/>
            </w:tcMar>
            <w:vAlign w:val="bottom"/>
          </w:tcPr>
          <w:p w:rsidR="0017771C" w:rsidRDefault="007A54EC" w:rsidP="0099665D">
            <w:pPr>
              <w:ind w:right="454"/>
              <w:jc w:val="right"/>
              <w:rPr>
                <w:rFonts w:ascii="Arial Narrow" w:hAnsi="Arial Narrow" w:cs="Arial"/>
                <w:sz w:val="16"/>
                <w:szCs w:val="16"/>
              </w:rPr>
            </w:pPr>
            <w:r>
              <w:rPr>
                <w:rFonts w:ascii="Arial Narrow" w:hAnsi="Arial Narrow" w:cs="Arial"/>
                <w:sz w:val="16"/>
                <w:szCs w:val="16"/>
              </w:rPr>
              <w:t>13.249</w:t>
            </w:r>
          </w:p>
        </w:tc>
      </w:tr>
    </w:tbl>
    <w:p w:rsidR="008864C7" w:rsidRPr="0015043C" w:rsidRDefault="008864C7" w:rsidP="008864C7">
      <w:pPr>
        <w:spacing w:line="235" w:lineRule="auto"/>
        <w:jc w:val="both"/>
        <w:rPr>
          <w:rFonts w:ascii="Arial Narrow" w:hAnsi="Arial Narrow"/>
          <w:sz w:val="16"/>
          <w:szCs w:val="16"/>
        </w:rPr>
      </w:pPr>
      <w:r w:rsidRPr="0015043C">
        <w:rPr>
          <w:rFonts w:ascii="Arial Narrow" w:hAnsi="Arial Narrow"/>
          <w:sz w:val="16"/>
          <w:szCs w:val="16"/>
        </w:rPr>
        <w:t>* Εκτιμήσεις</w:t>
      </w:r>
    </w:p>
    <w:p w:rsidR="008864C7" w:rsidRPr="0015043C" w:rsidRDefault="008864C7" w:rsidP="008864C7">
      <w:pPr>
        <w:tabs>
          <w:tab w:val="left" w:pos="993"/>
          <w:tab w:val="left" w:pos="1260"/>
        </w:tabs>
        <w:spacing w:line="235" w:lineRule="auto"/>
        <w:jc w:val="both"/>
        <w:rPr>
          <w:rFonts w:ascii="Arial Narrow" w:hAnsi="Arial Narrow"/>
          <w:sz w:val="16"/>
          <w:szCs w:val="16"/>
        </w:rPr>
      </w:pPr>
      <w:r w:rsidRPr="0015043C">
        <w:rPr>
          <w:rFonts w:ascii="Arial Narrow" w:hAnsi="Arial Narrow"/>
          <w:sz w:val="16"/>
          <w:szCs w:val="16"/>
        </w:rPr>
        <w:t>Σημειώσεις:</w:t>
      </w:r>
      <w:r>
        <w:rPr>
          <w:rFonts w:ascii="Arial Narrow" w:hAnsi="Arial Narrow"/>
          <w:sz w:val="16"/>
          <w:szCs w:val="16"/>
        </w:rPr>
        <w:tab/>
      </w:r>
      <w:r w:rsidRPr="0015043C">
        <w:rPr>
          <w:rFonts w:ascii="Arial Narrow" w:hAnsi="Arial Narrow"/>
          <w:sz w:val="16"/>
          <w:szCs w:val="16"/>
        </w:rPr>
        <w:t>α)</w:t>
      </w:r>
      <w:r>
        <w:rPr>
          <w:rFonts w:ascii="Arial Narrow" w:hAnsi="Arial Narrow"/>
          <w:sz w:val="16"/>
          <w:szCs w:val="16"/>
        </w:rPr>
        <w:tab/>
      </w:r>
      <w:r w:rsidRPr="0015043C">
        <w:rPr>
          <w:rFonts w:ascii="Arial Narrow" w:hAnsi="Arial Narrow"/>
          <w:sz w:val="16"/>
          <w:szCs w:val="16"/>
        </w:rPr>
        <w:t xml:space="preserve">Από το 2008 και </w:t>
      </w:r>
      <w:r w:rsidR="00977014">
        <w:rPr>
          <w:rFonts w:ascii="Arial Narrow" w:hAnsi="Arial Narrow"/>
          <w:sz w:val="16"/>
          <w:szCs w:val="16"/>
        </w:rPr>
        <w:t>εξής</w:t>
      </w:r>
      <w:r w:rsidR="00977014" w:rsidRPr="0015043C">
        <w:rPr>
          <w:rFonts w:ascii="Arial Narrow" w:hAnsi="Arial Narrow"/>
          <w:sz w:val="16"/>
          <w:szCs w:val="16"/>
        </w:rPr>
        <w:t xml:space="preserve"> </w:t>
      </w:r>
      <w:r w:rsidRPr="0015043C">
        <w:rPr>
          <w:rFonts w:ascii="Arial Narrow" w:hAnsi="Arial Narrow"/>
          <w:sz w:val="16"/>
          <w:szCs w:val="16"/>
        </w:rPr>
        <w:t>περιλαμβάνονται και οι δαπάνες προσαρμογών ESA 95</w:t>
      </w:r>
      <w:r>
        <w:rPr>
          <w:rFonts w:ascii="Arial Narrow" w:hAnsi="Arial Narrow"/>
          <w:sz w:val="16"/>
          <w:szCs w:val="16"/>
        </w:rPr>
        <w:t>.</w:t>
      </w:r>
      <w:r w:rsidRPr="0015043C">
        <w:rPr>
          <w:rFonts w:ascii="Arial Narrow" w:hAnsi="Arial Narrow"/>
          <w:sz w:val="16"/>
          <w:szCs w:val="16"/>
        </w:rPr>
        <w:t xml:space="preserve"> </w:t>
      </w:r>
    </w:p>
    <w:p w:rsidR="008864C7" w:rsidRDefault="008864C7" w:rsidP="008864C7">
      <w:pPr>
        <w:pStyle w:val="a8"/>
        <w:tabs>
          <w:tab w:val="clear" w:pos="1080"/>
          <w:tab w:val="left" w:pos="993"/>
        </w:tabs>
        <w:spacing w:line="235" w:lineRule="auto"/>
        <w:ind w:hanging="1260"/>
        <w:jc w:val="both"/>
      </w:pPr>
      <w:r>
        <w:tab/>
      </w:r>
      <w:r w:rsidRPr="0015043C">
        <w:t>β)</w:t>
      </w:r>
      <w:r>
        <w:tab/>
      </w:r>
      <w:r w:rsidRPr="0015043C">
        <w:t>Δεν περιλαμβάνονται εξοφλήσεις βραχυπρόθεσμου χρέους (έντοκα γραμμάτια ιδιωτικού τομέα, βραχυπρόθεσμοι τίτλοι εξωτερικού</w:t>
      </w:r>
      <w:r>
        <w:t>,</w:t>
      </w:r>
      <w:r w:rsidRPr="0015043C">
        <w:t xml:space="preserve"> ταμειακές διευκολύνσεις</w:t>
      </w:r>
      <w:r>
        <w:t xml:space="preserve"> και </w:t>
      </w:r>
      <w:r>
        <w:rPr>
          <w:lang w:val="en-GB"/>
        </w:rPr>
        <w:t>repos</w:t>
      </w:r>
      <w:r w:rsidRPr="0015043C">
        <w:t>)</w:t>
      </w:r>
      <w:r w:rsidR="0099665D">
        <w:t>,</w:t>
      </w:r>
      <w:r w:rsidRPr="0015043C">
        <w:t xml:space="preserve"> οι ο</w:t>
      </w:r>
      <w:r w:rsidR="000A44FE">
        <w:t xml:space="preserve">ποίες εμφανίζονται στον </w:t>
      </w:r>
      <w:r w:rsidR="000A44FE" w:rsidRPr="002D3D66">
        <w:t>πίνακα 4.8</w:t>
      </w:r>
      <w:r w:rsidRPr="002D3D66">
        <w:t>.</w:t>
      </w:r>
    </w:p>
    <w:p w:rsidR="008864C7" w:rsidRDefault="008864C7" w:rsidP="008864C7">
      <w:pPr>
        <w:pStyle w:val="a8"/>
        <w:tabs>
          <w:tab w:val="clear" w:pos="1080"/>
          <w:tab w:val="left" w:pos="993"/>
        </w:tabs>
        <w:spacing w:line="235" w:lineRule="auto"/>
        <w:ind w:hanging="1260"/>
        <w:jc w:val="both"/>
      </w:pPr>
      <w:r>
        <w:tab/>
        <w:t>γ)</w:t>
      </w:r>
      <w:r>
        <w:tab/>
        <w:t>Από το 2012 στις παράλληλες δαπάνες περιλαμβάνονται και προμήθειες εκταμίευσης δανείων από το ΕΤΧΣ και ΕΜΣ</w:t>
      </w:r>
    </w:p>
    <w:p w:rsidR="0017771C" w:rsidRPr="0017771C" w:rsidRDefault="008864C7" w:rsidP="008864C7">
      <w:pPr>
        <w:pStyle w:val="a8"/>
        <w:tabs>
          <w:tab w:val="clear" w:pos="1080"/>
          <w:tab w:val="left" w:pos="993"/>
        </w:tabs>
        <w:spacing w:line="235" w:lineRule="auto"/>
        <w:ind w:hanging="1260"/>
        <w:jc w:val="both"/>
      </w:pPr>
      <w:r>
        <w:tab/>
        <w:t xml:space="preserve">δ) </w:t>
      </w:r>
      <w:r w:rsidR="0017771C">
        <w:tab/>
        <w:t xml:space="preserve">Οι δαπάνες είναι μετά </w:t>
      </w:r>
      <w:r w:rsidR="0017771C">
        <w:rPr>
          <w:lang w:val="en-GB"/>
        </w:rPr>
        <w:t>SWAP</w:t>
      </w:r>
      <w:r w:rsidR="0017771C" w:rsidRPr="0017771C">
        <w:t>.</w:t>
      </w:r>
    </w:p>
    <w:p w:rsidR="008864C7" w:rsidRPr="0015043C" w:rsidRDefault="0017771C" w:rsidP="008864C7">
      <w:pPr>
        <w:pStyle w:val="a8"/>
        <w:tabs>
          <w:tab w:val="clear" w:pos="1080"/>
          <w:tab w:val="left" w:pos="993"/>
        </w:tabs>
        <w:spacing w:line="235" w:lineRule="auto"/>
        <w:ind w:hanging="1260"/>
        <w:jc w:val="both"/>
      </w:pPr>
      <w:r>
        <w:tab/>
        <w:t>ε)</w:t>
      </w:r>
      <w:r>
        <w:tab/>
      </w:r>
      <w:r w:rsidR="008864C7">
        <w:t>Η αύξηση των χρεολ</w:t>
      </w:r>
      <w:r w:rsidR="00977014">
        <w:t>υ</w:t>
      </w:r>
      <w:r w:rsidR="008864C7">
        <w:t>σ</w:t>
      </w:r>
      <w:r w:rsidR="00977014">
        <w:t>ί</w:t>
      </w:r>
      <w:r w:rsidR="008864C7">
        <w:t>ων το 2017 οφείλεται στην εφαρμογή των βραχυπρόθεσμων μέτρων και στις ανταλλαγές ομολόγων.</w:t>
      </w:r>
    </w:p>
    <w:p w:rsidR="008864C7" w:rsidRPr="00573703" w:rsidRDefault="008864C7" w:rsidP="008864C7">
      <w:pPr>
        <w:pStyle w:val="a8"/>
        <w:spacing w:line="235" w:lineRule="auto"/>
        <w:ind w:left="0" w:firstLine="0"/>
        <w:jc w:val="both"/>
      </w:pPr>
      <w:r w:rsidRPr="0015043C">
        <w:t xml:space="preserve">Πηγή:  </w:t>
      </w:r>
      <w:r>
        <w:t>ΟΔΔΗΧ</w:t>
      </w:r>
    </w:p>
    <w:p w:rsidR="008864C7" w:rsidRDefault="008864C7" w:rsidP="008864C7">
      <w:pPr>
        <w:pStyle w:val="a8"/>
        <w:ind w:left="0" w:firstLine="0"/>
        <w:jc w:val="both"/>
        <w:rPr>
          <w:rFonts w:ascii="Times New Roman" w:hAnsi="Times New Roman"/>
          <w:sz w:val="22"/>
          <w:szCs w:val="22"/>
        </w:rPr>
      </w:pPr>
    </w:p>
    <w:p w:rsidR="0042513F" w:rsidRPr="00D35205" w:rsidRDefault="0042513F" w:rsidP="0042513F">
      <w:pPr>
        <w:pStyle w:val="a8"/>
        <w:ind w:left="0" w:firstLine="0"/>
        <w:jc w:val="both"/>
        <w:rPr>
          <w:rFonts w:ascii="Times New Roman" w:hAnsi="Times New Roman"/>
          <w:sz w:val="22"/>
          <w:szCs w:val="22"/>
        </w:rPr>
      </w:pPr>
      <w:r w:rsidRPr="00D35205">
        <w:rPr>
          <w:rFonts w:ascii="Times New Roman" w:hAnsi="Times New Roman"/>
          <w:sz w:val="22"/>
          <w:szCs w:val="22"/>
        </w:rPr>
        <w:t>Οι δαπάνες για εξόφληση βραχυπρόθεσμων τίτλων του ΕΔ, οι οποίες από το 2011 έως το 2013 περ</w:t>
      </w:r>
      <w:r w:rsidRPr="00D35205">
        <w:rPr>
          <w:rFonts w:ascii="Times New Roman" w:hAnsi="Times New Roman"/>
          <w:sz w:val="22"/>
          <w:szCs w:val="22"/>
        </w:rPr>
        <w:t>ι</w:t>
      </w:r>
      <w:r w:rsidRPr="00D35205">
        <w:rPr>
          <w:rFonts w:ascii="Times New Roman" w:hAnsi="Times New Roman"/>
          <w:sz w:val="22"/>
          <w:szCs w:val="22"/>
        </w:rPr>
        <w:t>λαμβάνουν μόνο έντοκα γραμμάτια ιδιωτικού τομέα</w:t>
      </w:r>
      <w:r>
        <w:rPr>
          <w:rFonts w:ascii="Times New Roman" w:hAnsi="Times New Roman"/>
          <w:sz w:val="22"/>
          <w:szCs w:val="22"/>
        </w:rPr>
        <w:t>,</w:t>
      </w:r>
      <w:r w:rsidRPr="00D35205">
        <w:rPr>
          <w:rFonts w:ascii="Times New Roman" w:hAnsi="Times New Roman"/>
          <w:sz w:val="22"/>
          <w:szCs w:val="22"/>
        </w:rPr>
        <w:t xml:space="preserve"> ενώ από το 2014 περιλαμβάνουν και </w:t>
      </w:r>
      <w:r w:rsidRPr="00D35205">
        <w:rPr>
          <w:rFonts w:ascii="Times New Roman" w:hAnsi="Times New Roman"/>
          <w:sz w:val="22"/>
          <w:szCs w:val="22"/>
          <w:lang w:val="en-US"/>
        </w:rPr>
        <w:t>repos</w:t>
      </w:r>
      <w:r>
        <w:rPr>
          <w:rFonts w:ascii="Times New Roman" w:hAnsi="Times New Roman"/>
          <w:sz w:val="22"/>
          <w:szCs w:val="22"/>
        </w:rPr>
        <w:t>, εκτ</w:t>
      </w:r>
      <w:r>
        <w:rPr>
          <w:rFonts w:ascii="Times New Roman" w:hAnsi="Times New Roman"/>
          <w:sz w:val="22"/>
          <w:szCs w:val="22"/>
        </w:rPr>
        <w:t>ι</w:t>
      </w:r>
      <w:r>
        <w:rPr>
          <w:rFonts w:ascii="Times New Roman" w:hAnsi="Times New Roman"/>
          <w:sz w:val="22"/>
          <w:szCs w:val="22"/>
        </w:rPr>
        <w:t>μάται ότι το 201</w:t>
      </w:r>
      <w:r w:rsidRPr="00407298">
        <w:rPr>
          <w:rFonts w:ascii="Times New Roman" w:hAnsi="Times New Roman"/>
          <w:sz w:val="22"/>
          <w:szCs w:val="22"/>
        </w:rPr>
        <w:t>8</w:t>
      </w:r>
      <w:r w:rsidRPr="00D35205">
        <w:rPr>
          <w:rFonts w:ascii="Times New Roman" w:hAnsi="Times New Roman"/>
          <w:sz w:val="22"/>
          <w:szCs w:val="22"/>
        </w:rPr>
        <w:t xml:space="preserve"> θα </w:t>
      </w:r>
      <w:r>
        <w:rPr>
          <w:rFonts w:ascii="Times New Roman" w:hAnsi="Times New Roman"/>
          <w:sz w:val="22"/>
          <w:szCs w:val="22"/>
        </w:rPr>
        <w:t xml:space="preserve">διαμορφωθούν </w:t>
      </w:r>
      <w:r w:rsidRPr="00D35205">
        <w:rPr>
          <w:rFonts w:ascii="Times New Roman" w:hAnsi="Times New Roman"/>
          <w:sz w:val="22"/>
          <w:szCs w:val="22"/>
        </w:rPr>
        <w:t xml:space="preserve">σε </w:t>
      </w:r>
      <w:r w:rsidRPr="00407298">
        <w:rPr>
          <w:rFonts w:ascii="Times New Roman" w:hAnsi="Times New Roman"/>
          <w:sz w:val="22"/>
          <w:szCs w:val="22"/>
        </w:rPr>
        <w:t>784</w:t>
      </w:r>
      <w:r>
        <w:rPr>
          <w:rFonts w:ascii="Times New Roman" w:hAnsi="Times New Roman"/>
          <w:sz w:val="22"/>
          <w:szCs w:val="22"/>
        </w:rPr>
        <w:t>.</w:t>
      </w:r>
      <w:r w:rsidRPr="00407298">
        <w:rPr>
          <w:rFonts w:ascii="Times New Roman" w:hAnsi="Times New Roman"/>
          <w:sz w:val="22"/>
          <w:szCs w:val="22"/>
        </w:rPr>
        <w:t>67</w:t>
      </w:r>
      <w:r>
        <w:rPr>
          <w:rFonts w:ascii="Times New Roman" w:hAnsi="Times New Roman"/>
          <w:sz w:val="22"/>
          <w:szCs w:val="22"/>
        </w:rPr>
        <w:t>0</w:t>
      </w:r>
      <w:r w:rsidRPr="00D35205">
        <w:rPr>
          <w:rFonts w:ascii="Times New Roman" w:hAnsi="Times New Roman"/>
          <w:sz w:val="22"/>
          <w:szCs w:val="22"/>
        </w:rPr>
        <w:t xml:space="preserve"> εκατ. ευρώ, έναντι </w:t>
      </w:r>
      <w:r>
        <w:rPr>
          <w:rFonts w:ascii="Times New Roman" w:hAnsi="Times New Roman"/>
          <w:sz w:val="22"/>
          <w:szCs w:val="22"/>
        </w:rPr>
        <w:t>5</w:t>
      </w:r>
      <w:r w:rsidRPr="00407298">
        <w:rPr>
          <w:rFonts w:ascii="Times New Roman" w:hAnsi="Times New Roman"/>
          <w:sz w:val="22"/>
          <w:szCs w:val="22"/>
        </w:rPr>
        <w:t>66</w:t>
      </w:r>
      <w:r>
        <w:rPr>
          <w:rFonts w:ascii="Times New Roman" w:hAnsi="Times New Roman"/>
          <w:sz w:val="22"/>
          <w:szCs w:val="22"/>
        </w:rPr>
        <w:t>.</w:t>
      </w:r>
      <w:r w:rsidRPr="00407298">
        <w:rPr>
          <w:rFonts w:ascii="Times New Roman" w:hAnsi="Times New Roman"/>
          <w:sz w:val="22"/>
          <w:szCs w:val="22"/>
        </w:rPr>
        <w:t>998</w:t>
      </w:r>
      <w:r>
        <w:rPr>
          <w:rFonts w:ascii="Times New Roman" w:hAnsi="Times New Roman"/>
          <w:sz w:val="22"/>
          <w:szCs w:val="22"/>
        </w:rPr>
        <w:t xml:space="preserve"> </w:t>
      </w:r>
      <w:r w:rsidRPr="00D35205">
        <w:rPr>
          <w:rFonts w:ascii="Times New Roman" w:hAnsi="Times New Roman"/>
          <w:sz w:val="22"/>
          <w:szCs w:val="22"/>
        </w:rPr>
        <w:t>εκατ. ευ</w:t>
      </w:r>
      <w:r>
        <w:rPr>
          <w:rFonts w:ascii="Times New Roman" w:hAnsi="Times New Roman"/>
          <w:sz w:val="22"/>
          <w:szCs w:val="22"/>
        </w:rPr>
        <w:t>ρώ το 201</w:t>
      </w:r>
      <w:r w:rsidRPr="00407298">
        <w:rPr>
          <w:rFonts w:ascii="Times New Roman" w:hAnsi="Times New Roman"/>
          <w:sz w:val="22"/>
          <w:szCs w:val="22"/>
        </w:rPr>
        <w:t>7</w:t>
      </w:r>
      <w:r w:rsidRPr="00D35205">
        <w:rPr>
          <w:rFonts w:ascii="Times New Roman" w:hAnsi="Times New Roman"/>
          <w:sz w:val="22"/>
          <w:szCs w:val="22"/>
        </w:rPr>
        <w:t xml:space="preserve"> (π</w:t>
      </w:r>
      <w:r w:rsidRPr="00D35205">
        <w:rPr>
          <w:rFonts w:ascii="Times New Roman" w:hAnsi="Times New Roman"/>
          <w:sz w:val="22"/>
          <w:szCs w:val="22"/>
        </w:rPr>
        <w:t>ί</w:t>
      </w:r>
      <w:r w:rsidRPr="00D35205">
        <w:rPr>
          <w:rFonts w:ascii="Times New Roman" w:hAnsi="Times New Roman"/>
          <w:sz w:val="22"/>
          <w:szCs w:val="22"/>
        </w:rPr>
        <w:t>νακας 4.</w:t>
      </w:r>
      <w:r>
        <w:rPr>
          <w:rFonts w:ascii="Times New Roman" w:hAnsi="Times New Roman"/>
          <w:sz w:val="22"/>
          <w:szCs w:val="22"/>
        </w:rPr>
        <w:t>8</w:t>
      </w:r>
      <w:r w:rsidRPr="00D35205">
        <w:rPr>
          <w:rFonts w:ascii="Times New Roman" w:hAnsi="Times New Roman"/>
          <w:sz w:val="22"/>
          <w:szCs w:val="22"/>
        </w:rPr>
        <w:t xml:space="preserve">). </w:t>
      </w:r>
    </w:p>
    <w:p w:rsidR="0042513F" w:rsidRPr="00D35205" w:rsidRDefault="0042513F" w:rsidP="0042513F">
      <w:pPr>
        <w:pStyle w:val="a8"/>
        <w:ind w:left="0" w:firstLine="0"/>
        <w:jc w:val="both"/>
        <w:rPr>
          <w:rFonts w:ascii="Times New Roman" w:hAnsi="Times New Roman"/>
          <w:sz w:val="22"/>
          <w:szCs w:val="22"/>
          <w:highlight w:val="yellow"/>
        </w:rPr>
      </w:pPr>
    </w:p>
    <w:p w:rsidR="0042513F" w:rsidRDefault="0042513F" w:rsidP="0042513F">
      <w:pPr>
        <w:pStyle w:val="a8"/>
        <w:ind w:left="0" w:firstLine="0"/>
        <w:jc w:val="both"/>
        <w:rPr>
          <w:rFonts w:ascii="Times New Roman" w:hAnsi="Times New Roman"/>
          <w:sz w:val="22"/>
          <w:szCs w:val="22"/>
        </w:rPr>
      </w:pPr>
      <w:r w:rsidRPr="00D35205">
        <w:rPr>
          <w:rFonts w:ascii="Times New Roman" w:hAnsi="Times New Roman"/>
          <w:sz w:val="22"/>
          <w:szCs w:val="22"/>
        </w:rPr>
        <w:t xml:space="preserve">Σημειώνεται ότι οι δαπάνες εξόφλησης εντόκων γραμματίων και </w:t>
      </w:r>
      <w:r w:rsidRPr="00D35205">
        <w:rPr>
          <w:rFonts w:ascii="Times New Roman" w:hAnsi="Times New Roman"/>
          <w:sz w:val="22"/>
          <w:szCs w:val="22"/>
          <w:lang w:val="en-US"/>
        </w:rPr>
        <w:t>repos</w:t>
      </w:r>
      <w:r w:rsidRPr="00D35205">
        <w:rPr>
          <w:rFonts w:ascii="Times New Roman" w:hAnsi="Times New Roman"/>
          <w:sz w:val="22"/>
          <w:szCs w:val="22"/>
        </w:rPr>
        <w:t xml:space="preserve"> αφορούν τις συνολικές ετήσιες εξοφλήσεις</w:t>
      </w:r>
      <w:r w:rsidR="0099665D">
        <w:rPr>
          <w:rFonts w:ascii="Times New Roman" w:hAnsi="Times New Roman"/>
          <w:sz w:val="22"/>
          <w:szCs w:val="22"/>
        </w:rPr>
        <w:t>,</w:t>
      </w:r>
      <w:r w:rsidRPr="00D35205">
        <w:rPr>
          <w:rFonts w:ascii="Times New Roman" w:hAnsi="Times New Roman"/>
          <w:sz w:val="22"/>
          <w:szCs w:val="22"/>
        </w:rPr>
        <w:t xml:space="preserve"> οι οποίες </w:t>
      </w:r>
      <w:r w:rsidRPr="00FF783F">
        <w:rPr>
          <w:rFonts w:ascii="Times New Roman" w:hAnsi="Times New Roman"/>
          <w:sz w:val="22"/>
          <w:szCs w:val="22"/>
        </w:rPr>
        <w:t>αναχρηματοδοτούνται με νέες αντίστοιχες εκδόσεις, δεδομένου ότι το υφιστ</w:t>
      </w:r>
      <w:r w:rsidRPr="00FF783F">
        <w:rPr>
          <w:rFonts w:ascii="Times New Roman" w:hAnsi="Times New Roman"/>
          <w:sz w:val="22"/>
          <w:szCs w:val="22"/>
        </w:rPr>
        <w:t>ά</w:t>
      </w:r>
      <w:r w:rsidRPr="00FF783F">
        <w:rPr>
          <w:rFonts w:ascii="Times New Roman" w:hAnsi="Times New Roman"/>
          <w:sz w:val="22"/>
          <w:szCs w:val="22"/>
        </w:rPr>
        <w:t>μενο συνολικό ύψος των ΕΓΕΔ δεν ξεπερνά τα 15.200 εκατ. ευρώ</w:t>
      </w:r>
      <w:r>
        <w:rPr>
          <w:rFonts w:ascii="Times New Roman" w:hAnsi="Times New Roman"/>
          <w:sz w:val="22"/>
          <w:szCs w:val="22"/>
        </w:rPr>
        <w:t xml:space="preserve"> και</w:t>
      </w:r>
      <w:r w:rsidRPr="00FF783F">
        <w:rPr>
          <w:rFonts w:ascii="Times New Roman" w:hAnsi="Times New Roman"/>
          <w:sz w:val="22"/>
          <w:szCs w:val="22"/>
        </w:rPr>
        <w:t xml:space="preserve"> το υφιστάμενο υπόλοιπο των </w:t>
      </w:r>
      <w:r w:rsidRPr="00FF783F">
        <w:rPr>
          <w:rFonts w:ascii="Times New Roman" w:hAnsi="Times New Roman"/>
          <w:sz w:val="22"/>
          <w:szCs w:val="22"/>
          <w:lang w:val="en-US"/>
        </w:rPr>
        <w:t>repos</w:t>
      </w:r>
      <w:r w:rsidRPr="00FF783F">
        <w:rPr>
          <w:rFonts w:ascii="Times New Roman" w:hAnsi="Times New Roman"/>
          <w:sz w:val="22"/>
          <w:szCs w:val="22"/>
        </w:rPr>
        <w:t xml:space="preserve"> δεν ξεπερνά τα 23.000 εκατ. ευρώ.</w:t>
      </w:r>
      <w:r w:rsidRPr="00D35205">
        <w:rPr>
          <w:rFonts w:ascii="Times New Roman" w:hAnsi="Times New Roman"/>
          <w:sz w:val="22"/>
          <w:szCs w:val="22"/>
        </w:rPr>
        <w:t xml:space="preserve"> </w:t>
      </w:r>
    </w:p>
    <w:p w:rsidR="0042513F" w:rsidRPr="00E80743" w:rsidRDefault="0042513F" w:rsidP="0042513F">
      <w:pPr>
        <w:pStyle w:val="a8"/>
        <w:ind w:left="0" w:firstLine="0"/>
        <w:rPr>
          <w:sz w:val="20"/>
        </w:rPr>
      </w:pPr>
    </w:p>
    <w:tbl>
      <w:tblPr>
        <w:tblW w:w="9136" w:type="dxa"/>
        <w:tblInd w:w="108" w:type="dxa"/>
        <w:tblLook w:val="0000"/>
      </w:tblPr>
      <w:tblGrid>
        <w:gridCol w:w="2108"/>
        <w:gridCol w:w="2216"/>
        <w:gridCol w:w="2885"/>
        <w:gridCol w:w="1927"/>
      </w:tblGrid>
      <w:tr w:rsidR="0042513F" w:rsidRPr="0015043C" w:rsidTr="0099665D">
        <w:tc>
          <w:tcPr>
            <w:tcW w:w="9136" w:type="dxa"/>
            <w:gridSpan w:val="4"/>
            <w:tcBorders>
              <w:top w:val="single" w:sz="4" w:space="0" w:color="auto"/>
              <w:left w:val="single" w:sz="4" w:space="0" w:color="auto"/>
              <w:right w:val="single" w:sz="4" w:space="0" w:color="auto"/>
            </w:tcBorders>
            <w:shd w:val="clear" w:color="auto" w:fill="404040" w:themeFill="text1" w:themeFillTint="BF"/>
            <w:noWrap/>
            <w:tcMar>
              <w:left w:w="57" w:type="dxa"/>
              <w:right w:w="57" w:type="dxa"/>
            </w:tcMar>
            <w:vAlign w:val="bottom"/>
          </w:tcPr>
          <w:p w:rsidR="0042513F" w:rsidRPr="0015043C" w:rsidRDefault="0042513F" w:rsidP="0099665D">
            <w:pPr>
              <w:spacing w:before="120"/>
              <w:jc w:val="center"/>
              <w:rPr>
                <w:rFonts w:ascii="Arial Narrow" w:hAnsi="Arial Narrow"/>
                <w:b/>
                <w:bCs/>
                <w:color w:val="FFFFFF"/>
                <w:szCs w:val="28"/>
              </w:rPr>
            </w:pPr>
            <w:r>
              <w:rPr>
                <w:rFonts w:ascii="Arial Narrow" w:hAnsi="Arial Narrow"/>
                <w:b/>
                <w:bCs/>
                <w:color w:val="FFFFFF"/>
                <w:szCs w:val="28"/>
              </w:rPr>
              <w:t xml:space="preserve">Πίνακας 4.8  </w:t>
            </w:r>
            <w:r w:rsidRPr="0015043C">
              <w:rPr>
                <w:rFonts w:ascii="Arial Narrow" w:hAnsi="Arial Narrow"/>
                <w:b/>
                <w:bCs/>
                <w:color w:val="FFFFFF"/>
                <w:szCs w:val="28"/>
              </w:rPr>
              <w:t xml:space="preserve"> Εξοφλήσεις βραχυπρόθεσ</w:t>
            </w:r>
            <w:r>
              <w:rPr>
                <w:rFonts w:ascii="Arial Narrow" w:hAnsi="Arial Narrow"/>
                <w:b/>
                <w:bCs/>
                <w:color w:val="FFFFFF"/>
                <w:szCs w:val="28"/>
              </w:rPr>
              <w:t>μου χρέους</w:t>
            </w:r>
          </w:p>
          <w:p w:rsidR="0042513F" w:rsidRPr="0015043C" w:rsidRDefault="0042513F" w:rsidP="0099665D">
            <w:pPr>
              <w:spacing w:after="120"/>
              <w:jc w:val="center"/>
              <w:rPr>
                <w:rFonts w:ascii="Arial Narrow" w:hAnsi="Arial Narrow"/>
                <w:b/>
                <w:bCs/>
                <w:color w:val="000080"/>
                <w:sz w:val="28"/>
                <w:szCs w:val="28"/>
              </w:rPr>
            </w:pPr>
            <w:r w:rsidRPr="0015043C">
              <w:rPr>
                <w:rFonts w:ascii="Arial Narrow" w:hAnsi="Arial Narrow"/>
                <w:b/>
                <w:color w:val="FFFFFF"/>
                <w:szCs w:val="28"/>
              </w:rPr>
              <w:t xml:space="preserve"> (σε εκατ. ευρώ)</w:t>
            </w:r>
          </w:p>
        </w:tc>
      </w:tr>
      <w:tr w:rsidR="0042513F" w:rsidRPr="00E80743" w:rsidTr="0099665D">
        <w:trPr>
          <w:trHeight w:val="124"/>
        </w:trPr>
        <w:tc>
          <w:tcPr>
            <w:tcW w:w="2108" w:type="dxa"/>
            <w:tcBorders>
              <w:top w:val="nil"/>
              <w:left w:val="single" w:sz="4" w:space="0" w:color="auto"/>
              <w:bottom w:val="nil"/>
              <w:right w:val="nil"/>
            </w:tcBorders>
            <w:shd w:val="clear" w:color="auto" w:fill="auto"/>
            <w:noWrap/>
            <w:tcMar>
              <w:left w:w="57" w:type="dxa"/>
              <w:right w:w="57" w:type="dxa"/>
            </w:tcMar>
            <w:vAlign w:val="bottom"/>
          </w:tcPr>
          <w:p w:rsidR="0042513F" w:rsidRPr="00E80743" w:rsidRDefault="0042513F" w:rsidP="0099665D">
            <w:pPr>
              <w:rPr>
                <w:rFonts w:ascii="Arial Narrow" w:hAnsi="Arial Narrow"/>
                <w:sz w:val="12"/>
                <w:szCs w:val="20"/>
              </w:rPr>
            </w:pPr>
          </w:p>
        </w:tc>
        <w:tc>
          <w:tcPr>
            <w:tcW w:w="2216" w:type="dxa"/>
            <w:tcBorders>
              <w:top w:val="nil"/>
              <w:left w:val="nil"/>
              <w:bottom w:val="nil"/>
              <w:right w:val="nil"/>
            </w:tcBorders>
            <w:shd w:val="clear" w:color="auto" w:fill="auto"/>
            <w:noWrap/>
            <w:tcMar>
              <w:left w:w="57" w:type="dxa"/>
              <w:right w:w="57" w:type="dxa"/>
            </w:tcMar>
            <w:vAlign w:val="bottom"/>
          </w:tcPr>
          <w:p w:rsidR="0042513F" w:rsidRPr="00E80743" w:rsidRDefault="0042513F" w:rsidP="0099665D">
            <w:pPr>
              <w:rPr>
                <w:rFonts w:ascii="Arial Narrow" w:hAnsi="Arial Narrow"/>
                <w:sz w:val="12"/>
                <w:szCs w:val="20"/>
              </w:rPr>
            </w:pPr>
          </w:p>
        </w:tc>
        <w:tc>
          <w:tcPr>
            <w:tcW w:w="2885" w:type="dxa"/>
            <w:tcBorders>
              <w:top w:val="nil"/>
              <w:left w:val="nil"/>
              <w:bottom w:val="nil"/>
              <w:right w:val="nil"/>
            </w:tcBorders>
            <w:shd w:val="clear" w:color="auto" w:fill="auto"/>
            <w:noWrap/>
            <w:tcMar>
              <w:left w:w="57" w:type="dxa"/>
              <w:right w:w="57" w:type="dxa"/>
            </w:tcMar>
            <w:vAlign w:val="bottom"/>
          </w:tcPr>
          <w:p w:rsidR="0042513F" w:rsidRPr="00E80743" w:rsidRDefault="0042513F" w:rsidP="0099665D">
            <w:pPr>
              <w:rPr>
                <w:rFonts w:ascii="Arial Narrow" w:hAnsi="Arial Narrow"/>
                <w:sz w:val="12"/>
                <w:szCs w:val="20"/>
              </w:rPr>
            </w:pPr>
          </w:p>
        </w:tc>
        <w:tc>
          <w:tcPr>
            <w:tcW w:w="1927" w:type="dxa"/>
            <w:tcBorders>
              <w:top w:val="nil"/>
              <w:left w:val="nil"/>
              <w:bottom w:val="nil"/>
              <w:right w:val="single" w:sz="4" w:space="0" w:color="auto"/>
            </w:tcBorders>
            <w:shd w:val="clear" w:color="auto" w:fill="auto"/>
            <w:noWrap/>
            <w:tcMar>
              <w:left w:w="57" w:type="dxa"/>
              <w:right w:w="57" w:type="dxa"/>
            </w:tcMar>
            <w:vAlign w:val="bottom"/>
          </w:tcPr>
          <w:p w:rsidR="0042513F" w:rsidRPr="00E80743" w:rsidRDefault="0042513F" w:rsidP="0099665D">
            <w:pPr>
              <w:rPr>
                <w:rFonts w:ascii="Arial Narrow" w:hAnsi="Arial Narrow"/>
                <w:sz w:val="12"/>
                <w:szCs w:val="20"/>
              </w:rPr>
            </w:pPr>
          </w:p>
        </w:tc>
      </w:tr>
      <w:tr w:rsidR="0042513F" w:rsidRPr="0015043C" w:rsidTr="0099665D">
        <w:trPr>
          <w:trHeight w:val="20"/>
        </w:trPr>
        <w:tc>
          <w:tcPr>
            <w:tcW w:w="2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2513F" w:rsidRPr="0015043C" w:rsidRDefault="0042513F" w:rsidP="0099665D">
            <w:pPr>
              <w:jc w:val="center"/>
              <w:rPr>
                <w:rFonts w:ascii="Arial Narrow" w:hAnsi="Arial Narrow"/>
                <w:b/>
                <w:bCs/>
                <w:sz w:val="16"/>
                <w:szCs w:val="20"/>
              </w:rPr>
            </w:pPr>
            <w:r w:rsidRPr="0015043C">
              <w:rPr>
                <w:rFonts w:ascii="Arial Narrow" w:hAnsi="Arial Narrow"/>
                <w:b/>
                <w:bCs/>
                <w:sz w:val="16"/>
                <w:szCs w:val="20"/>
              </w:rPr>
              <w:t>Έτος</w:t>
            </w:r>
          </w:p>
        </w:tc>
        <w:tc>
          <w:tcPr>
            <w:tcW w:w="22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42513F" w:rsidRPr="0015043C" w:rsidRDefault="0042513F" w:rsidP="0099665D">
            <w:pPr>
              <w:jc w:val="center"/>
              <w:rPr>
                <w:rFonts w:ascii="Arial Narrow" w:hAnsi="Arial Narrow"/>
                <w:b/>
                <w:bCs/>
                <w:sz w:val="16"/>
                <w:szCs w:val="20"/>
              </w:rPr>
            </w:pPr>
            <w:r w:rsidRPr="0015043C">
              <w:rPr>
                <w:rFonts w:ascii="Arial Narrow" w:hAnsi="Arial Narrow"/>
                <w:b/>
                <w:bCs/>
                <w:sz w:val="16"/>
                <w:szCs w:val="20"/>
              </w:rPr>
              <w:t>Έντοκα γραμμάτια</w:t>
            </w:r>
          </w:p>
          <w:p w:rsidR="0042513F" w:rsidRPr="0015043C" w:rsidRDefault="0042513F" w:rsidP="0099665D">
            <w:pPr>
              <w:jc w:val="center"/>
              <w:rPr>
                <w:rFonts w:ascii="Arial Narrow" w:hAnsi="Arial Narrow"/>
                <w:b/>
                <w:bCs/>
                <w:sz w:val="16"/>
                <w:szCs w:val="20"/>
              </w:rPr>
            </w:pPr>
            <w:r w:rsidRPr="0015043C">
              <w:rPr>
                <w:rFonts w:ascii="Arial Narrow" w:hAnsi="Arial Narrow"/>
                <w:b/>
                <w:bCs/>
                <w:sz w:val="16"/>
                <w:szCs w:val="20"/>
              </w:rPr>
              <w:t>ιδιωτικού τομέα</w:t>
            </w:r>
          </w:p>
        </w:tc>
        <w:tc>
          <w:tcPr>
            <w:tcW w:w="288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42513F" w:rsidRDefault="0042513F" w:rsidP="0099665D">
            <w:pPr>
              <w:jc w:val="center"/>
              <w:rPr>
                <w:rFonts w:ascii="Arial Narrow" w:hAnsi="Arial Narrow"/>
                <w:b/>
                <w:bCs/>
                <w:sz w:val="16"/>
                <w:szCs w:val="20"/>
              </w:rPr>
            </w:pPr>
            <w:r w:rsidRPr="0015043C">
              <w:rPr>
                <w:rFonts w:ascii="Arial Narrow" w:hAnsi="Arial Narrow"/>
                <w:b/>
                <w:bCs/>
                <w:sz w:val="16"/>
                <w:szCs w:val="20"/>
              </w:rPr>
              <w:t>Βραχυπρόθεσμοι τίτλοι εξωτερικού</w:t>
            </w:r>
            <w:r w:rsidRPr="0015043C">
              <w:rPr>
                <w:rFonts w:ascii="Arial Narrow" w:hAnsi="Arial Narrow"/>
                <w:b/>
                <w:bCs/>
                <w:sz w:val="16"/>
                <w:szCs w:val="20"/>
                <w:vertAlign w:val="superscript"/>
              </w:rPr>
              <w:t xml:space="preserve">(1) </w:t>
            </w:r>
            <w:r>
              <w:rPr>
                <w:rFonts w:ascii="Arial Narrow" w:hAnsi="Arial Narrow"/>
                <w:b/>
                <w:bCs/>
                <w:sz w:val="16"/>
                <w:szCs w:val="20"/>
              </w:rPr>
              <w:t>–</w:t>
            </w:r>
          </w:p>
          <w:p w:rsidR="0042513F" w:rsidRPr="002824D4" w:rsidRDefault="0042513F" w:rsidP="0099665D">
            <w:pPr>
              <w:jc w:val="center"/>
              <w:rPr>
                <w:rFonts w:ascii="Arial Narrow" w:hAnsi="Arial Narrow"/>
                <w:b/>
                <w:bCs/>
                <w:sz w:val="16"/>
                <w:szCs w:val="20"/>
                <w:vertAlign w:val="superscript"/>
              </w:rPr>
            </w:pPr>
            <w:r w:rsidRPr="0015043C">
              <w:rPr>
                <w:rFonts w:ascii="Arial Narrow" w:hAnsi="Arial Narrow"/>
                <w:b/>
                <w:bCs/>
                <w:sz w:val="16"/>
                <w:szCs w:val="20"/>
              </w:rPr>
              <w:t>Βραχυπρόθεσμ</w:t>
            </w:r>
            <w:r>
              <w:rPr>
                <w:rFonts w:ascii="Arial Narrow" w:hAnsi="Arial Narrow"/>
                <w:b/>
                <w:bCs/>
                <w:sz w:val="16"/>
                <w:szCs w:val="20"/>
              </w:rPr>
              <w:t>α δάνεια</w:t>
            </w:r>
            <w:r>
              <w:rPr>
                <w:rFonts w:ascii="Arial Narrow" w:hAnsi="Arial Narrow"/>
                <w:b/>
                <w:bCs/>
                <w:sz w:val="16"/>
                <w:szCs w:val="20"/>
                <w:vertAlign w:val="superscript"/>
              </w:rPr>
              <w:t>(2)</w:t>
            </w:r>
          </w:p>
        </w:tc>
        <w:tc>
          <w:tcPr>
            <w:tcW w:w="192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42513F" w:rsidRPr="0015043C" w:rsidRDefault="0042513F" w:rsidP="0099665D">
            <w:pPr>
              <w:jc w:val="center"/>
              <w:rPr>
                <w:rFonts w:ascii="Arial Narrow" w:hAnsi="Arial Narrow"/>
                <w:b/>
                <w:bCs/>
                <w:sz w:val="16"/>
                <w:szCs w:val="20"/>
              </w:rPr>
            </w:pPr>
            <w:r w:rsidRPr="0015043C">
              <w:rPr>
                <w:rFonts w:ascii="Arial Narrow" w:hAnsi="Arial Narrow"/>
                <w:b/>
                <w:bCs/>
                <w:sz w:val="16"/>
                <w:szCs w:val="20"/>
              </w:rPr>
              <w:t>Σύνολο</w:t>
            </w:r>
          </w:p>
        </w:tc>
      </w:tr>
      <w:tr w:rsidR="0042513F" w:rsidRPr="0015043C" w:rsidTr="0099665D">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Pr="0015043C" w:rsidRDefault="0042513F" w:rsidP="0099665D">
            <w:pPr>
              <w:spacing w:before="20" w:after="20"/>
              <w:jc w:val="center"/>
              <w:rPr>
                <w:rFonts w:ascii="Arial Narrow" w:hAnsi="Arial Narrow"/>
                <w:sz w:val="16"/>
                <w:szCs w:val="20"/>
              </w:rPr>
            </w:pPr>
            <w:r w:rsidRPr="0015043C">
              <w:rPr>
                <w:rFonts w:ascii="Arial Narrow" w:hAnsi="Arial Narrow"/>
                <w:sz w:val="16"/>
                <w:szCs w:val="20"/>
              </w:rPr>
              <w:t>2010</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17.974</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4.627</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22.601</w:t>
            </w:r>
          </w:p>
        </w:tc>
      </w:tr>
      <w:tr w:rsidR="0042513F" w:rsidRPr="0015043C" w:rsidTr="0099665D">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Pr="0015043C" w:rsidRDefault="0042513F" w:rsidP="0099665D">
            <w:pPr>
              <w:spacing w:before="20" w:after="20"/>
              <w:jc w:val="center"/>
              <w:rPr>
                <w:rFonts w:ascii="Arial Narrow" w:hAnsi="Arial Narrow"/>
                <w:sz w:val="16"/>
                <w:szCs w:val="20"/>
              </w:rPr>
            </w:pPr>
            <w:r w:rsidRPr="0015043C">
              <w:rPr>
                <w:rFonts w:ascii="Arial Narrow" w:hAnsi="Arial Narrow"/>
                <w:sz w:val="16"/>
                <w:szCs w:val="20"/>
              </w:rPr>
              <w:t>20</w:t>
            </w:r>
            <w:r>
              <w:rPr>
                <w:rFonts w:ascii="Arial Narrow" w:hAnsi="Arial Narrow"/>
                <w:sz w:val="16"/>
                <w:szCs w:val="20"/>
              </w:rPr>
              <w:t>11</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33.395</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33.395</w:t>
            </w:r>
          </w:p>
        </w:tc>
      </w:tr>
      <w:tr w:rsidR="0042513F" w:rsidRPr="0015043C" w:rsidTr="0099665D">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Pr="0015043C" w:rsidRDefault="0042513F" w:rsidP="0099665D">
            <w:pPr>
              <w:spacing w:before="20" w:after="20"/>
              <w:jc w:val="center"/>
              <w:rPr>
                <w:rFonts w:ascii="Arial Narrow" w:hAnsi="Arial Narrow"/>
                <w:sz w:val="16"/>
                <w:szCs w:val="20"/>
              </w:rPr>
            </w:pPr>
            <w:r>
              <w:rPr>
                <w:rFonts w:ascii="Arial Narrow" w:hAnsi="Arial Narrow"/>
                <w:sz w:val="16"/>
                <w:szCs w:val="20"/>
              </w:rPr>
              <w:t>2012</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47.008</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47.008</w:t>
            </w:r>
          </w:p>
        </w:tc>
      </w:tr>
      <w:tr w:rsidR="0042513F" w:rsidRPr="0015043C" w:rsidTr="0099665D">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Default="0042513F" w:rsidP="0099665D">
            <w:pPr>
              <w:spacing w:before="20" w:after="20"/>
              <w:jc w:val="center"/>
              <w:rPr>
                <w:rFonts w:ascii="Arial Narrow" w:hAnsi="Arial Narrow"/>
                <w:sz w:val="16"/>
                <w:szCs w:val="20"/>
              </w:rPr>
            </w:pPr>
            <w:r>
              <w:rPr>
                <w:rFonts w:ascii="Arial Narrow" w:hAnsi="Arial Narrow"/>
                <w:sz w:val="16"/>
                <w:szCs w:val="20"/>
              </w:rPr>
              <w:t>2013</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44.703</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44.703</w:t>
            </w:r>
          </w:p>
        </w:tc>
      </w:tr>
      <w:tr w:rsidR="0042513F" w:rsidRPr="0015043C" w:rsidTr="0099665D">
        <w:trPr>
          <w:trHeight w:val="20"/>
        </w:trPr>
        <w:tc>
          <w:tcPr>
            <w:tcW w:w="2108" w:type="dxa"/>
            <w:tcBorders>
              <w:top w:val="nil"/>
              <w:left w:val="single" w:sz="4" w:space="0" w:color="auto"/>
            </w:tcBorders>
            <w:shd w:val="clear" w:color="auto" w:fill="auto"/>
            <w:noWrap/>
            <w:tcMar>
              <w:left w:w="57" w:type="dxa"/>
              <w:right w:w="57" w:type="dxa"/>
            </w:tcMar>
            <w:vAlign w:val="bottom"/>
          </w:tcPr>
          <w:p w:rsidR="0042513F" w:rsidRDefault="0042513F" w:rsidP="0099665D">
            <w:pPr>
              <w:spacing w:before="20" w:after="20"/>
              <w:jc w:val="center"/>
              <w:rPr>
                <w:rFonts w:ascii="Arial Narrow" w:hAnsi="Arial Narrow"/>
                <w:sz w:val="16"/>
                <w:szCs w:val="20"/>
              </w:rPr>
            </w:pPr>
            <w:r>
              <w:rPr>
                <w:rFonts w:ascii="Arial Narrow" w:hAnsi="Arial Narrow"/>
                <w:sz w:val="16"/>
                <w:szCs w:val="20"/>
              </w:rPr>
              <w:t>2014</w:t>
            </w:r>
          </w:p>
        </w:tc>
        <w:tc>
          <w:tcPr>
            <w:tcW w:w="2216" w:type="dxa"/>
            <w:tcBorders>
              <w:top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40.558</w:t>
            </w:r>
          </w:p>
        </w:tc>
        <w:tc>
          <w:tcPr>
            <w:tcW w:w="2885" w:type="dxa"/>
            <w:tcBorders>
              <w:top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88.549</w:t>
            </w:r>
          </w:p>
        </w:tc>
        <w:tc>
          <w:tcPr>
            <w:tcW w:w="1927" w:type="dxa"/>
            <w:tcBorders>
              <w:top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129.107</w:t>
            </w:r>
          </w:p>
        </w:tc>
      </w:tr>
      <w:tr w:rsidR="0042513F" w:rsidRPr="0015043C" w:rsidTr="0099665D">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Pr="00C83AD1" w:rsidRDefault="0042513F" w:rsidP="0099665D">
            <w:pPr>
              <w:spacing w:before="20" w:after="20"/>
              <w:jc w:val="center"/>
              <w:rPr>
                <w:rFonts w:ascii="Arial Narrow" w:hAnsi="Arial Narrow"/>
                <w:sz w:val="16"/>
                <w:szCs w:val="20"/>
              </w:rPr>
            </w:pPr>
            <w:r>
              <w:rPr>
                <w:rFonts w:ascii="Arial Narrow" w:hAnsi="Arial Narrow"/>
                <w:sz w:val="16"/>
                <w:szCs w:val="20"/>
                <w:lang w:val="en-GB"/>
              </w:rPr>
              <w:t>20</w:t>
            </w:r>
            <w:r>
              <w:rPr>
                <w:rFonts w:ascii="Arial Narrow" w:hAnsi="Arial Narrow"/>
                <w:sz w:val="16"/>
                <w:szCs w:val="20"/>
              </w:rPr>
              <w:t>1</w:t>
            </w:r>
            <w:r w:rsidRPr="0015043C">
              <w:rPr>
                <w:rFonts w:ascii="Arial Narrow" w:hAnsi="Arial Narrow"/>
                <w:sz w:val="16"/>
                <w:szCs w:val="20"/>
                <w:lang w:val="en-GB"/>
              </w:rPr>
              <w:t>5</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40.457</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699.971</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740.428</w:t>
            </w:r>
          </w:p>
        </w:tc>
      </w:tr>
      <w:tr w:rsidR="0042513F" w:rsidRPr="0015043C" w:rsidTr="0099665D">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Pr="00582730" w:rsidRDefault="0042513F" w:rsidP="0099665D">
            <w:pPr>
              <w:spacing w:before="20" w:after="20"/>
              <w:jc w:val="center"/>
              <w:rPr>
                <w:rFonts w:ascii="Arial Narrow" w:hAnsi="Arial Narrow"/>
                <w:sz w:val="16"/>
                <w:szCs w:val="20"/>
              </w:rPr>
            </w:pPr>
            <w:r>
              <w:rPr>
                <w:rFonts w:ascii="Arial Narrow" w:hAnsi="Arial Narrow"/>
                <w:sz w:val="16"/>
                <w:szCs w:val="20"/>
              </w:rPr>
              <w:t>2016</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40.941</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490.322</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531.263</w:t>
            </w:r>
          </w:p>
        </w:tc>
      </w:tr>
      <w:tr w:rsidR="0042513F" w:rsidRPr="0015043C" w:rsidTr="0042513F">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42513F" w:rsidRDefault="0042513F" w:rsidP="0099665D">
            <w:pPr>
              <w:spacing w:before="20" w:after="20"/>
              <w:jc w:val="center"/>
              <w:rPr>
                <w:rFonts w:ascii="Arial Narrow" w:hAnsi="Arial Narrow"/>
                <w:sz w:val="16"/>
                <w:szCs w:val="20"/>
              </w:rPr>
            </w:pPr>
            <w:r>
              <w:rPr>
                <w:rFonts w:ascii="Arial Narrow" w:hAnsi="Arial Narrow"/>
                <w:sz w:val="16"/>
                <w:szCs w:val="20"/>
              </w:rPr>
              <w:t>2017</w:t>
            </w:r>
          </w:p>
        </w:tc>
        <w:tc>
          <w:tcPr>
            <w:tcW w:w="2216" w:type="dxa"/>
            <w:tcBorders>
              <w:top w:val="nil"/>
              <w:bottom w:val="nil"/>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41.087</w:t>
            </w:r>
          </w:p>
        </w:tc>
        <w:tc>
          <w:tcPr>
            <w:tcW w:w="2885" w:type="dxa"/>
            <w:tcBorders>
              <w:top w:val="nil"/>
              <w:bottom w:val="nil"/>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525.911</w:t>
            </w:r>
          </w:p>
        </w:tc>
        <w:tc>
          <w:tcPr>
            <w:tcW w:w="1927" w:type="dxa"/>
            <w:tcBorders>
              <w:top w:val="nil"/>
              <w:bottom w:val="nil"/>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566.998</w:t>
            </w:r>
          </w:p>
        </w:tc>
      </w:tr>
      <w:tr w:rsidR="0042513F" w:rsidRPr="0015043C" w:rsidTr="0099665D">
        <w:trPr>
          <w:trHeight w:val="20"/>
        </w:trPr>
        <w:tc>
          <w:tcPr>
            <w:tcW w:w="2108" w:type="dxa"/>
            <w:tcBorders>
              <w:top w:val="nil"/>
              <w:left w:val="single" w:sz="4" w:space="0" w:color="auto"/>
              <w:bottom w:val="single" w:sz="4" w:space="0" w:color="auto"/>
            </w:tcBorders>
            <w:shd w:val="clear" w:color="auto" w:fill="auto"/>
            <w:noWrap/>
            <w:tcMar>
              <w:left w:w="57" w:type="dxa"/>
              <w:right w:w="57" w:type="dxa"/>
            </w:tcMar>
            <w:vAlign w:val="bottom"/>
          </w:tcPr>
          <w:p w:rsidR="0042513F" w:rsidRDefault="0042513F" w:rsidP="0099665D">
            <w:pPr>
              <w:spacing w:before="20" w:after="20"/>
              <w:jc w:val="center"/>
              <w:rPr>
                <w:rFonts w:ascii="Arial Narrow" w:hAnsi="Arial Narrow"/>
                <w:sz w:val="16"/>
                <w:szCs w:val="20"/>
              </w:rPr>
            </w:pPr>
            <w:r>
              <w:rPr>
                <w:rFonts w:ascii="Arial Narrow" w:hAnsi="Arial Narrow"/>
                <w:sz w:val="16"/>
                <w:szCs w:val="20"/>
              </w:rPr>
              <w:t>2018*</w:t>
            </w:r>
          </w:p>
        </w:tc>
        <w:tc>
          <w:tcPr>
            <w:tcW w:w="2216" w:type="dxa"/>
            <w:tcBorders>
              <w:top w:val="nil"/>
              <w:bottom w:val="single" w:sz="4" w:space="0" w:color="auto"/>
            </w:tcBorders>
            <w:shd w:val="clear" w:color="auto" w:fill="auto"/>
            <w:noWrap/>
            <w:tcMar>
              <w:left w:w="57" w:type="dxa"/>
              <w:right w:w="57" w:type="dxa"/>
            </w:tcMar>
            <w:vAlign w:val="center"/>
          </w:tcPr>
          <w:p w:rsidR="0042513F" w:rsidRDefault="002D3D66"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34.6</w:t>
            </w:r>
            <w:r w:rsidR="0042513F">
              <w:rPr>
                <w:rFonts w:ascii="Arial Narrow" w:hAnsi="Arial Narrow" w:cs="Arial"/>
                <w:sz w:val="16"/>
                <w:szCs w:val="16"/>
              </w:rPr>
              <w:t>70</w:t>
            </w:r>
          </w:p>
        </w:tc>
        <w:tc>
          <w:tcPr>
            <w:tcW w:w="2885" w:type="dxa"/>
            <w:tcBorders>
              <w:top w:val="nil"/>
              <w:bottom w:val="single" w:sz="4" w:space="0" w:color="auto"/>
            </w:tcBorders>
            <w:shd w:val="clear" w:color="auto" w:fill="auto"/>
            <w:noWrap/>
            <w:tcMar>
              <w:left w:w="57" w:type="dxa"/>
              <w:right w:w="57" w:type="dxa"/>
            </w:tcMar>
            <w:vAlign w:val="center"/>
          </w:tcPr>
          <w:p w:rsidR="0042513F" w:rsidRDefault="0042513F" w:rsidP="0099665D">
            <w:pPr>
              <w:tabs>
                <w:tab w:val="decimal" w:pos="1522"/>
              </w:tabs>
              <w:spacing w:before="20" w:after="20"/>
              <w:jc w:val="both"/>
              <w:rPr>
                <w:rFonts w:ascii="Arial Narrow" w:hAnsi="Arial Narrow" w:cs="Arial"/>
                <w:sz w:val="16"/>
                <w:szCs w:val="16"/>
              </w:rPr>
            </w:pPr>
            <w:r>
              <w:rPr>
                <w:rFonts w:ascii="Arial Narrow" w:hAnsi="Arial Narrow" w:cs="Arial"/>
                <w:sz w:val="16"/>
                <w:szCs w:val="16"/>
              </w:rPr>
              <w:t>750.000</w:t>
            </w:r>
          </w:p>
        </w:tc>
        <w:tc>
          <w:tcPr>
            <w:tcW w:w="1927" w:type="dxa"/>
            <w:tcBorders>
              <w:top w:val="nil"/>
              <w:bottom w:val="single" w:sz="4" w:space="0" w:color="auto"/>
              <w:right w:val="single" w:sz="4" w:space="0" w:color="auto"/>
            </w:tcBorders>
            <w:shd w:val="clear" w:color="auto" w:fill="auto"/>
            <w:noWrap/>
            <w:tcMar>
              <w:left w:w="57" w:type="dxa"/>
              <w:right w:w="57" w:type="dxa"/>
            </w:tcMar>
            <w:vAlign w:val="center"/>
          </w:tcPr>
          <w:p w:rsidR="0042513F" w:rsidRDefault="0042513F" w:rsidP="0099665D">
            <w:pPr>
              <w:tabs>
                <w:tab w:val="decimal" w:pos="1281"/>
              </w:tabs>
              <w:spacing w:before="20" w:after="20"/>
              <w:jc w:val="both"/>
              <w:rPr>
                <w:rFonts w:ascii="Arial Narrow" w:hAnsi="Arial Narrow" w:cs="Arial"/>
                <w:sz w:val="16"/>
                <w:szCs w:val="16"/>
              </w:rPr>
            </w:pPr>
            <w:r>
              <w:rPr>
                <w:rFonts w:ascii="Arial Narrow" w:hAnsi="Arial Narrow" w:cs="Arial"/>
                <w:sz w:val="16"/>
                <w:szCs w:val="16"/>
              </w:rPr>
              <w:t>784.670</w:t>
            </w:r>
          </w:p>
        </w:tc>
      </w:tr>
    </w:tbl>
    <w:p w:rsidR="0042513F" w:rsidRPr="000107A3" w:rsidRDefault="0042513F" w:rsidP="0042513F">
      <w:pPr>
        <w:tabs>
          <w:tab w:val="left" w:pos="2216"/>
          <w:tab w:val="left" w:pos="4432"/>
          <w:tab w:val="left" w:pos="7317"/>
        </w:tabs>
        <w:ind w:left="108"/>
        <w:rPr>
          <w:rFonts w:ascii="Arial Narrow" w:hAnsi="Arial Narrow"/>
          <w:sz w:val="16"/>
          <w:szCs w:val="20"/>
          <w:lang w:val="en-US"/>
        </w:rPr>
      </w:pPr>
      <w:r w:rsidRPr="0015043C">
        <w:rPr>
          <w:rFonts w:ascii="Arial Narrow" w:hAnsi="Arial Narrow"/>
          <w:sz w:val="16"/>
          <w:szCs w:val="20"/>
          <w:lang w:val="en-GB"/>
        </w:rPr>
        <w:t xml:space="preserve">*    </w:t>
      </w:r>
      <w:r w:rsidRPr="0015043C">
        <w:rPr>
          <w:rFonts w:ascii="Arial Narrow" w:hAnsi="Arial Narrow"/>
          <w:sz w:val="16"/>
          <w:szCs w:val="20"/>
        </w:rPr>
        <w:t>Εκτιμήσεις</w:t>
      </w:r>
      <w:r w:rsidRPr="0015043C">
        <w:rPr>
          <w:rFonts w:ascii="Arial Narrow" w:hAnsi="Arial Narrow"/>
          <w:sz w:val="16"/>
          <w:szCs w:val="20"/>
          <w:lang w:val="en-GB"/>
        </w:rPr>
        <w:t xml:space="preserve">    </w:t>
      </w:r>
    </w:p>
    <w:p w:rsidR="0042513F" w:rsidRPr="0015043C" w:rsidRDefault="0042513F" w:rsidP="0042513F">
      <w:pPr>
        <w:tabs>
          <w:tab w:val="left" w:pos="2216"/>
          <w:tab w:val="left" w:pos="4432"/>
          <w:tab w:val="left" w:pos="7317"/>
        </w:tabs>
        <w:ind w:left="108"/>
        <w:rPr>
          <w:rFonts w:ascii="Arial Narrow" w:hAnsi="Arial Narrow"/>
          <w:sz w:val="16"/>
          <w:szCs w:val="20"/>
          <w:lang w:val="en-GB"/>
        </w:rPr>
      </w:pPr>
      <w:r w:rsidRPr="0015043C">
        <w:rPr>
          <w:rFonts w:ascii="Arial Narrow" w:hAnsi="Arial Narrow"/>
          <w:sz w:val="16"/>
          <w:szCs w:val="20"/>
          <w:vertAlign w:val="superscript"/>
          <w:lang w:val="en-GB"/>
        </w:rPr>
        <w:t xml:space="preserve">(1) </w:t>
      </w:r>
      <w:r w:rsidRPr="0015043C">
        <w:rPr>
          <w:rFonts w:ascii="Arial Narrow" w:hAnsi="Arial Narrow"/>
          <w:sz w:val="16"/>
          <w:szCs w:val="20"/>
          <w:lang w:val="en-GB"/>
        </w:rPr>
        <w:t xml:space="preserve">  Euro Commercial Paper (ECP)</w:t>
      </w:r>
      <w:r w:rsidRPr="0015043C">
        <w:rPr>
          <w:rFonts w:ascii="Arial Narrow" w:hAnsi="Arial Narrow"/>
          <w:sz w:val="16"/>
          <w:szCs w:val="20"/>
          <w:lang w:val="en-GB"/>
        </w:rPr>
        <w:tab/>
      </w:r>
    </w:p>
    <w:p w:rsidR="0042513F" w:rsidRPr="00C83AD1" w:rsidRDefault="0042513F" w:rsidP="0042513F">
      <w:pPr>
        <w:tabs>
          <w:tab w:val="left" w:pos="2216"/>
          <w:tab w:val="left" w:pos="4432"/>
          <w:tab w:val="left" w:pos="7317"/>
        </w:tabs>
        <w:ind w:left="108"/>
        <w:rPr>
          <w:rFonts w:ascii="Arial Narrow" w:hAnsi="Arial Narrow"/>
          <w:sz w:val="16"/>
          <w:szCs w:val="20"/>
        </w:rPr>
      </w:pPr>
      <w:r w:rsidRPr="0015043C">
        <w:rPr>
          <w:rFonts w:ascii="Arial Narrow" w:hAnsi="Arial Narrow"/>
          <w:sz w:val="16"/>
          <w:szCs w:val="20"/>
          <w:vertAlign w:val="superscript"/>
        </w:rPr>
        <w:t xml:space="preserve">(2) </w:t>
      </w:r>
      <w:r w:rsidRPr="0015043C">
        <w:rPr>
          <w:rFonts w:ascii="Arial Narrow" w:hAnsi="Arial Narrow"/>
          <w:sz w:val="16"/>
          <w:szCs w:val="20"/>
        </w:rPr>
        <w:t xml:space="preserve">  Από το 2008 περιλαμβάνονται οι βραχυπρ</w:t>
      </w:r>
      <w:r>
        <w:rPr>
          <w:rFonts w:ascii="Arial Narrow" w:hAnsi="Arial Narrow"/>
          <w:sz w:val="16"/>
          <w:szCs w:val="20"/>
        </w:rPr>
        <w:t xml:space="preserve">όθεσμες ταμειακές διευκολύνσεις και από το 2014 </w:t>
      </w:r>
      <w:r>
        <w:rPr>
          <w:rFonts w:ascii="Arial Narrow" w:hAnsi="Arial Narrow"/>
          <w:sz w:val="16"/>
          <w:szCs w:val="20"/>
          <w:lang w:val="en-GB"/>
        </w:rPr>
        <w:t>repos</w:t>
      </w:r>
      <w:r w:rsidRPr="00C83AD1">
        <w:rPr>
          <w:rFonts w:ascii="Arial Narrow" w:hAnsi="Arial Narrow"/>
          <w:sz w:val="16"/>
          <w:szCs w:val="20"/>
        </w:rPr>
        <w:t>.</w:t>
      </w:r>
    </w:p>
    <w:p w:rsidR="0042513F" w:rsidRPr="0015043C" w:rsidRDefault="0042513F" w:rsidP="0042513F">
      <w:pPr>
        <w:tabs>
          <w:tab w:val="left" w:pos="180"/>
        </w:tabs>
        <w:jc w:val="both"/>
        <w:rPr>
          <w:rFonts w:ascii="Arial Narrow" w:hAnsi="Arial Narrow"/>
          <w:sz w:val="16"/>
          <w:szCs w:val="16"/>
        </w:rPr>
      </w:pPr>
      <w:r w:rsidRPr="0015043C">
        <w:rPr>
          <w:rFonts w:ascii="Arial Narrow" w:hAnsi="Arial Narrow"/>
          <w:sz w:val="16"/>
          <w:szCs w:val="16"/>
        </w:rPr>
        <w:t xml:space="preserve">   Πηγή:  </w:t>
      </w:r>
      <w:r>
        <w:rPr>
          <w:rFonts w:ascii="Arial Narrow" w:hAnsi="Arial Narrow"/>
          <w:sz w:val="16"/>
          <w:szCs w:val="16"/>
        </w:rPr>
        <w:t>ΟΔΔΗΧ</w:t>
      </w:r>
    </w:p>
    <w:p w:rsidR="00E02F40" w:rsidRPr="00683A95" w:rsidRDefault="00E02F40" w:rsidP="00E02F40">
      <w:pPr>
        <w:jc w:val="both"/>
        <w:rPr>
          <w:sz w:val="22"/>
          <w:szCs w:val="22"/>
        </w:rPr>
      </w:pPr>
      <w:r w:rsidRPr="00247846">
        <w:rPr>
          <w:sz w:val="22"/>
          <w:szCs w:val="22"/>
        </w:rPr>
        <w:lastRenderedPageBreak/>
        <w:t>Όπως φαίνεται στον</w:t>
      </w:r>
      <w:r>
        <w:rPr>
          <w:sz w:val="22"/>
          <w:szCs w:val="22"/>
        </w:rPr>
        <w:t xml:space="preserve"> παρακάτω</w:t>
      </w:r>
      <w:r w:rsidRPr="00247846">
        <w:rPr>
          <w:sz w:val="22"/>
          <w:szCs w:val="22"/>
        </w:rPr>
        <w:t xml:space="preserve"> πίνακα, οι δαπάνες για τόκους του χρέους της Κεντρικής Διοίκησης διαμορφώνονται κοντά στα επίπεδα των 5.500-6.500 εκατ. ευρώ, </w:t>
      </w:r>
      <w:r w:rsidR="00757859">
        <w:rPr>
          <w:sz w:val="22"/>
          <w:szCs w:val="22"/>
        </w:rPr>
        <w:t xml:space="preserve">ήτοι σε ποσοστό </w:t>
      </w:r>
      <w:r>
        <w:rPr>
          <w:sz w:val="22"/>
          <w:szCs w:val="22"/>
        </w:rPr>
        <w:t>3%-3,</w:t>
      </w:r>
      <w:r w:rsidRPr="00115CF6">
        <w:rPr>
          <w:sz w:val="22"/>
          <w:szCs w:val="22"/>
        </w:rPr>
        <w:t>4</w:t>
      </w:r>
      <w:r w:rsidRPr="00247846">
        <w:rPr>
          <w:sz w:val="22"/>
          <w:szCs w:val="22"/>
        </w:rPr>
        <w:t xml:space="preserve">% του ΑΕΠ </w:t>
      </w:r>
      <w:r>
        <w:rPr>
          <w:sz w:val="22"/>
          <w:szCs w:val="22"/>
        </w:rPr>
        <w:t>(πίνακας 4.9</w:t>
      </w:r>
      <w:r w:rsidR="00D62656">
        <w:rPr>
          <w:sz w:val="22"/>
          <w:szCs w:val="22"/>
        </w:rPr>
        <w:t>)</w:t>
      </w:r>
      <w:r w:rsidRPr="00683A95">
        <w:rPr>
          <w:sz w:val="22"/>
          <w:szCs w:val="22"/>
        </w:rPr>
        <w:t>.</w:t>
      </w:r>
    </w:p>
    <w:p w:rsidR="00E337AB" w:rsidRPr="00E80743" w:rsidRDefault="00E337AB" w:rsidP="00E337AB">
      <w:pPr>
        <w:jc w:val="both"/>
        <w:rPr>
          <w:sz w:val="22"/>
        </w:rPr>
      </w:pPr>
    </w:p>
    <w:tbl>
      <w:tblPr>
        <w:tblW w:w="9225" w:type="dxa"/>
        <w:jc w:val="center"/>
        <w:tblLayout w:type="fixed"/>
        <w:tblCellMar>
          <w:left w:w="0" w:type="dxa"/>
          <w:right w:w="0" w:type="dxa"/>
        </w:tblCellMar>
        <w:tblLook w:val="0000"/>
      </w:tblPr>
      <w:tblGrid>
        <w:gridCol w:w="2885"/>
        <w:gridCol w:w="1152"/>
        <w:gridCol w:w="1080"/>
        <w:gridCol w:w="1080"/>
        <w:gridCol w:w="1080"/>
        <w:gridCol w:w="1080"/>
        <w:gridCol w:w="868"/>
      </w:tblGrid>
      <w:tr w:rsidR="00E337AB" w:rsidRPr="0015043C" w:rsidTr="0099665D">
        <w:trPr>
          <w:jc w:val="center"/>
        </w:trPr>
        <w:tc>
          <w:tcPr>
            <w:tcW w:w="9225" w:type="dxa"/>
            <w:gridSpan w:val="7"/>
            <w:tcBorders>
              <w:top w:val="single" w:sz="4" w:space="0" w:color="auto"/>
              <w:left w:val="single" w:sz="4" w:space="0" w:color="auto"/>
              <w:right w:val="single" w:sz="4" w:space="0" w:color="auto"/>
            </w:tcBorders>
            <w:shd w:val="clear" w:color="auto" w:fill="404040" w:themeFill="text1" w:themeFillTint="BF"/>
            <w:noWrap/>
            <w:tcMar>
              <w:top w:w="15" w:type="dxa"/>
              <w:left w:w="15" w:type="dxa"/>
              <w:bottom w:w="0" w:type="dxa"/>
              <w:right w:w="15" w:type="dxa"/>
            </w:tcMar>
            <w:vAlign w:val="bottom"/>
          </w:tcPr>
          <w:p w:rsidR="00E337AB" w:rsidRPr="0015043C" w:rsidRDefault="00E337AB" w:rsidP="0099665D">
            <w:pPr>
              <w:autoSpaceDE w:val="0"/>
              <w:autoSpaceDN w:val="0"/>
              <w:adjustRightInd w:val="0"/>
              <w:spacing w:before="120"/>
              <w:jc w:val="center"/>
              <w:rPr>
                <w:rFonts w:ascii="Arial Narrow" w:hAnsi="Arial Narrow" w:cs="TimesNewRoman,Bold+1"/>
                <w:b/>
                <w:bCs/>
                <w:color w:val="FFFFFF"/>
              </w:rPr>
            </w:pPr>
            <w:r>
              <w:rPr>
                <w:rFonts w:ascii="Arial Narrow" w:hAnsi="Arial Narrow" w:cs="TimesNewRoman,Bold+1"/>
                <w:b/>
                <w:bCs/>
                <w:color w:val="FFFFFF"/>
              </w:rPr>
              <w:t>Πίνακας 4.9</w:t>
            </w:r>
            <w:r w:rsidRPr="0015043C">
              <w:rPr>
                <w:rFonts w:ascii="Arial Narrow" w:hAnsi="Arial Narrow" w:cs="TimesNewRoman,Bold+1"/>
                <w:b/>
                <w:bCs/>
                <w:color w:val="FFFFFF"/>
              </w:rPr>
              <w:t xml:space="preserve">  Ύψος δαπανών για τόκους χρέους Κεντρικής </w:t>
            </w:r>
            <w:r>
              <w:rPr>
                <w:rFonts w:ascii="Arial Narrow" w:hAnsi="Arial Narrow" w:cs="TimesNewRoman,Bold+1"/>
                <w:b/>
                <w:bCs/>
                <w:color w:val="FFFFFF"/>
              </w:rPr>
              <w:t>Διοίκησης</w:t>
            </w:r>
          </w:p>
          <w:p w:rsidR="00E337AB" w:rsidRPr="0015043C" w:rsidRDefault="00E337AB" w:rsidP="0099665D">
            <w:pPr>
              <w:autoSpaceDE w:val="0"/>
              <w:autoSpaceDN w:val="0"/>
              <w:adjustRightInd w:val="0"/>
              <w:spacing w:after="120"/>
              <w:jc w:val="center"/>
              <w:rPr>
                <w:rFonts w:ascii="Arial Narrow" w:hAnsi="Arial Narrow" w:cs="TimesNewRoman,Bold+1"/>
                <w:b/>
                <w:bCs/>
                <w:color w:val="FFFFFF"/>
              </w:rPr>
            </w:pPr>
            <w:r w:rsidRPr="0015043C">
              <w:rPr>
                <w:rFonts w:ascii="Arial Narrow" w:hAnsi="Arial Narrow" w:cs="TimesNewRoman,Bold"/>
                <w:b/>
                <w:bCs/>
                <w:color w:val="FFFFFF"/>
              </w:rPr>
              <w:t>(</w:t>
            </w:r>
            <w:r w:rsidRPr="0015043C">
              <w:rPr>
                <w:rFonts w:ascii="Arial Narrow" w:hAnsi="Arial Narrow" w:cs="TimesNewRoman,Bold+1"/>
                <w:b/>
                <w:bCs/>
                <w:color w:val="FFFFFF"/>
              </w:rPr>
              <w:t>ποσά σε εκατ</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ευρώ</w:t>
            </w:r>
            <w:r w:rsidRPr="0015043C">
              <w:rPr>
                <w:rFonts w:ascii="Arial Narrow" w:hAnsi="Arial Narrow" w:cs="TimesNewRoman,Bold"/>
                <w:b/>
                <w:bCs/>
                <w:color w:val="FFFFFF"/>
              </w:rPr>
              <w:t>)</w:t>
            </w:r>
          </w:p>
        </w:tc>
      </w:tr>
      <w:tr w:rsidR="00E337AB" w:rsidRPr="00E80743" w:rsidTr="0099665D">
        <w:trPr>
          <w:jc w:val="center"/>
        </w:trPr>
        <w:tc>
          <w:tcPr>
            <w:tcW w:w="9225" w:type="dxa"/>
            <w:gridSpan w:val="7"/>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E337AB" w:rsidRPr="00E80743" w:rsidRDefault="00E337AB" w:rsidP="0099665D">
            <w:pPr>
              <w:jc w:val="center"/>
              <w:rPr>
                <w:rFonts w:ascii="Arial Narrow" w:hAnsi="Arial Narrow"/>
                <w:b/>
                <w:bCs/>
                <w:sz w:val="10"/>
              </w:rPr>
            </w:pPr>
          </w:p>
        </w:tc>
      </w:tr>
      <w:tr w:rsidR="00E337AB" w:rsidRPr="0015043C" w:rsidTr="0099665D">
        <w:trPr>
          <w:jc w:val="center"/>
        </w:trPr>
        <w:tc>
          <w:tcPr>
            <w:tcW w:w="28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337AB" w:rsidRPr="0015043C" w:rsidRDefault="00E337AB" w:rsidP="0099665D">
            <w:pPr>
              <w:spacing w:before="60" w:after="60"/>
              <w:jc w:val="center"/>
              <w:rPr>
                <w:rFonts w:ascii="Arial Narrow" w:hAnsi="Arial Narrow"/>
                <w:b/>
                <w:bCs/>
                <w:sz w:val="16"/>
              </w:rPr>
            </w:pPr>
          </w:p>
        </w:tc>
        <w:tc>
          <w:tcPr>
            <w:tcW w:w="11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337AB" w:rsidRPr="0015043C" w:rsidRDefault="00E337AB" w:rsidP="0099665D">
            <w:pPr>
              <w:spacing w:before="60" w:after="60"/>
              <w:jc w:val="center"/>
              <w:rPr>
                <w:rFonts w:ascii="Arial Narrow" w:hAnsi="Arial Narrow"/>
                <w:b/>
                <w:bCs/>
                <w:sz w:val="16"/>
              </w:rPr>
            </w:pPr>
            <w:r>
              <w:rPr>
                <w:rFonts w:ascii="Arial Narrow" w:hAnsi="Arial Narrow"/>
                <w:b/>
                <w:bCs/>
                <w:sz w:val="16"/>
              </w:rPr>
              <w:t>2014</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337AB" w:rsidRPr="0015043C" w:rsidRDefault="00E337AB" w:rsidP="0099665D">
            <w:pPr>
              <w:spacing w:before="60" w:after="60"/>
              <w:jc w:val="center"/>
              <w:rPr>
                <w:rFonts w:ascii="Arial Narrow" w:hAnsi="Arial Narrow"/>
                <w:b/>
                <w:bCs/>
                <w:sz w:val="16"/>
              </w:rPr>
            </w:pPr>
            <w:r>
              <w:rPr>
                <w:rFonts w:ascii="Arial Narrow" w:hAnsi="Arial Narrow"/>
                <w:b/>
                <w:bCs/>
                <w:sz w:val="16"/>
              </w:rPr>
              <w:t>2015</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337AB" w:rsidRPr="0015043C" w:rsidRDefault="00E337AB" w:rsidP="0099665D">
            <w:pPr>
              <w:spacing w:before="60" w:after="60"/>
              <w:jc w:val="center"/>
              <w:rPr>
                <w:rFonts w:ascii="Arial Narrow" w:hAnsi="Arial Narrow"/>
                <w:b/>
                <w:bCs/>
                <w:sz w:val="16"/>
              </w:rPr>
            </w:pPr>
            <w:r>
              <w:rPr>
                <w:rFonts w:ascii="Arial Narrow" w:hAnsi="Arial Narrow"/>
                <w:b/>
                <w:bCs/>
                <w:sz w:val="16"/>
              </w:rPr>
              <w:t>2016</w:t>
            </w:r>
          </w:p>
        </w:tc>
        <w:tc>
          <w:tcPr>
            <w:tcW w:w="1080" w:type="dxa"/>
            <w:tcBorders>
              <w:top w:val="single" w:sz="4" w:space="0" w:color="auto"/>
              <w:left w:val="single" w:sz="4" w:space="0" w:color="auto"/>
              <w:bottom w:val="single" w:sz="4" w:space="0" w:color="auto"/>
              <w:right w:val="single" w:sz="4" w:space="0" w:color="auto"/>
            </w:tcBorders>
            <w:vAlign w:val="bottom"/>
          </w:tcPr>
          <w:p w:rsidR="00E337AB" w:rsidRPr="00E337AB" w:rsidRDefault="00E337AB" w:rsidP="0099665D">
            <w:pPr>
              <w:spacing w:before="60" w:after="60"/>
              <w:jc w:val="center"/>
              <w:rPr>
                <w:rFonts w:ascii="Arial Narrow" w:hAnsi="Arial Narrow"/>
                <w:b/>
                <w:bCs/>
                <w:sz w:val="16"/>
                <w:lang w:val="en-GB"/>
              </w:rPr>
            </w:pPr>
            <w:r>
              <w:rPr>
                <w:rFonts w:ascii="Arial Narrow" w:hAnsi="Arial Narrow"/>
                <w:b/>
                <w:bCs/>
                <w:sz w:val="16"/>
              </w:rPr>
              <w:t>2017</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337AB" w:rsidRPr="00E337AB" w:rsidRDefault="00E337AB" w:rsidP="0099665D">
            <w:pPr>
              <w:spacing w:before="60" w:after="60"/>
              <w:jc w:val="center"/>
              <w:rPr>
                <w:rFonts w:ascii="Arial Narrow" w:hAnsi="Arial Narrow"/>
                <w:b/>
                <w:bCs/>
                <w:sz w:val="16"/>
                <w:lang w:val="en-GB"/>
              </w:rPr>
            </w:pPr>
            <w:r>
              <w:rPr>
                <w:rFonts w:ascii="Arial Narrow" w:hAnsi="Arial Narrow"/>
                <w:b/>
                <w:bCs/>
                <w:sz w:val="16"/>
              </w:rPr>
              <w:t>2018*</w:t>
            </w:r>
          </w:p>
        </w:tc>
        <w:tc>
          <w:tcPr>
            <w:tcW w:w="868" w:type="dxa"/>
            <w:tcBorders>
              <w:top w:val="single" w:sz="4" w:space="0" w:color="auto"/>
              <w:left w:val="single" w:sz="4" w:space="0" w:color="auto"/>
              <w:bottom w:val="single" w:sz="4" w:space="0" w:color="auto"/>
              <w:right w:val="single" w:sz="4" w:space="0" w:color="auto"/>
            </w:tcBorders>
            <w:vAlign w:val="bottom"/>
          </w:tcPr>
          <w:p w:rsidR="00E337AB" w:rsidRPr="00E337AB" w:rsidRDefault="00E337AB" w:rsidP="0099665D">
            <w:pPr>
              <w:spacing w:before="60" w:after="60"/>
              <w:jc w:val="center"/>
              <w:rPr>
                <w:rFonts w:ascii="Arial Narrow" w:hAnsi="Arial Narrow"/>
                <w:b/>
                <w:bCs/>
                <w:sz w:val="16"/>
                <w:lang w:val="en-GB"/>
              </w:rPr>
            </w:pPr>
            <w:r>
              <w:rPr>
                <w:rFonts w:ascii="Arial Narrow" w:hAnsi="Arial Narrow"/>
                <w:b/>
                <w:bCs/>
                <w:sz w:val="16"/>
                <w:lang w:val="en-GB"/>
              </w:rPr>
              <w:t>2019**</w:t>
            </w:r>
          </w:p>
        </w:tc>
      </w:tr>
      <w:tr w:rsidR="007B67B0" w:rsidRPr="0015043C" w:rsidTr="007B67B0">
        <w:trPr>
          <w:trHeight w:val="170"/>
          <w:jc w:val="center"/>
        </w:trPr>
        <w:tc>
          <w:tcPr>
            <w:tcW w:w="2885" w:type="dxa"/>
            <w:tcBorders>
              <w:left w:val="single" w:sz="4" w:space="0" w:color="auto"/>
            </w:tcBorders>
            <w:noWrap/>
            <w:tcMar>
              <w:top w:w="15" w:type="dxa"/>
              <w:left w:w="15" w:type="dxa"/>
              <w:bottom w:w="0" w:type="dxa"/>
              <w:right w:w="15" w:type="dxa"/>
            </w:tcMar>
            <w:vAlign w:val="bottom"/>
          </w:tcPr>
          <w:p w:rsidR="007B67B0" w:rsidRPr="00E337AB" w:rsidRDefault="007B67B0" w:rsidP="0099665D">
            <w:pPr>
              <w:spacing w:before="40" w:after="40"/>
              <w:jc w:val="both"/>
              <w:rPr>
                <w:rFonts w:ascii="Arial Narrow" w:hAnsi="Arial Narrow"/>
                <w:bCs/>
                <w:sz w:val="16"/>
                <w:lang w:val="en-GB"/>
              </w:rPr>
            </w:pPr>
            <w:r>
              <w:rPr>
                <w:rFonts w:ascii="Arial Narrow" w:hAnsi="Arial Narrow"/>
                <w:bCs/>
                <w:sz w:val="16"/>
              </w:rPr>
              <w:t xml:space="preserve">Τόκοι προ </w:t>
            </w:r>
            <w:r>
              <w:rPr>
                <w:rFonts w:ascii="Arial Narrow" w:hAnsi="Arial Narrow"/>
                <w:bCs/>
                <w:sz w:val="16"/>
                <w:lang w:val="en-GB"/>
              </w:rPr>
              <w:t>Swap</w:t>
            </w:r>
          </w:p>
        </w:tc>
        <w:tc>
          <w:tcPr>
            <w:tcW w:w="1152"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5.341</w:t>
            </w:r>
          </w:p>
        </w:tc>
        <w:tc>
          <w:tcPr>
            <w:tcW w:w="1080"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5.306</w:t>
            </w:r>
          </w:p>
        </w:tc>
        <w:tc>
          <w:tcPr>
            <w:tcW w:w="1080"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5.077</w:t>
            </w:r>
          </w:p>
        </w:tc>
        <w:tc>
          <w:tcPr>
            <w:tcW w:w="1080" w:type="dxa"/>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5.693</w:t>
            </w:r>
          </w:p>
        </w:tc>
        <w:tc>
          <w:tcPr>
            <w:tcW w:w="1080"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4.670</w:t>
            </w:r>
          </w:p>
        </w:tc>
        <w:tc>
          <w:tcPr>
            <w:tcW w:w="868" w:type="dxa"/>
            <w:tcBorders>
              <w:right w:val="single" w:sz="4" w:space="0" w:color="auto"/>
            </w:tcBorders>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5.600</w:t>
            </w:r>
          </w:p>
        </w:tc>
      </w:tr>
      <w:tr w:rsidR="007B67B0" w:rsidRPr="0015043C" w:rsidTr="007B67B0">
        <w:trPr>
          <w:trHeight w:val="170"/>
          <w:jc w:val="center"/>
        </w:trPr>
        <w:tc>
          <w:tcPr>
            <w:tcW w:w="2885" w:type="dxa"/>
            <w:tcBorders>
              <w:left w:val="single" w:sz="4" w:space="0" w:color="auto"/>
            </w:tcBorders>
            <w:noWrap/>
            <w:tcMar>
              <w:top w:w="15" w:type="dxa"/>
              <w:left w:w="15" w:type="dxa"/>
              <w:bottom w:w="0" w:type="dxa"/>
              <w:right w:w="15" w:type="dxa"/>
            </w:tcMar>
            <w:vAlign w:val="bottom"/>
          </w:tcPr>
          <w:p w:rsidR="007B67B0" w:rsidRPr="00E337AB" w:rsidRDefault="007B67B0" w:rsidP="0099665D">
            <w:pPr>
              <w:spacing w:before="40" w:after="40"/>
              <w:jc w:val="both"/>
              <w:rPr>
                <w:rFonts w:ascii="Arial Narrow" w:hAnsi="Arial Narrow"/>
                <w:bCs/>
                <w:sz w:val="16"/>
                <w:lang w:val="en-GB"/>
              </w:rPr>
            </w:pPr>
            <w:r>
              <w:rPr>
                <w:rFonts w:ascii="Arial Narrow" w:hAnsi="Arial Narrow"/>
                <w:bCs/>
                <w:sz w:val="16"/>
              </w:rPr>
              <w:t xml:space="preserve">Τόκοι μετά </w:t>
            </w:r>
            <w:r>
              <w:rPr>
                <w:rFonts w:ascii="Arial Narrow" w:hAnsi="Arial Narrow"/>
                <w:bCs/>
                <w:sz w:val="16"/>
                <w:lang w:val="en-GB"/>
              </w:rPr>
              <w:t>Swap</w:t>
            </w:r>
          </w:p>
        </w:tc>
        <w:tc>
          <w:tcPr>
            <w:tcW w:w="1152"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5.528</w:t>
            </w:r>
          </w:p>
        </w:tc>
        <w:tc>
          <w:tcPr>
            <w:tcW w:w="1080"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5.800</w:t>
            </w:r>
          </w:p>
        </w:tc>
        <w:tc>
          <w:tcPr>
            <w:tcW w:w="1080"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5.588</w:t>
            </w:r>
          </w:p>
        </w:tc>
        <w:tc>
          <w:tcPr>
            <w:tcW w:w="1080" w:type="dxa"/>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6.208</w:t>
            </w:r>
          </w:p>
        </w:tc>
        <w:tc>
          <w:tcPr>
            <w:tcW w:w="1080" w:type="dxa"/>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5.520</w:t>
            </w:r>
          </w:p>
        </w:tc>
        <w:tc>
          <w:tcPr>
            <w:tcW w:w="868" w:type="dxa"/>
            <w:tcBorders>
              <w:right w:val="single" w:sz="4" w:space="0" w:color="auto"/>
            </w:tcBorders>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6.600</w:t>
            </w:r>
          </w:p>
        </w:tc>
      </w:tr>
      <w:tr w:rsidR="007B67B0" w:rsidRPr="0015043C" w:rsidTr="007B67B0">
        <w:trPr>
          <w:trHeight w:val="170"/>
          <w:jc w:val="center"/>
        </w:trPr>
        <w:tc>
          <w:tcPr>
            <w:tcW w:w="2885" w:type="dxa"/>
            <w:tcBorders>
              <w:left w:val="single" w:sz="4" w:space="0" w:color="auto"/>
              <w:bottom w:val="single" w:sz="4" w:space="0" w:color="auto"/>
            </w:tcBorders>
            <w:noWrap/>
            <w:tcMar>
              <w:top w:w="15" w:type="dxa"/>
              <w:left w:w="15" w:type="dxa"/>
              <w:bottom w:w="0" w:type="dxa"/>
              <w:right w:w="15" w:type="dxa"/>
            </w:tcMar>
            <w:vAlign w:val="bottom"/>
          </w:tcPr>
          <w:p w:rsidR="007B67B0" w:rsidRPr="00286FEA" w:rsidRDefault="007B67B0" w:rsidP="0099665D">
            <w:pPr>
              <w:spacing w:before="40" w:after="40"/>
              <w:jc w:val="both"/>
              <w:rPr>
                <w:rFonts w:ascii="Arial Narrow" w:hAnsi="Arial Narrow"/>
                <w:sz w:val="16"/>
              </w:rPr>
            </w:pPr>
            <w:r>
              <w:rPr>
                <w:rFonts w:ascii="Arial Narrow" w:hAnsi="Arial Narrow"/>
                <w:bCs/>
                <w:sz w:val="16"/>
              </w:rPr>
              <w:t xml:space="preserve">Τόκοι μετά </w:t>
            </w:r>
            <w:r>
              <w:rPr>
                <w:rFonts w:ascii="Arial Narrow" w:hAnsi="Arial Narrow"/>
                <w:bCs/>
                <w:sz w:val="16"/>
                <w:lang w:val="en-GB"/>
              </w:rPr>
              <w:t>Swap</w:t>
            </w:r>
            <w:r>
              <w:rPr>
                <w:rFonts w:ascii="Arial Narrow" w:hAnsi="Arial Narrow"/>
                <w:sz w:val="16"/>
              </w:rPr>
              <w:t xml:space="preserve"> </w:t>
            </w:r>
            <w:r w:rsidRPr="00E337AB">
              <w:rPr>
                <w:rFonts w:ascii="Arial Narrow" w:hAnsi="Arial Narrow"/>
                <w:sz w:val="16"/>
              </w:rPr>
              <w:t xml:space="preserve"> </w:t>
            </w:r>
            <w:r>
              <w:rPr>
                <w:rFonts w:ascii="Arial Narrow" w:hAnsi="Arial Narrow"/>
                <w:sz w:val="16"/>
              </w:rPr>
              <w:t>ως % του ΑΕΠ</w:t>
            </w:r>
          </w:p>
        </w:tc>
        <w:tc>
          <w:tcPr>
            <w:tcW w:w="1152" w:type="dxa"/>
            <w:tcBorders>
              <w:bottom w:val="single" w:sz="4" w:space="0" w:color="auto"/>
            </w:tcBorders>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3,1%</w:t>
            </w:r>
          </w:p>
        </w:tc>
        <w:tc>
          <w:tcPr>
            <w:tcW w:w="1080" w:type="dxa"/>
            <w:tcBorders>
              <w:bottom w:val="single" w:sz="4" w:space="0" w:color="auto"/>
            </w:tcBorders>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3,3%</w:t>
            </w:r>
          </w:p>
        </w:tc>
        <w:tc>
          <w:tcPr>
            <w:tcW w:w="1080" w:type="dxa"/>
            <w:tcBorders>
              <w:bottom w:val="single" w:sz="4" w:space="0" w:color="auto"/>
            </w:tcBorders>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3,2%</w:t>
            </w:r>
          </w:p>
        </w:tc>
        <w:tc>
          <w:tcPr>
            <w:tcW w:w="1080" w:type="dxa"/>
            <w:tcBorders>
              <w:bottom w:val="single" w:sz="4" w:space="0" w:color="auto"/>
            </w:tcBorders>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3,4%</w:t>
            </w:r>
          </w:p>
        </w:tc>
        <w:tc>
          <w:tcPr>
            <w:tcW w:w="1080" w:type="dxa"/>
            <w:tcBorders>
              <w:bottom w:val="single" w:sz="4" w:space="0" w:color="auto"/>
            </w:tcBorders>
            <w:noWrap/>
            <w:tcMar>
              <w:top w:w="15" w:type="dxa"/>
              <w:left w:w="15" w:type="dxa"/>
              <w:bottom w:w="0" w:type="dxa"/>
              <w:right w:w="15" w:type="dxa"/>
            </w:tcMar>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3,0%</w:t>
            </w:r>
          </w:p>
        </w:tc>
        <w:tc>
          <w:tcPr>
            <w:tcW w:w="868" w:type="dxa"/>
            <w:tcBorders>
              <w:bottom w:val="single" w:sz="4" w:space="0" w:color="auto"/>
              <w:right w:val="single" w:sz="4" w:space="0" w:color="auto"/>
            </w:tcBorders>
            <w:vAlign w:val="center"/>
          </w:tcPr>
          <w:p w:rsidR="007B67B0" w:rsidRDefault="007B67B0" w:rsidP="007B67B0">
            <w:pPr>
              <w:jc w:val="center"/>
              <w:rPr>
                <w:rFonts w:ascii="Arial Narrow" w:hAnsi="Arial Narrow" w:cs="Arial"/>
                <w:sz w:val="16"/>
                <w:szCs w:val="16"/>
              </w:rPr>
            </w:pPr>
            <w:r>
              <w:rPr>
                <w:rFonts w:ascii="Arial Narrow" w:hAnsi="Arial Narrow" w:cs="Arial"/>
                <w:sz w:val="16"/>
                <w:szCs w:val="16"/>
              </w:rPr>
              <w:t>3,4%</w:t>
            </w:r>
          </w:p>
        </w:tc>
      </w:tr>
    </w:tbl>
    <w:p w:rsidR="00E337AB" w:rsidRPr="0015043C" w:rsidRDefault="00E337AB" w:rsidP="00E337AB">
      <w:pPr>
        <w:tabs>
          <w:tab w:val="left" w:pos="1660"/>
          <w:tab w:val="left" w:pos="2740"/>
          <w:tab w:val="left" w:pos="3820"/>
          <w:tab w:val="left" w:pos="4900"/>
          <w:tab w:val="left" w:pos="5980"/>
          <w:tab w:val="left" w:pos="7060"/>
        </w:tabs>
        <w:rPr>
          <w:rFonts w:ascii="Arial Narrow" w:hAnsi="Arial Narrow"/>
          <w:sz w:val="16"/>
          <w:szCs w:val="16"/>
        </w:rPr>
      </w:pPr>
      <w:r w:rsidRPr="0015043C">
        <w:rPr>
          <w:rFonts w:ascii="Arial Narrow" w:hAnsi="Arial Narrow"/>
          <w:sz w:val="16"/>
          <w:szCs w:val="16"/>
        </w:rPr>
        <w:t xml:space="preserve"> *  Εκτιμήσεις     **  Προβλέψεις</w:t>
      </w:r>
    </w:p>
    <w:p w:rsidR="00E337AB" w:rsidRDefault="00E337AB" w:rsidP="00E337AB">
      <w:pPr>
        <w:tabs>
          <w:tab w:val="left" w:pos="180"/>
        </w:tabs>
        <w:jc w:val="both"/>
        <w:rPr>
          <w:rFonts w:ascii="Arial Narrow" w:hAnsi="Arial Narrow"/>
          <w:sz w:val="16"/>
          <w:szCs w:val="16"/>
        </w:rPr>
      </w:pPr>
      <w:bookmarkStart w:id="0" w:name="OLE_LINK1"/>
      <w:bookmarkStart w:id="1" w:name="OLE_LINK2"/>
      <w:r w:rsidRPr="0015043C">
        <w:rPr>
          <w:rFonts w:ascii="Arial Narrow" w:hAnsi="Arial Narrow"/>
          <w:sz w:val="16"/>
          <w:szCs w:val="16"/>
        </w:rPr>
        <w:t xml:space="preserve">Πηγή:  </w:t>
      </w:r>
      <w:r>
        <w:rPr>
          <w:rFonts w:ascii="Arial Narrow" w:hAnsi="Arial Narrow"/>
          <w:sz w:val="16"/>
          <w:szCs w:val="16"/>
        </w:rPr>
        <w:t>ΟΔΔΗΧ</w:t>
      </w:r>
    </w:p>
    <w:bookmarkEnd w:id="0"/>
    <w:bookmarkEnd w:id="1"/>
    <w:p w:rsidR="00E337AB" w:rsidRDefault="00E337AB" w:rsidP="00E337AB">
      <w:pPr>
        <w:tabs>
          <w:tab w:val="left" w:pos="180"/>
        </w:tabs>
        <w:jc w:val="both"/>
        <w:rPr>
          <w:sz w:val="16"/>
          <w:szCs w:val="16"/>
        </w:rPr>
      </w:pPr>
    </w:p>
    <w:p w:rsidR="0055795E" w:rsidRDefault="0055795E" w:rsidP="0055795E">
      <w:pPr>
        <w:tabs>
          <w:tab w:val="left" w:pos="180"/>
        </w:tabs>
        <w:jc w:val="both"/>
        <w:rPr>
          <w:sz w:val="16"/>
          <w:szCs w:val="16"/>
        </w:rPr>
      </w:pPr>
    </w:p>
    <w:p w:rsidR="0055795E" w:rsidRPr="009C2F54" w:rsidRDefault="0055795E" w:rsidP="0055795E">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5</w:t>
      </w:r>
      <w:r w:rsidRPr="009C2F54">
        <w:rPr>
          <w:rFonts w:ascii="Arial Narrow" w:hAnsi="Arial Narrow"/>
          <w:b/>
          <w:bCs/>
          <w:color w:val="FFFFFF"/>
          <w:sz w:val="26"/>
          <w:szCs w:val="22"/>
        </w:rPr>
        <w:t>.</w:t>
      </w:r>
      <w:r w:rsidRPr="009C2F54">
        <w:rPr>
          <w:rFonts w:ascii="Arial Narrow" w:hAnsi="Arial Narrow"/>
          <w:b/>
          <w:bCs/>
          <w:color w:val="FFFFFF"/>
          <w:sz w:val="26"/>
          <w:szCs w:val="22"/>
        </w:rPr>
        <w:tab/>
      </w:r>
      <w:r>
        <w:rPr>
          <w:rFonts w:ascii="Arial Narrow" w:hAnsi="Arial Narrow"/>
          <w:b/>
          <w:bCs/>
          <w:color w:val="FFFFFF"/>
          <w:sz w:val="26"/>
          <w:szCs w:val="22"/>
        </w:rPr>
        <w:t>Η ενοποιημένη αγορά ευρωομολόγων</w:t>
      </w:r>
    </w:p>
    <w:p w:rsidR="0055795E" w:rsidRPr="006E6670" w:rsidRDefault="0055795E" w:rsidP="0055795E">
      <w:pPr>
        <w:tabs>
          <w:tab w:val="left" w:pos="180"/>
        </w:tabs>
        <w:jc w:val="both"/>
        <w:rPr>
          <w:sz w:val="22"/>
          <w:szCs w:val="22"/>
        </w:rPr>
      </w:pPr>
    </w:p>
    <w:p w:rsidR="0055795E" w:rsidRPr="00492CB8" w:rsidRDefault="0055795E" w:rsidP="0055795E">
      <w:pPr>
        <w:jc w:val="both"/>
        <w:rPr>
          <w:bCs/>
          <w:sz w:val="22"/>
          <w:szCs w:val="22"/>
        </w:rPr>
      </w:pPr>
      <w:r w:rsidRPr="00661E00">
        <w:rPr>
          <w:bCs/>
          <w:sz w:val="22"/>
          <w:szCs w:val="22"/>
        </w:rPr>
        <w:t>Από τα τέλη Οκτωβρίου του 2017 τ</w:t>
      </w:r>
      <w:r w:rsidRPr="00661E00">
        <w:rPr>
          <w:bCs/>
          <w:sz w:val="22"/>
          <w:szCs w:val="22"/>
          <w:lang w:val="en-US"/>
        </w:rPr>
        <w:t>o</w:t>
      </w:r>
      <w:r w:rsidRPr="00661E00">
        <w:rPr>
          <w:bCs/>
          <w:sz w:val="22"/>
          <w:szCs w:val="22"/>
        </w:rPr>
        <w:t xml:space="preserve"> πρόγραμμα ποσοτικής χαλάρωσης (</w:t>
      </w:r>
      <w:r w:rsidRPr="00661E00">
        <w:rPr>
          <w:bCs/>
          <w:sz w:val="22"/>
          <w:szCs w:val="22"/>
          <w:lang w:val="en-US"/>
        </w:rPr>
        <w:t>quantitative</w:t>
      </w:r>
      <w:r w:rsidRPr="00661E00">
        <w:rPr>
          <w:bCs/>
          <w:sz w:val="22"/>
          <w:szCs w:val="22"/>
        </w:rPr>
        <w:t xml:space="preserve"> </w:t>
      </w:r>
      <w:r w:rsidRPr="00661E00">
        <w:rPr>
          <w:bCs/>
          <w:sz w:val="22"/>
          <w:szCs w:val="22"/>
          <w:lang w:val="en-US"/>
        </w:rPr>
        <w:t>easing</w:t>
      </w:r>
      <w:r w:rsidRPr="00661E00">
        <w:rPr>
          <w:bCs/>
          <w:sz w:val="22"/>
          <w:szCs w:val="22"/>
        </w:rPr>
        <w:t>) της Ε</w:t>
      </w:r>
      <w:r w:rsidRPr="00661E00">
        <w:rPr>
          <w:bCs/>
          <w:sz w:val="22"/>
          <w:szCs w:val="22"/>
        </w:rPr>
        <w:t>υ</w:t>
      </w:r>
      <w:r w:rsidRPr="00661E00">
        <w:rPr>
          <w:bCs/>
          <w:sz w:val="22"/>
          <w:szCs w:val="22"/>
        </w:rPr>
        <w:t>ρωπαϊκής Κεντρικής Τράπεζας αναπροσαρμόσθηκε, με τις μηνιαίες αγορές ομολόγων να διαμορφ</w:t>
      </w:r>
      <w:r w:rsidRPr="00661E00">
        <w:rPr>
          <w:bCs/>
          <w:sz w:val="22"/>
          <w:szCs w:val="22"/>
        </w:rPr>
        <w:t>ώ</w:t>
      </w:r>
      <w:r w:rsidRPr="00661E00">
        <w:rPr>
          <w:bCs/>
          <w:sz w:val="22"/>
          <w:szCs w:val="22"/>
        </w:rPr>
        <w:t>νονται σε 30 δισ. ευρώ έως τον Σεπτέμβριο του 2018. Οι συνολικές αγορές κρατικών χρεογράφων από την έναρξη του προγράμματος, τον Μάρτιο του 2015, έχουν ήδη ξεπεράσει τα 2,1 τρισ. ευρώ. Οι απ</w:t>
      </w:r>
      <w:r w:rsidRPr="00661E00">
        <w:rPr>
          <w:bCs/>
          <w:sz w:val="22"/>
          <w:szCs w:val="22"/>
        </w:rPr>
        <w:t>ο</w:t>
      </w:r>
      <w:r w:rsidRPr="00661E00">
        <w:rPr>
          <w:bCs/>
          <w:sz w:val="22"/>
          <w:szCs w:val="22"/>
        </w:rPr>
        <w:t>δόσεις των βραχυπρόθεσμων και μεσοπρόθεσμων τίτλων των χωρών του στενού πυρήνα της ευρωζ</w:t>
      </w:r>
      <w:r w:rsidRPr="00661E00">
        <w:rPr>
          <w:bCs/>
          <w:sz w:val="22"/>
          <w:szCs w:val="22"/>
        </w:rPr>
        <w:t>ώ</w:t>
      </w:r>
      <w:r w:rsidRPr="00661E00">
        <w:rPr>
          <w:bCs/>
          <w:sz w:val="22"/>
          <w:szCs w:val="22"/>
        </w:rPr>
        <w:t>νης κινούνται και φέτος σε αρνητικά επίπεδα, ενώ οι αποδόσεις των δεκαετών ομολόγων τους εξακ</w:t>
      </w:r>
      <w:r w:rsidRPr="00661E00">
        <w:rPr>
          <w:bCs/>
          <w:sz w:val="22"/>
          <w:szCs w:val="22"/>
        </w:rPr>
        <w:t>ο</w:t>
      </w:r>
      <w:r w:rsidRPr="00661E00">
        <w:rPr>
          <w:bCs/>
          <w:sz w:val="22"/>
          <w:szCs w:val="22"/>
        </w:rPr>
        <w:t>λουθούν να διαμορφώνονται κάτω του 1%.</w:t>
      </w:r>
    </w:p>
    <w:p w:rsidR="0055795E" w:rsidRPr="006E6670" w:rsidRDefault="0055795E" w:rsidP="0055795E">
      <w:pPr>
        <w:jc w:val="both"/>
        <w:rPr>
          <w:sz w:val="22"/>
          <w:szCs w:val="22"/>
        </w:rPr>
      </w:pPr>
    </w:p>
    <w:p w:rsidR="0055795E" w:rsidRPr="009C2F54" w:rsidRDefault="0055795E" w:rsidP="0055795E">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6</w:t>
      </w:r>
      <w:r w:rsidRPr="009C2F54">
        <w:rPr>
          <w:rFonts w:ascii="Arial Narrow" w:hAnsi="Arial Narrow"/>
          <w:b/>
          <w:bCs/>
          <w:color w:val="FFFFFF"/>
          <w:sz w:val="26"/>
          <w:szCs w:val="22"/>
        </w:rPr>
        <w:t>.</w:t>
      </w:r>
      <w:r w:rsidRPr="009C2F54">
        <w:rPr>
          <w:rFonts w:ascii="Arial Narrow" w:hAnsi="Arial Narrow"/>
          <w:b/>
          <w:bCs/>
          <w:color w:val="FFFFFF"/>
          <w:sz w:val="26"/>
          <w:szCs w:val="22"/>
        </w:rPr>
        <w:tab/>
      </w:r>
      <w:r>
        <w:rPr>
          <w:rFonts w:ascii="Arial Narrow" w:hAnsi="Arial Narrow"/>
          <w:b/>
          <w:bCs/>
          <w:color w:val="FFFFFF"/>
          <w:sz w:val="26"/>
          <w:szCs w:val="22"/>
        </w:rPr>
        <w:t xml:space="preserve">Αγορά </w:t>
      </w:r>
      <w:r w:rsidRPr="009C2F54">
        <w:rPr>
          <w:rFonts w:ascii="Arial Narrow" w:hAnsi="Arial Narrow"/>
          <w:b/>
          <w:bCs/>
          <w:color w:val="FFFFFF"/>
          <w:sz w:val="26"/>
          <w:szCs w:val="22"/>
        </w:rPr>
        <w:t>τίτλων του Ελληνικού Δημοσίου</w:t>
      </w:r>
    </w:p>
    <w:p w:rsidR="0055795E" w:rsidRDefault="0055795E" w:rsidP="0055795E">
      <w:pPr>
        <w:jc w:val="both"/>
        <w:rPr>
          <w:sz w:val="20"/>
          <w:szCs w:val="22"/>
        </w:rPr>
      </w:pPr>
    </w:p>
    <w:p w:rsidR="0055795E" w:rsidRPr="00492CB8" w:rsidRDefault="0055795E" w:rsidP="000B2AEF">
      <w:pPr>
        <w:pStyle w:val="a9"/>
        <w:tabs>
          <w:tab w:val="left" w:pos="9355"/>
        </w:tabs>
        <w:spacing w:after="0"/>
        <w:jc w:val="both"/>
        <w:rPr>
          <w:bCs/>
          <w:sz w:val="22"/>
          <w:szCs w:val="22"/>
        </w:rPr>
      </w:pPr>
      <w:r w:rsidRPr="00402550">
        <w:rPr>
          <w:bCs/>
          <w:sz w:val="22"/>
          <w:szCs w:val="22"/>
        </w:rPr>
        <w:t>Το βραχυχρόνιο κόστος δανεισμού του ΕΔ, όπως αποτυπώνεται στις δημοπρασίες εντόκων γραμματ</w:t>
      </w:r>
      <w:r w:rsidRPr="00402550">
        <w:rPr>
          <w:bCs/>
          <w:sz w:val="22"/>
          <w:szCs w:val="22"/>
        </w:rPr>
        <w:t>ί</w:t>
      </w:r>
      <w:r w:rsidRPr="00402550">
        <w:rPr>
          <w:bCs/>
          <w:sz w:val="22"/>
          <w:szCs w:val="22"/>
        </w:rPr>
        <w:t xml:space="preserve">ων 13, 26 και </w:t>
      </w:r>
      <w:r w:rsidR="00757859">
        <w:rPr>
          <w:bCs/>
          <w:sz w:val="22"/>
          <w:szCs w:val="22"/>
        </w:rPr>
        <w:t>52 εβδομάδων, κινείται κοντά σε</w:t>
      </w:r>
      <w:r w:rsidRPr="00402550">
        <w:rPr>
          <w:bCs/>
          <w:sz w:val="22"/>
          <w:szCs w:val="22"/>
        </w:rPr>
        <w:t xml:space="preserve"> ιστορικά χαμηλά επίπεδα. Στις δημοπρασίες του Σε</w:t>
      </w:r>
      <w:r w:rsidRPr="00402550">
        <w:rPr>
          <w:bCs/>
          <w:sz w:val="22"/>
          <w:szCs w:val="22"/>
        </w:rPr>
        <w:t>π</w:t>
      </w:r>
      <w:r w:rsidRPr="00402550">
        <w:rPr>
          <w:bCs/>
          <w:sz w:val="22"/>
          <w:szCs w:val="22"/>
        </w:rPr>
        <w:t>τεμβρίου του 2018 αυτό διαμορφώθηκε στο 0,65% για τα τρίμηνα, 0,85% για τα εξάμηνα και 1,09% για τα ετήσια έντοκα γραμμάτια</w:t>
      </w:r>
      <w:r w:rsidR="0099665D">
        <w:rPr>
          <w:bCs/>
          <w:sz w:val="22"/>
          <w:szCs w:val="22"/>
        </w:rPr>
        <w:t>,</w:t>
      </w:r>
      <w:r w:rsidRPr="00402550">
        <w:rPr>
          <w:bCs/>
          <w:sz w:val="22"/>
          <w:szCs w:val="22"/>
        </w:rPr>
        <w:t xml:space="preserve"> γεγονός που οφείλεται στη βελτίωση του επενδυτικού κλίματος μετά την ολοκλήρωση της τέταρτης αξιολόγησης και την εκταμίευση της τελευταίας δόσης από τον </w:t>
      </w:r>
      <w:r w:rsidRPr="00402550">
        <w:rPr>
          <w:bCs/>
          <w:sz w:val="22"/>
          <w:szCs w:val="22"/>
          <w:lang w:val="en-US"/>
        </w:rPr>
        <w:t>ESM</w:t>
      </w:r>
      <w:r w:rsidRPr="00402550">
        <w:rPr>
          <w:bCs/>
          <w:sz w:val="22"/>
          <w:szCs w:val="22"/>
        </w:rPr>
        <w:t>, καθώς επίσης και στην περαιτέρω βελτίωση του σχήματος της ελληνικής καμπύλης αποδόσεων</w:t>
      </w:r>
      <w:r w:rsidR="0099665D">
        <w:rPr>
          <w:bCs/>
          <w:sz w:val="22"/>
          <w:szCs w:val="22"/>
        </w:rPr>
        <w:t>,</w:t>
      </w:r>
      <w:r w:rsidRPr="00402550">
        <w:rPr>
          <w:bCs/>
          <w:sz w:val="22"/>
          <w:szCs w:val="22"/>
        </w:rPr>
        <w:t xml:space="preserve"> μετά την επιτυχημένη έξοδο της χώρας στις αγορές τον Φεβρουάριο</w:t>
      </w:r>
      <w:r w:rsidR="00757859">
        <w:rPr>
          <w:bCs/>
          <w:sz w:val="22"/>
          <w:szCs w:val="22"/>
        </w:rPr>
        <w:t xml:space="preserve"> του 2018</w:t>
      </w:r>
      <w:r w:rsidRPr="00402550">
        <w:rPr>
          <w:bCs/>
          <w:sz w:val="22"/>
          <w:szCs w:val="22"/>
        </w:rPr>
        <w:t>.</w:t>
      </w:r>
    </w:p>
    <w:p w:rsidR="000B2AEF" w:rsidRPr="00B435D9" w:rsidRDefault="000B2AEF" w:rsidP="000B2AEF">
      <w:pPr>
        <w:pStyle w:val="a9"/>
        <w:tabs>
          <w:tab w:val="left" w:pos="9355"/>
        </w:tabs>
        <w:spacing w:after="0"/>
        <w:jc w:val="both"/>
        <w:rPr>
          <w:bCs/>
          <w:sz w:val="22"/>
          <w:szCs w:val="22"/>
        </w:rPr>
      </w:pPr>
    </w:p>
    <w:p w:rsidR="0055795E" w:rsidRPr="00492CB8" w:rsidRDefault="0055795E" w:rsidP="000B2AEF">
      <w:pPr>
        <w:pStyle w:val="a9"/>
        <w:tabs>
          <w:tab w:val="left" w:pos="9355"/>
        </w:tabs>
        <w:spacing w:after="0"/>
        <w:jc w:val="both"/>
        <w:rPr>
          <w:bCs/>
          <w:sz w:val="22"/>
          <w:szCs w:val="22"/>
        </w:rPr>
      </w:pPr>
      <w:r w:rsidRPr="00492CB8">
        <w:rPr>
          <w:bCs/>
          <w:sz w:val="22"/>
          <w:szCs w:val="22"/>
        </w:rPr>
        <w:t>Η καμπύλη αποδόσεων του ΕΔ</w:t>
      </w:r>
      <w:r w:rsidR="00757859">
        <w:rPr>
          <w:bCs/>
          <w:sz w:val="22"/>
          <w:szCs w:val="22"/>
        </w:rPr>
        <w:t xml:space="preserve"> εμφανίζει</w:t>
      </w:r>
      <w:r w:rsidRPr="00492CB8">
        <w:rPr>
          <w:bCs/>
          <w:sz w:val="22"/>
          <w:szCs w:val="22"/>
        </w:rPr>
        <w:t xml:space="preserve"> θετική κλίση </w:t>
      </w:r>
      <w:r>
        <w:rPr>
          <w:bCs/>
          <w:sz w:val="22"/>
          <w:szCs w:val="22"/>
        </w:rPr>
        <w:t xml:space="preserve">τόσο </w:t>
      </w:r>
      <w:r w:rsidRPr="00492CB8">
        <w:rPr>
          <w:bCs/>
          <w:sz w:val="22"/>
          <w:szCs w:val="22"/>
        </w:rPr>
        <w:t>για</w:t>
      </w:r>
      <w:r>
        <w:rPr>
          <w:bCs/>
          <w:sz w:val="22"/>
          <w:szCs w:val="22"/>
        </w:rPr>
        <w:t xml:space="preserve"> βραχυπρόθεσμες και </w:t>
      </w:r>
      <w:r w:rsidRPr="00492CB8">
        <w:rPr>
          <w:bCs/>
          <w:sz w:val="22"/>
          <w:szCs w:val="22"/>
        </w:rPr>
        <w:t>μεσοπρό</w:t>
      </w:r>
      <w:r>
        <w:rPr>
          <w:bCs/>
          <w:sz w:val="22"/>
          <w:szCs w:val="22"/>
        </w:rPr>
        <w:t>θεσμες, όσο</w:t>
      </w:r>
      <w:r w:rsidRPr="00492CB8">
        <w:rPr>
          <w:bCs/>
          <w:sz w:val="22"/>
          <w:szCs w:val="22"/>
        </w:rPr>
        <w:t xml:space="preserve"> και για μακροπρόθεσμες διάρκειες</w:t>
      </w:r>
      <w:r w:rsidR="0099665D">
        <w:rPr>
          <w:bCs/>
          <w:sz w:val="22"/>
          <w:szCs w:val="22"/>
        </w:rPr>
        <w:t>,</w:t>
      </w:r>
      <w:r w:rsidRPr="00492CB8">
        <w:rPr>
          <w:bCs/>
          <w:sz w:val="22"/>
          <w:szCs w:val="22"/>
        </w:rPr>
        <w:t xml:space="preserve"> μέχρι 2</w:t>
      </w:r>
      <w:r>
        <w:rPr>
          <w:bCs/>
          <w:sz w:val="22"/>
          <w:szCs w:val="22"/>
        </w:rPr>
        <w:t>5</w:t>
      </w:r>
      <w:r w:rsidR="00757859">
        <w:rPr>
          <w:bCs/>
          <w:sz w:val="22"/>
          <w:szCs w:val="22"/>
        </w:rPr>
        <w:t xml:space="preserve"> έτη (διάγραμμα 4.3</w:t>
      </w:r>
      <w:r w:rsidRPr="00492CB8">
        <w:rPr>
          <w:bCs/>
          <w:sz w:val="22"/>
          <w:szCs w:val="22"/>
        </w:rPr>
        <w:t>).</w:t>
      </w:r>
    </w:p>
    <w:p w:rsidR="0025305A" w:rsidRPr="009D29B2" w:rsidRDefault="0025305A" w:rsidP="0025305A">
      <w:pPr>
        <w:pStyle w:val="a9"/>
        <w:tabs>
          <w:tab w:val="left" w:pos="9355"/>
        </w:tabs>
        <w:jc w:val="both"/>
        <w:rPr>
          <w:sz w:val="22"/>
          <w:szCs w:val="22"/>
        </w:rPr>
      </w:pPr>
    </w:p>
    <w:tbl>
      <w:tblPr>
        <w:tblW w:w="0" w:type="auto"/>
        <w:tblLook w:val="01E0"/>
      </w:tblPr>
      <w:tblGrid>
        <w:gridCol w:w="9287"/>
      </w:tblGrid>
      <w:tr w:rsidR="0025305A" w:rsidRPr="0015043C" w:rsidTr="0099665D">
        <w:tc>
          <w:tcPr>
            <w:tcW w:w="9287" w:type="dxa"/>
            <w:shd w:val="clear" w:color="auto" w:fill="404040" w:themeFill="text1" w:themeFillTint="BF"/>
          </w:tcPr>
          <w:p w:rsidR="0025305A" w:rsidRPr="0015043C" w:rsidRDefault="00757859" w:rsidP="0099665D">
            <w:pPr>
              <w:pStyle w:val="a9"/>
              <w:tabs>
                <w:tab w:val="left" w:pos="9355"/>
              </w:tabs>
              <w:spacing w:before="120"/>
              <w:jc w:val="center"/>
            </w:pPr>
            <w:r>
              <w:rPr>
                <w:rFonts w:ascii="Arial Narrow" w:hAnsi="Arial Narrow"/>
                <w:b/>
                <w:color w:val="FFFFFF"/>
                <w:szCs w:val="22"/>
              </w:rPr>
              <w:t>Διάγραμμα 4.3</w:t>
            </w:r>
            <w:r w:rsidR="0025305A" w:rsidRPr="0015043C">
              <w:rPr>
                <w:rFonts w:ascii="Arial Narrow" w:hAnsi="Arial Narrow"/>
                <w:b/>
                <w:color w:val="FFFFFF"/>
                <w:szCs w:val="22"/>
              </w:rPr>
              <w:t xml:space="preserve">   Καμπύλη αποδόσεων τίτλων Ελληνικού Δημοσίου</w:t>
            </w:r>
          </w:p>
        </w:tc>
      </w:tr>
      <w:tr w:rsidR="0025305A" w:rsidRPr="0015043C" w:rsidTr="0099665D">
        <w:tc>
          <w:tcPr>
            <w:tcW w:w="9287" w:type="dxa"/>
          </w:tcPr>
          <w:p w:rsidR="0025305A" w:rsidRPr="0015043C" w:rsidRDefault="0025305A" w:rsidP="0099665D">
            <w:pPr>
              <w:pStyle w:val="a9"/>
              <w:tabs>
                <w:tab w:val="left" w:pos="9355"/>
              </w:tabs>
              <w:spacing w:before="120" w:after="0"/>
              <w:jc w:val="center"/>
            </w:pPr>
            <w:r w:rsidRPr="0025305A">
              <w:rPr>
                <w:noProof/>
              </w:rPr>
              <w:drawing>
                <wp:inline distT="0" distB="0" distL="0" distR="0">
                  <wp:extent cx="4635796" cy="2011680"/>
                  <wp:effectExtent l="0" t="0" r="0" b="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25305A" w:rsidRPr="0015043C" w:rsidRDefault="0025305A" w:rsidP="0025305A">
      <w:pPr>
        <w:tabs>
          <w:tab w:val="left" w:pos="180"/>
        </w:tabs>
        <w:jc w:val="both"/>
        <w:rPr>
          <w:rFonts w:ascii="Arial Narrow" w:hAnsi="Arial Narrow"/>
          <w:sz w:val="16"/>
          <w:szCs w:val="16"/>
        </w:rPr>
      </w:pPr>
      <w:bookmarkStart w:id="2" w:name="OLE_LINK5"/>
      <w:bookmarkStart w:id="3" w:name="OLE_LINK6"/>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bookmarkEnd w:id="2"/>
    <w:bookmarkEnd w:id="3"/>
    <w:p w:rsidR="003641B2" w:rsidRDefault="003641B2" w:rsidP="003641B2">
      <w:pPr>
        <w:jc w:val="both"/>
        <w:rPr>
          <w:bCs/>
          <w:sz w:val="22"/>
          <w:szCs w:val="22"/>
        </w:rPr>
      </w:pPr>
      <w:r w:rsidRPr="00531A91">
        <w:rPr>
          <w:bCs/>
          <w:sz w:val="22"/>
          <w:szCs w:val="22"/>
        </w:rPr>
        <w:lastRenderedPageBreak/>
        <w:t>Μετά το τέλος Αυγούστου</w:t>
      </w:r>
      <w:r w:rsidR="0099665D">
        <w:rPr>
          <w:bCs/>
          <w:sz w:val="22"/>
          <w:szCs w:val="22"/>
        </w:rPr>
        <w:t>,</w:t>
      </w:r>
      <w:r w:rsidRPr="00531A91">
        <w:rPr>
          <w:bCs/>
          <w:sz w:val="22"/>
          <w:szCs w:val="22"/>
        </w:rPr>
        <w:t xml:space="preserve"> </w:t>
      </w:r>
      <w:r w:rsidR="005F7101">
        <w:rPr>
          <w:bCs/>
          <w:sz w:val="22"/>
          <w:szCs w:val="22"/>
        </w:rPr>
        <w:t xml:space="preserve">η απόδοση </w:t>
      </w:r>
      <w:r w:rsidR="00763F63">
        <w:rPr>
          <w:bCs/>
          <w:sz w:val="22"/>
          <w:szCs w:val="22"/>
        </w:rPr>
        <w:t>του δεκαετούς ελληνικού ομολόγου, παρότι ευμετάβλητη εξα</w:t>
      </w:r>
      <w:r w:rsidR="00763F63">
        <w:rPr>
          <w:bCs/>
          <w:sz w:val="22"/>
          <w:szCs w:val="22"/>
        </w:rPr>
        <w:t>ι</w:t>
      </w:r>
      <w:r w:rsidR="00763F63">
        <w:rPr>
          <w:bCs/>
          <w:sz w:val="22"/>
          <w:szCs w:val="22"/>
        </w:rPr>
        <w:t>τίας του δυσμενούς διεθνούς περιβάλλοντος, διατηρείται σε σημαντικά χαμηλότερα επίπεδα από αυτά των προηγούμενων ετών και αντίστοιχα με τα επίπεδα της εξαετίας 2002-2008.</w:t>
      </w:r>
    </w:p>
    <w:p w:rsidR="005F7101" w:rsidRPr="00492CB8" w:rsidRDefault="005F7101" w:rsidP="003641B2">
      <w:pPr>
        <w:jc w:val="both"/>
        <w:rPr>
          <w:bCs/>
          <w:sz w:val="22"/>
          <w:szCs w:val="22"/>
        </w:rPr>
      </w:pPr>
    </w:p>
    <w:p w:rsidR="00B11D04" w:rsidRDefault="00B11D04" w:rsidP="00B11D04">
      <w:pPr>
        <w:jc w:val="both"/>
        <w:rPr>
          <w:bCs/>
          <w:sz w:val="22"/>
          <w:szCs w:val="22"/>
        </w:rPr>
      </w:pPr>
      <w:r w:rsidRPr="00B11D04">
        <w:rPr>
          <w:bCs/>
          <w:sz w:val="22"/>
          <w:szCs w:val="22"/>
        </w:rPr>
        <w:t>Κατά τη διάρκ</w:t>
      </w:r>
      <w:r w:rsidR="00763F63">
        <w:rPr>
          <w:bCs/>
          <w:sz w:val="22"/>
          <w:szCs w:val="22"/>
        </w:rPr>
        <w:t>εια του 2018 οι αποδόσεις των δεκα</w:t>
      </w:r>
      <w:r w:rsidRPr="00B11D04">
        <w:rPr>
          <w:bCs/>
          <w:sz w:val="22"/>
          <w:szCs w:val="22"/>
        </w:rPr>
        <w:t>ετών κρατικών τίτλων των υπολοίπων χωρών του νότου της Ευρωζώνης, όπως η Πορτογαλία και η Ισπανία, πλην της Ιταλίας, καθώς και χωρών όπως το Βέλγιο, η Ιρλανδία και η Γαλλία, εξακολούθησαν να διαμορφώνονται κοντά στα ιστορικά χα</w:t>
      </w:r>
      <w:r w:rsidR="00763F63">
        <w:rPr>
          <w:bCs/>
          <w:sz w:val="22"/>
          <w:szCs w:val="22"/>
        </w:rPr>
        <w:t>μηλά τους επίπεδα (διάγραμμα 4.4</w:t>
      </w:r>
      <w:r w:rsidRPr="00B11D04">
        <w:rPr>
          <w:bCs/>
          <w:sz w:val="22"/>
          <w:szCs w:val="22"/>
        </w:rPr>
        <w:t>).</w:t>
      </w:r>
    </w:p>
    <w:p w:rsidR="00776A44" w:rsidRPr="00B11D04" w:rsidRDefault="00776A44" w:rsidP="00B11D04">
      <w:pPr>
        <w:jc w:val="both"/>
        <w:rPr>
          <w:bCs/>
          <w:sz w:val="22"/>
          <w:szCs w:val="22"/>
        </w:rPr>
      </w:pPr>
    </w:p>
    <w:p w:rsidR="003641B2" w:rsidRPr="00B435D9" w:rsidRDefault="003641B2" w:rsidP="003641B2">
      <w:pPr>
        <w:jc w:val="both"/>
        <w:rPr>
          <w:bCs/>
          <w:sz w:val="22"/>
          <w:szCs w:val="22"/>
        </w:rPr>
      </w:pPr>
    </w:p>
    <w:tbl>
      <w:tblPr>
        <w:tblW w:w="0" w:type="auto"/>
        <w:tblLook w:val="01E0"/>
      </w:tblPr>
      <w:tblGrid>
        <w:gridCol w:w="9287"/>
      </w:tblGrid>
      <w:tr w:rsidR="003641B2" w:rsidRPr="0015043C" w:rsidTr="0099665D">
        <w:tc>
          <w:tcPr>
            <w:tcW w:w="9287" w:type="dxa"/>
            <w:shd w:val="clear" w:color="auto" w:fill="404040" w:themeFill="text1" w:themeFillTint="BF"/>
          </w:tcPr>
          <w:p w:rsidR="003641B2" w:rsidRDefault="008A318A" w:rsidP="0099665D">
            <w:pPr>
              <w:pStyle w:val="a9"/>
              <w:tabs>
                <w:tab w:val="left" w:pos="9355"/>
              </w:tabs>
              <w:spacing w:before="120" w:after="0"/>
              <w:jc w:val="center"/>
              <w:rPr>
                <w:rFonts w:ascii="Arial Narrow" w:hAnsi="Arial Narrow"/>
                <w:b/>
                <w:color w:val="FFFFFF"/>
                <w:szCs w:val="22"/>
              </w:rPr>
            </w:pPr>
            <w:r>
              <w:rPr>
                <w:rFonts w:ascii="Arial Narrow" w:hAnsi="Arial Narrow"/>
                <w:b/>
                <w:color w:val="FFFFFF"/>
                <w:szCs w:val="22"/>
              </w:rPr>
              <w:t>Διάγραμμα 4.4</w:t>
            </w:r>
            <w:r w:rsidR="003641B2" w:rsidRPr="0015043C">
              <w:rPr>
                <w:rFonts w:ascii="Arial Narrow" w:hAnsi="Arial Narrow"/>
                <w:b/>
                <w:color w:val="FFFFFF"/>
                <w:szCs w:val="22"/>
              </w:rPr>
              <w:t xml:space="preserve">   </w:t>
            </w:r>
            <w:r w:rsidR="003641B2">
              <w:rPr>
                <w:rFonts w:ascii="Arial Narrow" w:hAnsi="Arial Narrow"/>
                <w:b/>
                <w:color w:val="FFFFFF"/>
                <w:szCs w:val="22"/>
              </w:rPr>
              <w:t>Αποδόσεις 10ετών κρατικών τίτλων</w:t>
            </w:r>
          </w:p>
          <w:p w:rsidR="003641B2" w:rsidRPr="0015043C" w:rsidRDefault="003641B2" w:rsidP="0099665D">
            <w:pPr>
              <w:pStyle w:val="a9"/>
              <w:tabs>
                <w:tab w:val="left" w:pos="9355"/>
              </w:tabs>
              <w:jc w:val="center"/>
            </w:pPr>
            <w:r>
              <w:rPr>
                <w:rFonts w:ascii="Arial Narrow" w:hAnsi="Arial Narrow"/>
                <w:b/>
                <w:color w:val="FFFFFF"/>
                <w:szCs w:val="22"/>
              </w:rPr>
              <w:t>(ημερήσια στοιχεία – αποδόσεις)</w:t>
            </w:r>
          </w:p>
        </w:tc>
      </w:tr>
      <w:tr w:rsidR="003641B2" w:rsidRPr="0015043C" w:rsidTr="0099665D">
        <w:tc>
          <w:tcPr>
            <w:tcW w:w="9287" w:type="dxa"/>
          </w:tcPr>
          <w:p w:rsidR="003641B2" w:rsidRPr="008A318A" w:rsidRDefault="003641B2" w:rsidP="0099665D">
            <w:pPr>
              <w:pStyle w:val="a9"/>
              <w:tabs>
                <w:tab w:val="left" w:pos="9355"/>
              </w:tabs>
              <w:spacing w:before="120" w:after="0"/>
              <w:jc w:val="center"/>
            </w:pPr>
            <w:r w:rsidRPr="003641B2">
              <w:rPr>
                <w:noProof/>
              </w:rPr>
              <w:drawing>
                <wp:inline distT="0" distB="0" distL="0" distR="0">
                  <wp:extent cx="5486400" cy="3751580"/>
                  <wp:effectExtent l="19050" t="0" r="0" b="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3641B2" w:rsidRPr="0015043C" w:rsidRDefault="003641B2" w:rsidP="003641B2">
      <w:pPr>
        <w:tabs>
          <w:tab w:val="left" w:pos="180"/>
        </w:tabs>
        <w:jc w:val="both"/>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p w:rsidR="00075428" w:rsidRDefault="00075428" w:rsidP="00075428">
      <w:pPr>
        <w:jc w:val="both"/>
        <w:outlineLvl w:val="7"/>
        <w:rPr>
          <w:rFonts w:ascii="Arial Narrow" w:hAnsi="Arial Narrow"/>
          <w:b/>
          <w:bCs/>
          <w:color w:val="000080"/>
          <w:szCs w:val="22"/>
        </w:rPr>
      </w:pPr>
    </w:p>
    <w:p w:rsidR="00776A44" w:rsidRDefault="00776A44" w:rsidP="00075428">
      <w:pPr>
        <w:jc w:val="both"/>
        <w:outlineLvl w:val="7"/>
        <w:rPr>
          <w:rFonts w:ascii="Arial Narrow" w:hAnsi="Arial Narrow"/>
          <w:b/>
          <w:bCs/>
          <w:color w:val="000080"/>
          <w:szCs w:val="22"/>
        </w:rPr>
      </w:pPr>
    </w:p>
    <w:p w:rsidR="00075428" w:rsidRDefault="00075428" w:rsidP="00075428">
      <w:pPr>
        <w:jc w:val="both"/>
        <w:outlineLvl w:val="7"/>
        <w:rPr>
          <w:rFonts w:ascii="Arial Narrow" w:hAnsi="Arial Narrow"/>
          <w:b/>
          <w:bCs/>
          <w:color w:val="000080"/>
          <w:szCs w:val="22"/>
        </w:rPr>
      </w:pPr>
      <w:r w:rsidRPr="00B82B6C">
        <w:rPr>
          <w:rFonts w:ascii="Arial Narrow" w:hAnsi="Arial Narrow"/>
          <w:b/>
          <w:bCs/>
          <w:color w:val="000080"/>
          <w:szCs w:val="22"/>
        </w:rPr>
        <w:t>Πρωτογενής αγορά τίτλων</w:t>
      </w:r>
    </w:p>
    <w:p w:rsidR="00075428" w:rsidRPr="001B72B3" w:rsidRDefault="00075428" w:rsidP="00075428">
      <w:pPr>
        <w:jc w:val="both"/>
        <w:outlineLvl w:val="7"/>
        <w:rPr>
          <w:rFonts w:ascii="Arial Narrow" w:hAnsi="Arial Narrow"/>
          <w:b/>
          <w:bCs/>
          <w:sz w:val="22"/>
          <w:szCs w:val="22"/>
        </w:rPr>
      </w:pPr>
    </w:p>
    <w:p w:rsidR="00075428" w:rsidRPr="00835D2C" w:rsidRDefault="00D660E4" w:rsidP="00075428">
      <w:pPr>
        <w:jc w:val="both"/>
        <w:rPr>
          <w:bCs/>
          <w:sz w:val="22"/>
          <w:szCs w:val="22"/>
        </w:rPr>
      </w:pPr>
      <w:r>
        <w:rPr>
          <w:bCs/>
          <w:sz w:val="22"/>
          <w:szCs w:val="22"/>
        </w:rPr>
        <w:t>Λ</w:t>
      </w:r>
      <w:r w:rsidR="00075428" w:rsidRPr="00835D2C">
        <w:rPr>
          <w:bCs/>
          <w:sz w:val="22"/>
          <w:szCs w:val="22"/>
        </w:rPr>
        <w:t xml:space="preserve">ίγους μήνες μετά την κοινοπρακτική έκδοση πενταετούς ομολόγου τον Αύγουστο του 2017, </w:t>
      </w:r>
      <w:r>
        <w:rPr>
          <w:bCs/>
          <w:sz w:val="22"/>
          <w:szCs w:val="22"/>
        </w:rPr>
        <w:t xml:space="preserve">το ΕΔ </w:t>
      </w:r>
      <w:r w:rsidR="00075428" w:rsidRPr="00835D2C">
        <w:rPr>
          <w:bCs/>
          <w:sz w:val="22"/>
          <w:szCs w:val="22"/>
        </w:rPr>
        <w:t xml:space="preserve">πραγματοποίησε τον Φεβρουάριο του 2018 νέα κοινοπρακτική έκδοση επταετούς ομολόγου ύψους 3.000 εκατ. ευρώ με σταθερό επιτόκιο 3,375%. Η τελευταία έκδοση επταετούς ομολόγου είχε γίνει τον Απρίλιο του 2010. </w:t>
      </w:r>
    </w:p>
    <w:p w:rsidR="00075428" w:rsidRPr="00835D2C" w:rsidRDefault="00075428" w:rsidP="00075428">
      <w:pPr>
        <w:jc w:val="both"/>
        <w:rPr>
          <w:bCs/>
          <w:sz w:val="22"/>
          <w:szCs w:val="22"/>
        </w:rPr>
      </w:pPr>
    </w:p>
    <w:p w:rsidR="00075428" w:rsidRPr="00835D2C" w:rsidRDefault="00075428" w:rsidP="00075428">
      <w:pPr>
        <w:jc w:val="both"/>
        <w:rPr>
          <w:bCs/>
          <w:sz w:val="22"/>
          <w:szCs w:val="22"/>
        </w:rPr>
      </w:pPr>
      <w:r w:rsidRPr="00835D2C">
        <w:rPr>
          <w:bCs/>
          <w:sz w:val="22"/>
          <w:szCs w:val="22"/>
        </w:rPr>
        <w:t>Κατά τη διάρκεια του έτους το ΕΔ συνέχισε να εκδίδει τίτλους βραχυπρόθεσμης διάρκειας. Η βρ</w:t>
      </w:r>
      <w:r w:rsidRPr="00835D2C">
        <w:rPr>
          <w:bCs/>
          <w:sz w:val="22"/>
          <w:szCs w:val="22"/>
        </w:rPr>
        <w:t>α</w:t>
      </w:r>
      <w:r w:rsidRPr="00835D2C">
        <w:rPr>
          <w:bCs/>
          <w:sz w:val="22"/>
          <w:szCs w:val="22"/>
        </w:rPr>
        <w:t xml:space="preserve">χυπρόθεσμη χρηματοδότηση πραγματοποιήθηκε με μηνιαίες εκδόσεις εντόκων γραμματίων διάρκειας 13 και 26 εβδομάδων και τριμηνιαίες 52 εβδομάδων, καθώς επίσης και </w:t>
      </w:r>
      <w:r w:rsidR="006B596A">
        <w:rPr>
          <w:bCs/>
          <w:sz w:val="22"/>
          <w:szCs w:val="22"/>
        </w:rPr>
        <w:t xml:space="preserve">με </w:t>
      </w:r>
      <w:r w:rsidRPr="00835D2C">
        <w:rPr>
          <w:bCs/>
          <w:sz w:val="22"/>
          <w:szCs w:val="22"/>
        </w:rPr>
        <w:t xml:space="preserve">σύναψη συμφωνιών </w:t>
      </w:r>
      <w:r w:rsidRPr="00835D2C">
        <w:rPr>
          <w:bCs/>
          <w:sz w:val="22"/>
          <w:szCs w:val="22"/>
          <w:lang w:val="en-US"/>
        </w:rPr>
        <w:t>repos</w:t>
      </w:r>
      <w:r w:rsidRPr="00835D2C">
        <w:rPr>
          <w:bCs/>
          <w:sz w:val="22"/>
          <w:szCs w:val="22"/>
        </w:rPr>
        <w:t xml:space="preserve"> κυρίως με τους φορείς της Γενικής Κυβέρνησης. Στις </w:t>
      </w:r>
      <w:r w:rsidRPr="00966887">
        <w:rPr>
          <w:bCs/>
          <w:sz w:val="22"/>
          <w:szCs w:val="22"/>
        </w:rPr>
        <w:t>30/09/2018 το</w:t>
      </w:r>
      <w:r w:rsidRPr="00835D2C">
        <w:rPr>
          <w:bCs/>
          <w:sz w:val="22"/>
          <w:szCs w:val="22"/>
        </w:rPr>
        <w:t xml:space="preserve"> ανεξόφλητο υπόλοιπο των ΕΓΕΔ ανερχόταν σε 1</w:t>
      </w:r>
      <w:r>
        <w:rPr>
          <w:bCs/>
          <w:sz w:val="22"/>
          <w:szCs w:val="22"/>
        </w:rPr>
        <w:t>5</w:t>
      </w:r>
      <w:r w:rsidRPr="00835D2C">
        <w:rPr>
          <w:bCs/>
          <w:sz w:val="22"/>
          <w:szCs w:val="22"/>
        </w:rPr>
        <w:t>.</w:t>
      </w:r>
      <w:r>
        <w:rPr>
          <w:bCs/>
          <w:sz w:val="22"/>
          <w:szCs w:val="22"/>
        </w:rPr>
        <w:t>283</w:t>
      </w:r>
      <w:r w:rsidRPr="00835D2C">
        <w:rPr>
          <w:bCs/>
          <w:sz w:val="22"/>
          <w:szCs w:val="22"/>
        </w:rPr>
        <w:t xml:space="preserve"> εκατ. ευρώ, ενώ τα </w:t>
      </w:r>
      <w:r w:rsidRPr="00835D2C">
        <w:rPr>
          <w:bCs/>
          <w:sz w:val="22"/>
          <w:szCs w:val="22"/>
          <w:lang w:val="en-US"/>
        </w:rPr>
        <w:t>repos</w:t>
      </w:r>
      <w:r w:rsidRPr="00835D2C">
        <w:rPr>
          <w:bCs/>
          <w:sz w:val="22"/>
          <w:szCs w:val="22"/>
        </w:rPr>
        <w:t xml:space="preserve"> ανήλθαν σε </w:t>
      </w:r>
      <w:r w:rsidRPr="00A60471">
        <w:rPr>
          <w:bCs/>
          <w:sz w:val="22"/>
          <w:szCs w:val="22"/>
        </w:rPr>
        <w:t>2</w:t>
      </w:r>
      <w:r w:rsidRPr="008B0CDE">
        <w:rPr>
          <w:bCs/>
          <w:sz w:val="22"/>
          <w:szCs w:val="22"/>
        </w:rPr>
        <w:t>1</w:t>
      </w:r>
      <w:r w:rsidRPr="00A60471">
        <w:rPr>
          <w:bCs/>
          <w:sz w:val="22"/>
          <w:szCs w:val="22"/>
        </w:rPr>
        <w:t>.21</w:t>
      </w:r>
      <w:r>
        <w:rPr>
          <w:bCs/>
          <w:sz w:val="22"/>
          <w:szCs w:val="22"/>
        </w:rPr>
        <w:t>3</w:t>
      </w:r>
      <w:r w:rsidRPr="00A60471">
        <w:rPr>
          <w:bCs/>
          <w:sz w:val="22"/>
          <w:szCs w:val="22"/>
        </w:rPr>
        <w:t xml:space="preserve"> </w:t>
      </w:r>
      <w:r w:rsidRPr="00835D2C">
        <w:rPr>
          <w:bCs/>
          <w:sz w:val="22"/>
          <w:szCs w:val="22"/>
        </w:rPr>
        <w:t>εκατ. ευρώ.</w:t>
      </w:r>
      <w:r w:rsidRPr="00683A95">
        <w:rPr>
          <w:bCs/>
          <w:sz w:val="22"/>
          <w:szCs w:val="22"/>
        </w:rPr>
        <w:t xml:space="preserve"> </w:t>
      </w:r>
    </w:p>
    <w:p w:rsidR="00075428" w:rsidRPr="00835D2C" w:rsidRDefault="00075428" w:rsidP="00075428">
      <w:pPr>
        <w:jc w:val="both"/>
        <w:rPr>
          <w:bCs/>
          <w:sz w:val="22"/>
          <w:szCs w:val="22"/>
        </w:rPr>
      </w:pPr>
    </w:p>
    <w:p w:rsidR="00075428" w:rsidRDefault="00075428" w:rsidP="00075428">
      <w:pPr>
        <w:jc w:val="both"/>
        <w:rPr>
          <w:bCs/>
          <w:sz w:val="22"/>
          <w:szCs w:val="22"/>
        </w:rPr>
      </w:pPr>
      <w:r w:rsidRPr="00683A95">
        <w:rPr>
          <w:bCs/>
          <w:sz w:val="22"/>
          <w:szCs w:val="22"/>
        </w:rPr>
        <w:t xml:space="preserve">Ο μεσοσταθμικός συντελεστής κάλυψης των δημοπρασιών ΕΓΕΔ διαμορφώθηκε στο </w:t>
      </w:r>
      <w:r w:rsidRPr="003E623E">
        <w:rPr>
          <w:bCs/>
          <w:sz w:val="22"/>
          <w:szCs w:val="22"/>
        </w:rPr>
        <w:t>2,00</w:t>
      </w:r>
      <w:r w:rsidRPr="00683A95">
        <w:rPr>
          <w:bCs/>
          <w:sz w:val="22"/>
          <w:szCs w:val="22"/>
        </w:rPr>
        <w:t>.</w:t>
      </w:r>
      <w:r w:rsidR="00753179" w:rsidRPr="00753179">
        <w:rPr>
          <w:bCs/>
          <w:sz w:val="22"/>
          <w:szCs w:val="22"/>
        </w:rPr>
        <w:t xml:space="preserve"> </w:t>
      </w:r>
      <w:r w:rsidRPr="00683A95">
        <w:rPr>
          <w:bCs/>
          <w:sz w:val="22"/>
          <w:szCs w:val="22"/>
        </w:rPr>
        <w:t xml:space="preserve">Το μέσο σταθμικό </w:t>
      </w:r>
      <w:r w:rsidRPr="00EB4556">
        <w:rPr>
          <w:bCs/>
          <w:sz w:val="22"/>
          <w:szCs w:val="22"/>
        </w:rPr>
        <w:t xml:space="preserve">επιτόκιο νέου δανεισμού, το οποίο διαμορφώθηκε από τις εκδόσεις εντόκων γραμματίων, </w:t>
      </w:r>
      <w:r w:rsidRPr="00EB4556">
        <w:rPr>
          <w:bCs/>
          <w:sz w:val="22"/>
          <w:szCs w:val="22"/>
        </w:rPr>
        <w:lastRenderedPageBreak/>
        <w:t>του νέου επταετούς ομολόγου και των δανείων που χορηγήθηκαν από τον ESM, έως 30/09/2018 δι</w:t>
      </w:r>
      <w:r w:rsidRPr="00EB4556">
        <w:rPr>
          <w:bCs/>
          <w:sz w:val="22"/>
          <w:szCs w:val="22"/>
        </w:rPr>
        <w:t>α</w:t>
      </w:r>
      <w:r w:rsidRPr="00EB4556">
        <w:rPr>
          <w:bCs/>
          <w:sz w:val="22"/>
          <w:szCs w:val="22"/>
        </w:rPr>
        <w:t>μορφώθηκε στο 1,40%, ενώ η μέση φυσική διάρκεια του νέου δανεισμού διαμορφώθηκε σε 19,88 έτη</w:t>
      </w:r>
      <w:r w:rsidR="0099665D">
        <w:rPr>
          <w:bCs/>
          <w:sz w:val="22"/>
          <w:szCs w:val="22"/>
        </w:rPr>
        <w:t>,</w:t>
      </w:r>
      <w:r w:rsidRPr="00EB4556">
        <w:rPr>
          <w:bCs/>
          <w:sz w:val="22"/>
          <w:szCs w:val="22"/>
        </w:rPr>
        <w:t xml:space="preserve"> έναντι 9,95 </w:t>
      </w:r>
      <w:r w:rsidR="00977014">
        <w:rPr>
          <w:bCs/>
          <w:sz w:val="22"/>
          <w:szCs w:val="22"/>
        </w:rPr>
        <w:t>ετών</w:t>
      </w:r>
      <w:r w:rsidR="00977014" w:rsidRPr="00EB4556">
        <w:rPr>
          <w:bCs/>
          <w:sz w:val="22"/>
          <w:szCs w:val="22"/>
        </w:rPr>
        <w:t xml:space="preserve"> </w:t>
      </w:r>
      <w:r w:rsidRPr="00EB4556">
        <w:rPr>
          <w:bCs/>
          <w:sz w:val="22"/>
          <w:szCs w:val="22"/>
        </w:rPr>
        <w:t>την αντίστοιχη περυσινή περίοδο.</w:t>
      </w:r>
    </w:p>
    <w:p w:rsidR="00075428" w:rsidRDefault="00075428" w:rsidP="00075428">
      <w:pPr>
        <w:jc w:val="both"/>
        <w:rPr>
          <w:bCs/>
          <w:sz w:val="22"/>
          <w:szCs w:val="22"/>
        </w:rPr>
      </w:pPr>
    </w:p>
    <w:p w:rsidR="00075428" w:rsidRPr="0015043C" w:rsidRDefault="00075428" w:rsidP="00075428">
      <w:pPr>
        <w:jc w:val="both"/>
        <w:outlineLvl w:val="8"/>
        <w:rPr>
          <w:rFonts w:ascii="Arial Narrow" w:hAnsi="Arial Narrow"/>
          <w:b/>
          <w:bCs/>
          <w:color w:val="000080"/>
          <w:szCs w:val="22"/>
        </w:rPr>
      </w:pPr>
      <w:r w:rsidRPr="0015043C">
        <w:rPr>
          <w:rFonts w:ascii="Arial Narrow" w:hAnsi="Arial Narrow"/>
          <w:b/>
          <w:bCs/>
          <w:color w:val="000080"/>
          <w:szCs w:val="22"/>
        </w:rPr>
        <w:t>Δευτερογενής αγορά τίτλων</w:t>
      </w:r>
    </w:p>
    <w:p w:rsidR="00075428" w:rsidRPr="000974DF" w:rsidRDefault="00075428" w:rsidP="00075428">
      <w:pPr>
        <w:jc w:val="both"/>
        <w:outlineLvl w:val="8"/>
        <w:rPr>
          <w:rFonts w:ascii="Arial Narrow" w:hAnsi="Arial Narrow"/>
          <w:b/>
          <w:bCs/>
          <w:color w:val="000080"/>
          <w:szCs w:val="22"/>
        </w:rPr>
      </w:pPr>
    </w:p>
    <w:p w:rsidR="00075428" w:rsidRPr="00C81DB9" w:rsidRDefault="00075428" w:rsidP="00075428">
      <w:pPr>
        <w:jc w:val="both"/>
        <w:rPr>
          <w:sz w:val="22"/>
          <w:szCs w:val="22"/>
        </w:rPr>
      </w:pPr>
      <w:r w:rsidRPr="00C81DB9">
        <w:rPr>
          <w:sz w:val="22"/>
          <w:szCs w:val="22"/>
        </w:rPr>
        <w:t>Η συνολική αξία των συναλλαγών που καταγράφηκε στο Σύστημα Άυλων Τίτλων της Τράπεζας της Ελλάδος, η οποία περιλαμβάνει τις αγοραπωλησίες τίτλων και τις συμφωνίες επαναγοράς στην εξω</w:t>
      </w:r>
      <w:r w:rsidRPr="00C81DB9">
        <w:rPr>
          <w:sz w:val="22"/>
          <w:szCs w:val="22"/>
        </w:rPr>
        <w:t>χ</w:t>
      </w:r>
      <w:r w:rsidRPr="00C81DB9">
        <w:rPr>
          <w:sz w:val="22"/>
          <w:szCs w:val="22"/>
        </w:rPr>
        <w:t>ρηματιστηριακή αγορά (over-the-counter) και τις ηλεκτρονικές πλατφόρμες διαπραγμάτευσης, δι</w:t>
      </w:r>
      <w:r w:rsidRPr="00C81DB9">
        <w:rPr>
          <w:sz w:val="22"/>
          <w:szCs w:val="22"/>
        </w:rPr>
        <w:t>α</w:t>
      </w:r>
      <w:r w:rsidRPr="00C81DB9">
        <w:rPr>
          <w:sz w:val="22"/>
          <w:szCs w:val="22"/>
        </w:rPr>
        <w:t>μορφώθηκε σε 6</w:t>
      </w:r>
      <w:r w:rsidRPr="00370D72">
        <w:rPr>
          <w:sz w:val="22"/>
          <w:szCs w:val="22"/>
        </w:rPr>
        <w:t>8</w:t>
      </w:r>
      <w:r w:rsidRPr="00C81DB9">
        <w:rPr>
          <w:sz w:val="22"/>
          <w:szCs w:val="22"/>
        </w:rPr>
        <w:t>,</w:t>
      </w:r>
      <w:r w:rsidRPr="00370D72">
        <w:rPr>
          <w:sz w:val="22"/>
          <w:szCs w:val="22"/>
        </w:rPr>
        <w:t>11</w:t>
      </w:r>
      <w:r w:rsidR="00D660E4">
        <w:rPr>
          <w:sz w:val="22"/>
          <w:szCs w:val="22"/>
        </w:rPr>
        <w:t xml:space="preserve"> δισ. ευρώ το τρίτο</w:t>
      </w:r>
      <w:r w:rsidRPr="00C81DB9">
        <w:rPr>
          <w:sz w:val="22"/>
          <w:szCs w:val="22"/>
        </w:rPr>
        <w:t xml:space="preserve"> τρίμηνο του 201</w:t>
      </w:r>
      <w:r w:rsidRPr="00370D72">
        <w:rPr>
          <w:sz w:val="22"/>
          <w:szCs w:val="22"/>
        </w:rPr>
        <w:t>8</w:t>
      </w:r>
      <w:r w:rsidRPr="00C81DB9">
        <w:rPr>
          <w:sz w:val="22"/>
          <w:szCs w:val="22"/>
        </w:rPr>
        <w:t xml:space="preserve"> έναντι </w:t>
      </w:r>
      <w:r w:rsidRPr="00370D72">
        <w:rPr>
          <w:sz w:val="22"/>
          <w:szCs w:val="22"/>
        </w:rPr>
        <w:t>50</w:t>
      </w:r>
      <w:r w:rsidRPr="00C81DB9">
        <w:rPr>
          <w:sz w:val="22"/>
          <w:szCs w:val="22"/>
        </w:rPr>
        <w:t>,</w:t>
      </w:r>
      <w:r w:rsidRPr="00370D72">
        <w:rPr>
          <w:sz w:val="22"/>
          <w:szCs w:val="22"/>
        </w:rPr>
        <w:t>27</w:t>
      </w:r>
      <w:r w:rsidRPr="00C81DB9">
        <w:rPr>
          <w:sz w:val="22"/>
          <w:szCs w:val="22"/>
        </w:rPr>
        <w:t xml:space="preserve"> δισ. ευρώ το </w:t>
      </w:r>
      <w:r w:rsidR="00D660E4">
        <w:rPr>
          <w:sz w:val="22"/>
          <w:szCs w:val="22"/>
        </w:rPr>
        <w:t>δεύτερο</w:t>
      </w:r>
      <w:r w:rsidRPr="00C81DB9">
        <w:rPr>
          <w:sz w:val="22"/>
          <w:szCs w:val="22"/>
        </w:rPr>
        <w:t xml:space="preserve"> τρίμηνο του 201</w:t>
      </w:r>
      <w:r w:rsidRPr="00370D72">
        <w:rPr>
          <w:sz w:val="22"/>
          <w:szCs w:val="22"/>
        </w:rPr>
        <w:t>8</w:t>
      </w:r>
      <w:r w:rsidRPr="00C81DB9">
        <w:rPr>
          <w:sz w:val="22"/>
          <w:szCs w:val="22"/>
        </w:rPr>
        <w:t xml:space="preserve"> </w:t>
      </w:r>
      <w:r w:rsidR="00D660E4">
        <w:rPr>
          <w:sz w:val="22"/>
          <w:szCs w:val="22"/>
        </w:rPr>
        <w:t xml:space="preserve">και </w:t>
      </w:r>
      <w:r w:rsidRPr="00C81DB9">
        <w:rPr>
          <w:sz w:val="22"/>
          <w:szCs w:val="22"/>
        </w:rPr>
        <w:t xml:space="preserve"> </w:t>
      </w:r>
      <w:r w:rsidRPr="00370D72">
        <w:rPr>
          <w:sz w:val="22"/>
          <w:szCs w:val="22"/>
        </w:rPr>
        <w:t>86</w:t>
      </w:r>
      <w:r w:rsidRPr="00C81DB9">
        <w:rPr>
          <w:sz w:val="22"/>
          <w:szCs w:val="22"/>
        </w:rPr>
        <w:t>,</w:t>
      </w:r>
      <w:r w:rsidRPr="00370D72">
        <w:rPr>
          <w:sz w:val="22"/>
          <w:szCs w:val="22"/>
        </w:rPr>
        <w:t>79</w:t>
      </w:r>
      <w:r w:rsidRPr="00C81DB9">
        <w:rPr>
          <w:sz w:val="22"/>
          <w:szCs w:val="22"/>
        </w:rPr>
        <w:t xml:space="preserve"> δισ. ευρώ</w:t>
      </w:r>
      <w:r w:rsidR="00D660E4">
        <w:rPr>
          <w:sz w:val="22"/>
          <w:szCs w:val="22"/>
        </w:rPr>
        <w:t xml:space="preserve"> </w:t>
      </w:r>
      <w:r w:rsidR="00D660E4" w:rsidRPr="00C81DB9">
        <w:rPr>
          <w:sz w:val="22"/>
          <w:szCs w:val="22"/>
        </w:rPr>
        <w:t xml:space="preserve">το </w:t>
      </w:r>
      <w:r w:rsidR="00D660E4">
        <w:rPr>
          <w:sz w:val="22"/>
          <w:szCs w:val="22"/>
        </w:rPr>
        <w:t>πρώτο</w:t>
      </w:r>
      <w:r w:rsidR="00D660E4" w:rsidRPr="00C81DB9">
        <w:rPr>
          <w:sz w:val="22"/>
          <w:szCs w:val="22"/>
        </w:rPr>
        <w:t xml:space="preserve"> τρίμηνο του 201</w:t>
      </w:r>
      <w:r w:rsidR="00D660E4" w:rsidRPr="00370D72">
        <w:rPr>
          <w:sz w:val="22"/>
          <w:szCs w:val="22"/>
        </w:rPr>
        <w:t>8</w:t>
      </w:r>
      <w:r w:rsidRPr="00C81DB9">
        <w:rPr>
          <w:sz w:val="22"/>
          <w:szCs w:val="22"/>
        </w:rPr>
        <w:t xml:space="preserve">. </w:t>
      </w:r>
    </w:p>
    <w:p w:rsidR="00075428" w:rsidRPr="00C81DB9" w:rsidRDefault="00075428" w:rsidP="00075428">
      <w:pPr>
        <w:jc w:val="both"/>
        <w:rPr>
          <w:sz w:val="22"/>
          <w:szCs w:val="22"/>
        </w:rPr>
      </w:pPr>
    </w:p>
    <w:p w:rsidR="00075428" w:rsidRPr="00C81DB9" w:rsidRDefault="00075428" w:rsidP="00075428">
      <w:pPr>
        <w:jc w:val="both"/>
        <w:rPr>
          <w:sz w:val="22"/>
          <w:szCs w:val="22"/>
        </w:rPr>
      </w:pPr>
      <w:r w:rsidRPr="00C81DB9">
        <w:rPr>
          <w:sz w:val="22"/>
          <w:szCs w:val="22"/>
        </w:rPr>
        <w:t>Κατά το τρίτο τρίμηνο του 201</w:t>
      </w:r>
      <w:r>
        <w:rPr>
          <w:sz w:val="22"/>
          <w:szCs w:val="22"/>
        </w:rPr>
        <w:t>8</w:t>
      </w:r>
      <w:r w:rsidRPr="00C81DB9">
        <w:rPr>
          <w:sz w:val="22"/>
          <w:szCs w:val="22"/>
        </w:rPr>
        <w:t>, το 3</w:t>
      </w:r>
      <w:r>
        <w:rPr>
          <w:sz w:val="22"/>
          <w:szCs w:val="22"/>
        </w:rPr>
        <w:t>6,4</w:t>
      </w:r>
      <w:r w:rsidRPr="00C81DB9">
        <w:rPr>
          <w:sz w:val="22"/>
          <w:szCs w:val="22"/>
        </w:rPr>
        <w:t>% της συναλλακτικής δραστηριότητας στην Ηλεκτρονική Δευτερογενή Αγορά Τίτλων (ΗΔΑΤ) επικεντρώθηκε σ</w:t>
      </w:r>
      <w:r>
        <w:rPr>
          <w:sz w:val="22"/>
          <w:szCs w:val="22"/>
        </w:rPr>
        <w:t>ε</w:t>
      </w:r>
      <w:r w:rsidRPr="00C81DB9">
        <w:rPr>
          <w:sz w:val="22"/>
          <w:szCs w:val="22"/>
        </w:rPr>
        <w:t xml:space="preserve"> μακροπρόθεσμους τίτλους με διάρκεια από </w:t>
      </w:r>
      <w:r>
        <w:rPr>
          <w:sz w:val="22"/>
          <w:szCs w:val="22"/>
        </w:rPr>
        <w:t>10</w:t>
      </w:r>
      <w:r w:rsidRPr="00C81DB9">
        <w:rPr>
          <w:sz w:val="22"/>
          <w:szCs w:val="22"/>
        </w:rPr>
        <w:t xml:space="preserve"> έως </w:t>
      </w:r>
      <w:r>
        <w:rPr>
          <w:sz w:val="22"/>
          <w:szCs w:val="22"/>
        </w:rPr>
        <w:t>3</w:t>
      </w:r>
      <w:r w:rsidRPr="00C81DB9">
        <w:rPr>
          <w:sz w:val="22"/>
          <w:szCs w:val="22"/>
        </w:rPr>
        <w:t xml:space="preserve">0 έτη, </w:t>
      </w:r>
      <w:r>
        <w:rPr>
          <w:sz w:val="22"/>
          <w:szCs w:val="22"/>
        </w:rPr>
        <w:t xml:space="preserve">το 38,8% σε τίτλους με διάρκεια </w:t>
      </w:r>
      <w:r w:rsidRPr="00740A20">
        <w:rPr>
          <w:sz w:val="22"/>
          <w:szCs w:val="22"/>
        </w:rPr>
        <w:t xml:space="preserve">από </w:t>
      </w:r>
      <w:r>
        <w:rPr>
          <w:sz w:val="22"/>
          <w:szCs w:val="22"/>
        </w:rPr>
        <w:t>5</w:t>
      </w:r>
      <w:r w:rsidRPr="00740A20">
        <w:rPr>
          <w:sz w:val="22"/>
          <w:szCs w:val="22"/>
        </w:rPr>
        <w:t xml:space="preserve"> έως </w:t>
      </w:r>
      <w:r>
        <w:rPr>
          <w:sz w:val="22"/>
          <w:szCs w:val="22"/>
        </w:rPr>
        <w:t>1</w:t>
      </w:r>
      <w:r w:rsidRPr="00740A20">
        <w:rPr>
          <w:sz w:val="22"/>
          <w:szCs w:val="22"/>
        </w:rPr>
        <w:t>0 έτη</w:t>
      </w:r>
      <w:r>
        <w:rPr>
          <w:sz w:val="22"/>
          <w:szCs w:val="22"/>
        </w:rPr>
        <w:t>,</w:t>
      </w:r>
      <w:r w:rsidRPr="00740A20">
        <w:rPr>
          <w:sz w:val="22"/>
          <w:szCs w:val="22"/>
        </w:rPr>
        <w:t xml:space="preserve"> </w:t>
      </w:r>
      <w:r w:rsidRPr="00C81DB9">
        <w:rPr>
          <w:sz w:val="22"/>
          <w:szCs w:val="22"/>
        </w:rPr>
        <w:t xml:space="preserve">το </w:t>
      </w:r>
      <w:r>
        <w:rPr>
          <w:sz w:val="22"/>
          <w:szCs w:val="22"/>
        </w:rPr>
        <w:t>23,3</w:t>
      </w:r>
      <w:r w:rsidRPr="00C81DB9">
        <w:rPr>
          <w:sz w:val="22"/>
          <w:szCs w:val="22"/>
        </w:rPr>
        <w:t>% σ</w:t>
      </w:r>
      <w:r>
        <w:rPr>
          <w:sz w:val="22"/>
          <w:szCs w:val="22"/>
        </w:rPr>
        <w:t>ε</w:t>
      </w:r>
      <w:r w:rsidRPr="00C81DB9">
        <w:rPr>
          <w:sz w:val="22"/>
          <w:szCs w:val="22"/>
        </w:rPr>
        <w:t xml:space="preserve"> μεσοπρόθεσμους τί</w:t>
      </w:r>
      <w:r w:rsidRPr="00C81DB9">
        <w:rPr>
          <w:sz w:val="22"/>
          <w:szCs w:val="22"/>
        </w:rPr>
        <w:t>τ</w:t>
      </w:r>
      <w:r w:rsidRPr="00C81DB9">
        <w:rPr>
          <w:sz w:val="22"/>
          <w:szCs w:val="22"/>
        </w:rPr>
        <w:t>λους με διάρκεια από 3 έως 5 έτη και το 1</w:t>
      </w:r>
      <w:r>
        <w:rPr>
          <w:sz w:val="22"/>
          <w:szCs w:val="22"/>
        </w:rPr>
        <w:t>,5</w:t>
      </w:r>
      <w:r w:rsidRPr="00C81DB9">
        <w:rPr>
          <w:sz w:val="22"/>
          <w:szCs w:val="22"/>
        </w:rPr>
        <w:t xml:space="preserve">% </w:t>
      </w:r>
      <w:r>
        <w:rPr>
          <w:sz w:val="22"/>
          <w:szCs w:val="22"/>
        </w:rPr>
        <w:t>αφορούσε</w:t>
      </w:r>
      <w:r w:rsidRPr="00C81DB9">
        <w:rPr>
          <w:sz w:val="22"/>
          <w:szCs w:val="22"/>
        </w:rPr>
        <w:t xml:space="preserve"> τίτλους εντόκων γραμματίων.</w:t>
      </w:r>
    </w:p>
    <w:p w:rsidR="00075428" w:rsidRPr="00C81DB9" w:rsidRDefault="00075428" w:rsidP="00075428">
      <w:pPr>
        <w:jc w:val="both"/>
        <w:rPr>
          <w:sz w:val="22"/>
          <w:szCs w:val="22"/>
        </w:rPr>
      </w:pPr>
    </w:p>
    <w:p w:rsidR="00075428" w:rsidRPr="00C81DB9" w:rsidRDefault="00075428" w:rsidP="00075428">
      <w:pPr>
        <w:jc w:val="both"/>
        <w:rPr>
          <w:sz w:val="22"/>
          <w:szCs w:val="22"/>
        </w:rPr>
      </w:pPr>
      <w:r w:rsidRPr="00C81DB9">
        <w:rPr>
          <w:sz w:val="22"/>
          <w:szCs w:val="22"/>
        </w:rPr>
        <w:t>Η κατανομή της αξίας των συναλλαγών της ΗΔΑΤ ανάλογα με την εναπομένουσα διάρκεια των τί</w:t>
      </w:r>
      <w:r w:rsidRPr="00C81DB9">
        <w:rPr>
          <w:sz w:val="22"/>
          <w:szCs w:val="22"/>
        </w:rPr>
        <w:t>τ</w:t>
      </w:r>
      <w:r w:rsidRPr="00C81DB9">
        <w:rPr>
          <w:sz w:val="22"/>
          <w:szCs w:val="22"/>
        </w:rPr>
        <w:t>λων, κατά το τρίτο τρίμηνο του 201</w:t>
      </w:r>
      <w:r>
        <w:rPr>
          <w:sz w:val="22"/>
          <w:szCs w:val="22"/>
        </w:rPr>
        <w:t>8</w:t>
      </w:r>
      <w:r w:rsidRPr="00C81DB9">
        <w:rPr>
          <w:sz w:val="22"/>
          <w:szCs w:val="22"/>
        </w:rPr>
        <w:t>,</w:t>
      </w:r>
      <w:r w:rsidR="00C66E5D">
        <w:rPr>
          <w:sz w:val="22"/>
          <w:szCs w:val="22"/>
        </w:rPr>
        <w:t xml:space="preserve"> παρουσιάζεται στο διάγραμμα 4.5</w:t>
      </w:r>
      <w:r w:rsidRPr="00C81DB9">
        <w:rPr>
          <w:sz w:val="22"/>
          <w:szCs w:val="22"/>
        </w:rPr>
        <w:t>.</w:t>
      </w:r>
    </w:p>
    <w:p w:rsidR="00075428" w:rsidRDefault="00075428" w:rsidP="00075428">
      <w:pPr>
        <w:rPr>
          <w:sz w:val="22"/>
        </w:rPr>
      </w:pPr>
    </w:p>
    <w:p w:rsidR="00C66E5D" w:rsidRDefault="00C66E5D" w:rsidP="00075428">
      <w:pPr>
        <w:rPr>
          <w:sz w:val="22"/>
        </w:rPr>
      </w:pPr>
    </w:p>
    <w:p w:rsidR="00C66E5D" w:rsidRPr="0015043C" w:rsidRDefault="00C66E5D" w:rsidP="00075428">
      <w:pPr>
        <w:rPr>
          <w:sz w:val="22"/>
        </w:rPr>
      </w:pPr>
    </w:p>
    <w:tbl>
      <w:tblPr>
        <w:tblW w:w="90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070"/>
      </w:tblGrid>
      <w:tr w:rsidR="00075428" w:rsidRPr="0015043C" w:rsidTr="0099665D">
        <w:trPr>
          <w:cantSplit/>
        </w:trPr>
        <w:tc>
          <w:tcPr>
            <w:tcW w:w="9070" w:type="dxa"/>
            <w:tcBorders>
              <w:top w:val="nil"/>
              <w:left w:val="nil"/>
              <w:bottom w:val="nil"/>
              <w:right w:val="nil"/>
            </w:tcBorders>
            <w:shd w:val="clear" w:color="auto" w:fill="404040" w:themeFill="text1" w:themeFillTint="BF"/>
            <w:vAlign w:val="center"/>
          </w:tcPr>
          <w:p w:rsidR="00075428" w:rsidRPr="0015043C" w:rsidRDefault="00C66E5D" w:rsidP="0099665D">
            <w:pPr>
              <w:spacing w:before="120"/>
              <w:jc w:val="center"/>
              <w:rPr>
                <w:rFonts w:ascii="Arial Narrow" w:hAnsi="Arial Narrow"/>
                <w:b/>
                <w:color w:val="FFFFFF"/>
              </w:rPr>
            </w:pPr>
            <w:r>
              <w:rPr>
                <w:rFonts w:ascii="Arial Narrow" w:hAnsi="Arial Narrow"/>
                <w:b/>
                <w:color w:val="FFFFFF"/>
              </w:rPr>
              <w:t>Διάγραμμα 4.5</w:t>
            </w:r>
            <w:r w:rsidR="00075428" w:rsidRPr="0015043C">
              <w:rPr>
                <w:rFonts w:ascii="Arial Narrow" w:hAnsi="Arial Narrow"/>
                <w:b/>
                <w:color w:val="FFFFFF"/>
              </w:rPr>
              <w:t xml:space="preserve">  Αξία συνα</w:t>
            </w:r>
            <w:r w:rsidR="00075428">
              <w:rPr>
                <w:rFonts w:ascii="Arial Narrow" w:hAnsi="Arial Narrow"/>
                <w:b/>
                <w:color w:val="FFFFFF"/>
              </w:rPr>
              <w:t>λλαγών στην ΗΔΑΤ γ΄ τρίμηνο 2018</w:t>
            </w:r>
          </w:p>
          <w:p w:rsidR="00075428" w:rsidRPr="0015043C" w:rsidRDefault="00075428" w:rsidP="0099665D">
            <w:pPr>
              <w:spacing w:after="120"/>
              <w:jc w:val="center"/>
              <w:rPr>
                <w:rFonts w:ascii="Arial Narrow" w:hAnsi="Arial Narrow"/>
                <w:b/>
                <w:color w:val="FFFFFF"/>
              </w:rPr>
            </w:pPr>
            <w:r w:rsidRPr="0015043C">
              <w:rPr>
                <w:rFonts w:ascii="Arial Narrow" w:hAnsi="Arial Narrow"/>
                <w:b/>
                <w:color w:val="FFFFFF"/>
              </w:rPr>
              <w:t>(με βάση την εναπομένουσα διάρκεια των τίτλων)</w:t>
            </w:r>
          </w:p>
        </w:tc>
      </w:tr>
      <w:tr w:rsidR="00075428" w:rsidRPr="0015043C" w:rsidTr="0099665D">
        <w:tblPrEx>
          <w:tblCellMar>
            <w:left w:w="108" w:type="dxa"/>
            <w:right w:w="108" w:type="dxa"/>
          </w:tblCellMar>
        </w:tblPrEx>
        <w:trPr>
          <w:cantSplit/>
        </w:trPr>
        <w:tc>
          <w:tcPr>
            <w:tcW w:w="9070" w:type="dxa"/>
            <w:tcBorders>
              <w:top w:val="nil"/>
              <w:left w:val="nil"/>
              <w:bottom w:val="nil"/>
              <w:right w:val="nil"/>
            </w:tcBorders>
            <w:shd w:val="clear" w:color="auto" w:fill="auto"/>
            <w:vAlign w:val="center"/>
          </w:tcPr>
          <w:p w:rsidR="00075428" w:rsidRPr="00EE3A46" w:rsidRDefault="001053C0" w:rsidP="0099665D">
            <w:pPr>
              <w:spacing w:before="120"/>
              <w:jc w:val="center"/>
              <w:rPr>
                <w:rFonts w:ascii="Arial Narrow" w:hAnsi="Arial Narrow"/>
                <w:b/>
                <w:color w:val="FFFFFF"/>
              </w:rPr>
            </w:pPr>
            <w:r w:rsidRPr="001053C0">
              <w:rPr>
                <w:rFonts w:ascii="Arial Narrow" w:hAnsi="Arial Narrow"/>
                <w:b/>
                <w:noProof/>
                <w:color w:val="FFFFFF"/>
              </w:rPr>
              <w:drawing>
                <wp:inline distT="0" distB="0" distL="0" distR="0">
                  <wp:extent cx="4606024" cy="2475260"/>
                  <wp:effectExtent l="0" t="0" r="0" b="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075428" w:rsidRPr="005C0AFA" w:rsidRDefault="00075428" w:rsidP="00075428">
      <w:pPr>
        <w:pStyle w:val="a9"/>
        <w:tabs>
          <w:tab w:val="left" w:pos="9355"/>
        </w:tabs>
        <w:spacing w:after="0"/>
        <w:jc w:val="both"/>
        <w:rPr>
          <w:rFonts w:ascii="Arial Narrow" w:hAnsi="Arial Narrow"/>
          <w:color w:val="000000"/>
          <w:sz w:val="16"/>
          <w:szCs w:val="16"/>
        </w:rPr>
      </w:pPr>
      <w:r w:rsidRPr="005C0AFA">
        <w:rPr>
          <w:rFonts w:ascii="Arial Narrow" w:hAnsi="Arial Narrow"/>
          <w:color w:val="000000"/>
          <w:sz w:val="16"/>
          <w:szCs w:val="16"/>
        </w:rPr>
        <w:t>Πηγή:</w:t>
      </w:r>
      <w:r w:rsidRPr="005C0AFA">
        <w:rPr>
          <w:rFonts w:ascii="Arial Narrow" w:hAnsi="Arial Narrow"/>
          <w:sz w:val="16"/>
          <w:szCs w:val="16"/>
        </w:rPr>
        <w:t xml:space="preserve"> Τράπεζα Ελλάδος, ΗΔΑΤ</w:t>
      </w:r>
    </w:p>
    <w:p w:rsidR="00075428" w:rsidRDefault="00075428" w:rsidP="00075428">
      <w:pPr>
        <w:jc w:val="both"/>
        <w:rPr>
          <w:sz w:val="22"/>
        </w:rPr>
      </w:pPr>
    </w:p>
    <w:p w:rsidR="00C66E5D" w:rsidRDefault="00C66E5D" w:rsidP="00075428">
      <w:pPr>
        <w:jc w:val="both"/>
        <w:rPr>
          <w:sz w:val="22"/>
        </w:rPr>
      </w:pPr>
    </w:p>
    <w:p w:rsidR="00C66E5D" w:rsidRDefault="00C66E5D" w:rsidP="00075428">
      <w:pPr>
        <w:jc w:val="both"/>
        <w:rPr>
          <w:sz w:val="22"/>
        </w:rPr>
      </w:pPr>
    </w:p>
    <w:p w:rsidR="00075428" w:rsidRDefault="00075428" w:rsidP="00075428">
      <w:pPr>
        <w:pStyle w:val="a9"/>
        <w:jc w:val="both"/>
        <w:rPr>
          <w:sz w:val="22"/>
          <w:szCs w:val="22"/>
        </w:rPr>
      </w:pPr>
      <w:r w:rsidRPr="00F5640D">
        <w:rPr>
          <w:sz w:val="22"/>
          <w:szCs w:val="22"/>
        </w:rPr>
        <w:t xml:space="preserve">Το </w:t>
      </w:r>
      <w:r>
        <w:rPr>
          <w:sz w:val="22"/>
          <w:szCs w:val="22"/>
        </w:rPr>
        <w:t>εννεάμηνο του 2018</w:t>
      </w:r>
      <w:r w:rsidRPr="00F5640D">
        <w:rPr>
          <w:sz w:val="22"/>
          <w:szCs w:val="22"/>
        </w:rPr>
        <w:t xml:space="preserve"> η συναλλακτική δραστηριότητα στην Ηλεκτρονική Δευτερογενή Αγορά Τί</w:t>
      </w:r>
      <w:r w:rsidRPr="00F5640D">
        <w:rPr>
          <w:sz w:val="22"/>
          <w:szCs w:val="22"/>
        </w:rPr>
        <w:t>τ</w:t>
      </w:r>
      <w:r w:rsidRPr="00F5640D">
        <w:rPr>
          <w:sz w:val="22"/>
          <w:szCs w:val="22"/>
        </w:rPr>
        <w:t xml:space="preserve">λων (ΗΔΑΤ) </w:t>
      </w:r>
      <w:r>
        <w:rPr>
          <w:sz w:val="22"/>
          <w:szCs w:val="22"/>
        </w:rPr>
        <w:t>κινήθηκε σε πολύ υψηλότερα επίπεδα σε σχέση με το προηγούμενο έτος</w:t>
      </w:r>
      <w:r w:rsidRPr="00F5640D">
        <w:rPr>
          <w:sz w:val="22"/>
          <w:szCs w:val="22"/>
        </w:rPr>
        <w:t xml:space="preserve">. Η εξέλιξη της αξίας των συναλλαγών που πραγματοποιήθηκε στην ΗΔΑΤ για </w:t>
      </w:r>
      <w:r>
        <w:rPr>
          <w:sz w:val="22"/>
          <w:szCs w:val="22"/>
        </w:rPr>
        <w:t>τα εννεάμηνα των ετών 2017 και 2018,</w:t>
      </w:r>
      <w:r w:rsidRPr="00F5640D">
        <w:rPr>
          <w:sz w:val="22"/>
          <w:szCs w:val="22"/>
        </w:rPr>
        <w:t xml:space="preserve"> ανά μήνα</w:t>
      </w:r>
      <w:r>
        <w:rPr>
          <w:sz w:val="22"/>
          <w:szCs w:val="22"/>
        </w:rPr>
        <w:t>,</w:t>
      </w:r>
      <w:r w:rsidR="00C66E5D">
        <w:rPr>
          <w:sz w:val="22"/>
          <w:szCs w:val="22"/>
        </w:rPr>
        <w:t xml:space="preserve"> παρουσιάζεται στο διάγραμμα 4.6</w:t>
      </w:r>
      <w:r w:rsidRPr="00F5640D">
        <w:rPr>
          <w:sz w:val="22"/>
          <w:szCs w:val="22"/>
        </w:rPr>
        <w:t>.</w:t>
      </w:r>
      <w:r w:rsidRPr="0093398E">
        <w:rPr>
          <w:sz w:val="22"/>
          <w:szCs w:val="22"/>
        </w:rPr>
        <w:t xml:space="preserve"> </w:t>
      </w:r>
    </w:p>
    <w:p w:rsidR="00C66E5D" w:rsidRDefault="00C66E5D" w:rsidP="00075428">
      <w:pPr>
        <w:pStyle w:val="a9"/>
        <w:jc w:val="both"/>
        <w:rPr>
          <w:sz w:val="22"/>
          <w:szCs w:val="22"/>
        </w:rPr>
      </w:pPr>
    </w:p>
    <w:p w:rsidR="00C66E5D" w:rsidRDefault="00C66E5D" w:rsidP="00075428">
      <w:pPr>
        <w:pStyle w:val="a9"/>
        <w:jc w:val="both"/>
        <w:rPr>
          <w:sz w:val="22"/>
          <w:szCs w:val="22"/>
        </w:rPr>
      </w:pPr>
    </w:p>
    <w:p w:rsidR="00C66E5D" w:rsidRDefault="00C66E5D" w:rsidP="00075428">
      <w:pPr>
        <w:pStyle w:val="a9"/>
        <w:jc w:val="both"/>
        <w:rPr>
          <w:sz w:val="22"/>
          <w:szCs w:val="22"/>
        </w:rPr>
      </w:pPr>
    </w:p>
    <w:p w:rsidR="00C66E5D" w:rsidRPr="0093398E" w:rsidRDefault="00C66E5D" w:rsidP="00075428">
      <w:pPr>
        <w:pStyle w:val="a9"/>
        <w:jc w:val="both"/>
        <w:rPr>
          <w:sz w:val="22"/>
          <w:szCs w:val="22"/>
        </w:rPr>
      </w:pPr>
    </w:p>
    <w:tbl>
      <w:tblPr>
        <w:tblW w:w="9306" w:type="dxa"/>
        <w:tblLook w:val="00A0"/>
      </w:tblPr>
      <w:tblGrid>
        <w:gridCol w:w="9306"/>
      </w:tblGrid>
      <w:tr w:rsidR="00E3365D" w:rsidRPr="0015043C" w:rsidTr="0099665D">
        <w:trPr>
          <w:trHeight w:val="120"/>
        </w:trPr>
        <w:tc>
          <w:tcPr>
            <w:tcW w:w="9306" w:type="dxa"/>
            <w:shd w:val="clear" w:color="auto" w:fill="404040" w:themeFill="text1" w:themeFillTint="BF"/>
          </w:tcPr>
          <w:p w:rsidR="00E3365D" w:rsidRPr="0015043C" w:rsidRDefault="00E3365D" w:rsidP="0099665D">
            <w:pPr>
              <w:autoSpaceDE w:val="0"/>
              <w:autoSpaceDN w:val="0"/>
              <w:adjustRightInd w:val="0"/>
              <w:spacing w:before="120"/>
              <w:jc w:val="center"/>
              <w:rPr>
                <w:rFonts w:ascii="Arial Narrow" w:hAnsi="Arial Narrow" w:cs="TimesNewRoman,Bold"/>
                <w:b/>
                <w:bCs/>
                <w:color w:val="FFFFFF"/>
              </w:rPr>
            </w:pPr>
            <w:r w:rsidRPr="0015043C">
              <w:rPr>
                <w:rFonts w:ascii="Arial Narrow" w:hAnsi="Arial Narrow" w:cs="TimesNewRoman,Bold+1"/>
                <w:b/>
                <w:bCs/>
                <w:color w:val="FFFFFF"/>
              </w:rPr>
              <w:lastRenderedPageBreak/>
              <w:t>Διάγρα</w:t>
            </w:r>
            <w:r w:rsidRPr="0015043C">
              <w:rPr>
                <w:rFonts w:ascii="Arial Narrow" w:hAnsi="Arial Narrow" w:cs="TimesNewRoman,Bold"/>
                <w:b/>
                <w:bCs/>
                <w:color w:val="FFFFFF"/>
              </w:rPr>
              <w:t>μμ</w:t>
            </w:r>
            <w:r w:rsidRPr="0015043C">
              <w:rPr>
                <w:rFonts w:ascii="Arial Narrow" w:hAnsi="Arial Narrow" w:cs="TimesNewRoman,Bold+1"/>
                <w:b/>
                <w:bCs/>
                <w:color w:val="FFFFFF"/>
              </w:rPr>
              <w:t xml:space="preserve">α </w:t>
            </w:r>
            <w:r w:rsidR="00C66E5D">
              <w:rPr>
                <w:rFonts w:ascii="Arial Narrow" w:hAnsi="Arial Narrow" w:cs="TimesNewRoman,Bold"/>
                <w:b/>
                <w:bCs/>
                <w:color w:val="FFFFFF"/>
              </w:rPr>
              <w:t>4.6</w:t>
            </w:r>
            <w:r>
              <w:rPr>
                <w:rFonts w:ascii="Arial Narrow" w:hAnsi="Arial Narrow" w:cs="TimesNewRoman,Bold"/>
                <w:b/>
                <w:bCs/>
                <w:color w:val="FFFFFF"/>
              </w:rPr>
              <w:t xml:space="preserve"> </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Μηνιαίος όγκος συναλλαγών επί τίτλων του Δη</w:t>
            </w:r>
            <w:r w:rsidRPr="0015043C">
              <w:rPr>
                <w:rFonts w:ascii="Arial Narrow" w:hAnsi="Arial Narrow" w:cs="TimesNewRoman,Bold"/>
                <w:b/>
                <w:bCs/>
                <w:color w:val="FFFFFF"/>
              </w:rPr>
              <w:t>μ</w:t>
            </w:r>
            <w:r w:rsidRPr="0015043C">
              <w:rPr>
                <w:rFonts w:ascii="Arial Narrow" w:hAnsi="Arial Narrow" w:cs="TimesNewRoman,Bold+1"/>
                <w:b/>
                <w:bCs/>
                <w:color w:val="FFFFFF"/>
              </w:rPr>
              <w:t>οσίου στην ΗΔΑΤ</w:t>
            </w:r>
            <w:r w:rsidRPr="0015043C">
              <w:rPr>
                <w:rFonts w:ascii="Arial Narrow" w:hAnsi="Arial Narrow" w:cs="TimesNewRoman,Bold"/>
                <w:b/>
                <w:bCs/>
                <w:color w:val="FFFFFF"/>
              </w:rPr>
              <w:t xml:space="preserve"> </w:t>
            </w:r>
          </w:p>
          <w:p w:rsidR="00E3365D" w:rsidRPr="0015043C" w:rsidRDefault="00E3365D" w:rsidP="0099665D">
            <w:pPr>
              <w:autoSpaceDE w:val="0"/>
              <w:autoSpaceDN w:val="0"/>
              <w:adjustRightInd w:val="0"/>
              <w:spacing w:after="120"/>
              <w:jc w:val="center"/>
              <w:rPr>
                <w:rFonts w:ascii="Arial Narrow" w:hAnsi="Arial Narrow" w:cs="TimesNewRoman,Bold"/>
                <w:b/>
                <w:bCs/>
                <w:color w:val="FFFFFF"/>
              </w:rPr>
            </w:pPr>
            <w:r w:rsidRPr="0015043C">
              <w:rPr>
                <w:rFonts w:ascii="Arial Narrow" w:hAnsi="Arial Narrow" w:cs="TimesNewRoman,Bold"/>
                <w:b/>
                <w:bCs/>
                <w:color w:val="FFFFFF"/>
              </w:rPr>
              <w:t>(</w:t>
            </w:r>
            <w:r w:rsidRPr="0015043C">
              <w:rPr>
                <w:rFonts w:ascii="Arial Narrow" w:hAnsi="Arial Narrow" w:cs="TimesNewRoman,Bold+1"/>
                <w:b/>
                <w:bCs/>
                <w:color w:val="FFFFFF"/>
              </w:rPr>
              <w:t>σε εκατ</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ευρώ</w:t>
            </w:r>
            <w:r w:rsidRPr="0015043C">
              <w:rPr>
                <w:rFonts w:ascii="Arial Narrow" w:hAnsi="Arial Narrow" w:cs="TimesNewRoman,Bold"/>
                <w:b/>
                <w:bCs/>
                <w:color w:val="FFFFFF"/>
              </w:rPr>
              <w:t>)</w:t>
            </w:r>
          </w:p>
        </w:tc>
      </w:tr>
      <w:tr w:rsidR="00E3365D" w:rsidRPr="0015043C" w:rsidTr="0099665D">
        <w:trPr>
          <w:trHeight w:val="120"/>
        </w:trPr>
        <w:tc>
          <w:tcPr>
            <w:tcW w:w="9306" w:type="dxa"/>
            <w:shd w:val="clear" w:color="auto" w:fill="auto"/>
          </w:tcPr>
          <w:p w:rsidR="00E3365D" w:rsidRPr="0015043C" w:rsidRDefault="00E3365D" w:rsidP="0099665D">
            <w:pPr>
              <w:autoSpaceDE w:val="0"/>
              <w:autoSpaceDN w:val="0"/>
              <w:adjustRightInd w:val="0"/>
              <w:jc w:val="center"/>
              <w:rPr>
                <w:rFonts w:ascii="Arial Narrow" w:hAnsi="Arial Narrow" w:cs="TimesNewRoman,Bold+1"/>
                <w:b/>
                <w:bCs/>
                <w:color w:val="FFFFFF"/>
              </w:rPr>
            </w:pPr>
            <w:r w:rsidRPr="00E3365D">
              <w:rPr>
                <w:rFonts w:ascii="Arial Narrow" w:hAnsi="Arial Narrow" w:cs="TimesNewRoman,Bold+1"/>
                <w:b/>
                <w:bCs/>
                <w:noProof/>
                <w:color w:val="FFFFFF"/>
              </w:rPr>
              <w:drawing>
                <wp:inline distT="0" distB="0" distL="0" distR="0">
                  <wp:extent cx="5486400" cy="2662392"/>
                  <wp:effectExtent l="0" t="0" r="0" b="0"/>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E3365D" w:rsidRPr="005C0AFA" w:rsidRDefault="00E3365D" w:rsidP="00E3365D">
      <w:pPr>
        <w:pStyle w:val="a9"/>
        <w:rPr>
          <w:rFonts w:ascii="Arial Narrow" w:hAnsi="Arial Narrow"/>
          <w:sz w:val="16"/>
          <w:szCs w:val="16"/>
        </w:rPr>
      </w:pPr>
      <w:r w:rsidRPr="005C0AFA">
        <w:rPr>
          <w:rFonts w:ascii="Arial Narrow" w:hAnsi="Arial Narrow"/>
          <w:sz w:val="16"/>
          <w:szCs w:val="16"/>
        </w:rPr>
        <w:t xml:space="preserve"> Πηγή: Τράπεζα Ελλάδος, ΗΔΑΤ</w:t>
      </w:r>
    </w:p>
    <w:p w:rsidR="00776A44" w:rsidRDefault="00776A44" w:rsidP="00E3365D">
      <w:pPr>
        <w:pStyle w:val="a9"/>
        <w:jc w:val="both"/>
        <w:rPr>
          <w:sz w:val="22"/>
          <w:szCs w:val="22"/>
        </w:rPr>
      </w:pPr>
    </w:p>
    <w:p w:rsidR="00E3365D" w:rsidRPr="00E42CB2" w:rsidRDefault="00E3365D" w:rsidP="00E3365D">
      <w:pPr>
        <w:pStyle w:val="a9"/>
        <w:jc w:val="both"/>
        <w:rPr>
          <w:sz w:val="22"/>
          <w:szCs w:val="22"/>
        </w:rPr>
      </w:pPr>
      <w:r w:rsidRPr="00E76651">
        <w:rPr>
          <w:sz w:val="22"/>
          <w:szCs w:val="22"/>
        </w:rPr>
        <w:t xml:space="preserve">Η σύνθεση της ομάδας των βασικών διαπραγματευτών αγοράς κατά το τρέχον έτος αποτελείται από </w:t>
      </w:r>
      <w:r>
        <w:rPr>
          <w:sz w:val="22"/>
          <w:szCs w:val="22"/>
        </w:rPr>
        <w:t>4 ελληνικά και 1</w:t>
      </w:r>
      <w:r w:rsidRPr="002244C2">
        <w:rPr>
          <w:sz w:val="22"/>
          <w:szCs w:val="22"/>
        </w:rPr>
        <w:t>7</w:t>
      </w:r>
      <w:r w:rsidRPr="00E76651">
        <w:rPr>
          <w:sz w:val="22"/>
          <w:szCs w:val="22"/>
        </w:rPr>
        <w:t xml:space="preserve"> διεθνή πιστωτικά ιδ</w:t>
      </w:r>
      <w:r w:rsidR="00E42CB2">
        <w:rPr>
          <w:sz w:val="22"/>
          <w:szCs w:val="22"/>
        </w:rPr>
        <w:t>ρύματα.</w:t>
      </w:r>
    </w:p>
    <w:p w:rsidR="00E42CB2" w:rsidRPr="00E42CB2" w:rsidRDefault="00E42CB2" w:rsidP="00E3365D">
      <w:pPr>
        <w:pStyle w:val="a9"/>
        <w:jc w:val="both"/>
        <w:rPr>
          <w:sz w:val="22"/>
          <w:szCs w:val="22"/>
        </w:rPr>
      </w:pPr>
    </w:p>
    <w:p w:rsidR="00E3365D" w:rsidRPr="0015043C" w:rsidRDefault="00E3365D" w:rsidP="00E3365D">
      <w:pPr>
        <w:shd w:val="clear" w:color="auto" w:fill="404040" w:themeFill="text1" w:themeFillTint="BF"/>
        <w:jc w:val="both"/>
        <w:rPr>
          <w:rFonts w:ascii="Arial Narrow" w:hAnsi="Arial Narrow"/>
          <w:b/>
          <w:bCs/>
          <w:color w:val="FFFFFF"/>
          <w:sz w:val="26"/>
          <w:szCs w:val="22"/>
        </w:rPr>
      </w:pPr>
      <w:r>
        <w:rPr>
          <w:rFonts w:ascii="Arial Narrow" w:hAnsi="Arial Narrow"/>
          <w:b/>
          <w:bCs/>
          <w:color w:val="FFFFFF"/>
          <w:sz w:val="26"/>
          <w:szCs w:val="22"/>
        </w:rPr>
        <w:t>7</w:t>
      </w:r>
      <w:r w:rsidRPr="0015043C">
        <w:rPr>
          <w:rFonts w:ascii="Arial Narrow" w:hAnsi="Arial Narrow"/>
          <w:b/>
          <w:bCs/>
          <w:color w:val="FFFFFF"/>
          <w:sz w:val="26"/>
          <w:szCs w:val="22"/>
        </w:rPr>
        <w:t>.</w:t>
      </w:r>
      <w:r w:rsidRPr="0015043C">
        <w:rPr>
          <w:rFonts w:ascii="Arial Narrow" w:hAnsi="Arial Narrow"/>
          <w:b/>
          <w:bCs/>
          <w:color w:val="FFFFFF"/>
          <w:sz w:val="26"/>
          <w:szCs w:val="22"/>
        </w:rPr>
        <w:tab/>
        <w:t xml:space="preserve">Βασικές κατευθύνσεις δανεισμού και </w:t>
      </w:r>
      <w:r>
        <w:rPr>
          <w:rFonts w:ascii="Arial Narrow" w:hAnsi="Arial Narrow"/>
          <w:b/>
          <w:bCs/>
          <w:color w:val="FFFFFF"/>
          <w:sz w:val="26"/>
          <w:szCs w:val="22"/>
        </w:rPr>
        <w:t>διαχειριστικοί στόχοι έτους 2019</w:t>
      </w:r>
    </w:p>
    <w:p w:rsidR="00E3365D" w:rsidRDefault="00E3365D" w:rsidP="00E3365D">
      <w:pPr>
        <w:jc w:val="both"/>
        <w:rPr>
          <w:sz w:val="22"/>
          <w:szCs w:val="22"/>
        </w:rPr>
      </w:pPr>
    </w:p>
    <w:p w:rsidR="00E3365D" w:rsidRPr="00FD5267" w:rsidRDefault="00E3365D" w:rsidP="00E3365D">
      <w:pPr>
        <w:jc w:val="both"/>
        <w:rPr>
          <w:sz w:val="22"/>
          <w:szCs w:val="22"/>
        </w:rPr>
      </w:pPr>
      <w:r w:rsidRPr="00FD5267">
        <w:rPr>
          <w:sz w:val="22"/>
          <w:szCs w:val="22"/>
        </w:rPr>
        <w:t xml:space="preserve">Κατά το έτος 2018 συνεχίστηκε η αξιοποίηση και η βέλτιστη διαχείριση του μεγαλύτερου μέρους των ταμειακών διαθεσίμων των φορέων της Γενικής Κυβέρνησης, μέσω της εφαρμογής του προγράμματος πράξεων διαχείρισης ταμειακής ρευστότητας υπό τη μορφή repo agreements, που συνάπτει ο </w:t>
      </w:r>
      <w:r w:rsidR="00D76EEA">
        <w:rPr>
          <w:sz w:val="22"/>
          <w:szCs w:val="22"/>
        </w:rPr>
        <w:t xml:space="preserve">       </w:t>
      </w:r>
      <w:r w:rsidRPr="00FD5267">
        <w:rPr>
          <w:sz w:val="22"/>
          <w:szCs w:val="22"/>
        </w:rPr>
        <w:t>ΟΔΔΗΧ</w:t>
      </w:r>
      <w:r w:rsidR="00D76EEA">
        <w:rPr>
          <w:sz w:val="22"/>
          <w:szCs w:val="22"/>
        </w:rPr>
        <w:t>. Ειδικότερα, μέσω του εν λόγω προγράμματος παρέχονται ανταγωνιστικές υψηλές αποδόσεις επ’ ωφελεία των φορέων, ενώ παράλληλα διασφαλίζεται αντίστοιχο όφελος ως προς το δημοσιονομ</w:t>
      </w:r>
      <w:r w:rsidR="00D76EEA">
        <w:rPr>
          <w:sz w:val="22"/>
          <w:szCs w:val="22"/>
        </w:rPr>
        <w:t>ι</w:t>
      </w:r>
      <w:r w:rsidR="00D76EEA">
        <w:rPr>
          <w:sz w:val="22"/>
          <w:szCs w:val="22"/>
        </w:rPr>
        <w:t>κό αποτέλεσμα της Γενικής Κυβέρνησης, με σωρευτικά θετικές επιπτώ</w:t>
      </w:r>
      <w:r w:rsidR="006B596A">
        <w:rPr>
          <w:sz w:val="22"/>
          <w:szCs w:val="22"/>
        </w:rPr>
        <w:t>σεις για τη βιωσιμότητα του δημοσί</w:t>
      </w:r>
      <w:r w:rsidR="00D76EEA">
        <w:rPr>
          <w:sz w:val="22"/>
          <w:szCs w:val="22"/>
        </w:rPr>
        <w:t>ου χρέους.</w:t>
      </w:r>
    </w:p>
    <w:p w:rsidR="00E3365D" w:rsidRPr="00FD5267" w:rsidRDefault="00E3365D" w:rsidP="00E3365D">
      <w:pPr>
        <w:jc w:val="both"/>
        <w:rPr>
          <w:sz w:val="22"/>
          <w:szCs w:val="22"/>
        </w:rPr>
      </w:pPr>
    </w:p>
    <w:p w:rsidR="00E3365D" w:rsidRPr="00FD5267" w:rsidRDefault="00E3365D" w:rsidP="00E3365D">
      <w:pPr>
        <w:jc w:val="both"/>
        <w:rPr>
          <w:sz w:val="22"/>
          <w:szCs w:val="22"/>
        </w:rPr>
      </w:pPr>
      <w:r w:rsidRPr="00FD5267">
        <w:rPr>
          <w:sz w:val="22"/>
          <w:szCs w:val="22"/>
        </w:rPr>
        <w:t>Η βραχυπρόθεσμη χρηματοδότηση του ΕΔ για το έτος 2018 συνεχίστηκε να υλοποιείται και μέσω ε</w:t>
      </w:r>
      <w:r w:rsidRPr="00FD5267">
        <w:rPr>
          <w:sz w:val="22"/>
          <w:szCs w:val="22"/>
        </w:rPr>
        <w:t>κ</w:t>
      </w:r>
      <w:r w:rsidRPr="00FD5267">
        <w:rPr>
          <w:sz w:val="22"/>
          <w:szCs w:val="22"/>
        </w:rPr>
        <w:t>δόσεων εντόκων γραμματίων, όπου για πρώτη φορά, στις 16/3/2018, μετά από σχεδόν οκτώ έτη, ήτοι από τον Απρίλιο του 2010, εκδόθηκαν ετήσια έντοκα γραμμάτια με διάρκεια 52 εβδομάδων. Αντίστ</w:t>
      </w:r>
      <w:r w:rsidRPr="00FD5267">
        <w:rPr>
          <w:sz w:val="22"/>
          <w:szCs w:val="22"/>
        </w:rPr>
        <w:t>ο</w:t>
      </w:r>
      <w:r w:rsidRPr="00FD5267">
        <w:rPr>
          <w:sz w:val="22"/>
          <w:szCs w:val="22"/>
        </w:rPr>
        <w:t>ιχες εκδόσεις έλαβαν χώρα τόσο τον Ιούνιο όσο και τον Σεπτέμβριο του τρέχοντος έτους, ενώ έχει προγραμματιστεί νέα έκδοση ετήσιων ΕΓΕΔ για τον μήνα Δεκέμβριο. Με τον τρόπο αυτό ολοκληρ</w:t>
      </w:r>
      <w:r w:rsidRPr="00FD5267">
        <w:rPr>
          <w:sz w:val="22"/>
          <w:szCs w:val="22"/>
        </w:rPr>
        <w:t>ώ</w:t>
      </w:r>
      <w:r w:rsidRPr="00FD5267">
        <w:rPr>
          <w:sz w:val="22"/>
          <w:szCs w:val="22"/>
        </w:rPr>
        <w:t>νεται ο σχεδιασμός για τη σταδιακή αντικατάσταση μέρους των υφιστάμενων εκδόσεων ΕΓΕΔ διά</w:t>
      </w:r>
      <w:r w:rsidRPr="00FD5267">
        <w:rPr>
          <w:sz w:val="22"/>
          <w:szCs w:val="22"/>
        </w:rPr>
        <w:t>ρ</w:t>
      </w:r>
      <w:r w:rsidR="0069413A">
        <w:rPr>
          <w:sz w:val="22"/>
          <w:szCs w:val="22"/>
        </w:rPr>
        <w:t>κεια</w:t>
      </w:r>
      <w:r w:rsidRPr="00FD5267">
        <w:rPr>
          <w:sz w:val="22"/>
          <w:szCs w:val="22"/>
        </w:rPr>
        <w:t>ς 13 και 26 εβδομάδων με νέες εκδόσεις ΕΓΕΔ 52 εβδομάδων, επιτυγχάνοντας παράλληλα την επέκταση της μέσης σταθμικής ωρίμανσης του βραχυχρόνιου δανεισμού και τον περαιτέρω περιορι</w:t>
      </w:r>
      <w:r w:rsidRPr="00FD5267">
        <w:rPr>
          <w:sz w:val="22"/>
          <w:szCs w:val="22"/>
        </w:rPr>
        <w:t>σ</w:t>
      </w:r>
      <w:r w:rsidRPr="00FD5267">
        <w:rPr>
          <w:sz w:val="22"/>
          <w:szCs w:val="22"/>
        </w:rPr>
        <w:t xml:space="preserve">μό του κινδύνου αναχρηματοδότησης. Στον σχεδιασμό για το δανειακό πρόγραμμα του έτους 2019 εντάσσεται, </w:t>
      </w:r>
      <w:r w:rsidR="0069413A">
        <w:rPr>
          <w:sz w:val="22"/>
          <w:szCs w:val="22"/>
        </w:rPr>
        <w:t>μεταξύ</w:t>
      </w:r>
      <w:r w:rsidRPr="00FD5267">
        <w:rPr>
          <w:sz w:val="22"/>
          <w:szCs w:val="22"/>
        </w:rPr>
        <w:t xml:space="preserve"> άλλων, η ανακύκλωση τεσ</w:t>
      </w:r>
      <w:r>
        <w:rPr>
          <w:sz w:val="22"/>
          <w:szCs w:val="22"/>
        </w:rPr>
        <w:t>σάρων εκδόσεων ΕΓΕΔ με διάρκεια</w:t>
      </w:r>
      <w:r w:rsidRPr="00FD5267">
        <w:rPr>
          <w:sz w:val="22"/>
          <w:szCs w:val="22"/>
        </w:rPr>
        <w:t xml:space="preserve"> 52 εβδομάδων. </w:t>
      </w:r>
    </w:p>
    <w:p w:rsidR="00E3365D" w:rsidRPr="00FD5267" w:rsidRDefault="00E3365D" w:rsidP="00E3365D">
      <w:pPr>
        <w:jc w:val="both"/>
        <w:rPr>
          <w:sz w:val="22"/>
          <w:szCs w:val="22"/>
        </w:rPr>
      </w:pPr>
    </w:p>
    <w:p w:rsidR="00E3365D" w:rsidRPr="00FD5267" w:rsidRDefault="0060175C" w:rsidP="00E3365D">
      <w:pPr>
        <w:jc w:val="both"/>
        <w:rPr>
          <w:sz w:val="22"/>
          <w:szCs w:val="22"/>
        </w:rPr>
      </w:pPr>
      <w:r>
        <w:rPr>
          <w:sz w:val="22"/>
          <w:szCs w:val="22"/>
        </w:rPr>
        <w:t xml:space="preserve">Η </w:t>
      </w:r>
      <w:r w:rsidR="00E3365D" w:rsidRPr="00FD5267">
        <w:rPr>
          <w:sz w:val="22"/>
          <w:szCs w:val="22"/>
        </w:rPr>
        <w:t xml:space="preserve">τελευταία έκδοση του </w:t>
      </w:r>
      <w:r>
        <w:rPr>
          <w:sz w:val="22"/>
          <w:szCs w:val="22"/>
        </w:rPr>
        <w:t>επτα</w:t>
      </w:r>
      <w:r w:rsidR="00E3365D" w:rsidRPr="00FD5267">
        <w:rPr>
          <w:sz w:val="22"/>
          <w:szCs w:val="22"/>
        </w:rPr>
        <w:t xml:space="preserve">ετούς ομολόγου του ΕΔ, τον Φεβρουάριο του 2018, που είχε </w:t>
      </w:r>
      <w:r>
        <w:rPr>
          <w:sz w:val="22"/>
          <w:szCs w:val="22"/>
        </w:rPr>
        <w:t xml:space="preserve">ως </w:t>
      </w:r>
      <w:r w:rsidRPr="00FD5267">
        <w:rPr>
          <w:sz w:val="22"/>
          <w:szCs w:val="22"/>
        </w:rPr>
        <w:t xml:space="preserve">στόχο </w:t>
      </w:r>
      <w:r w:rsidR="00E3365D" w:rsidRPr="00FD5267">
        <w:rPr>
          <w:sz w:val="22"/>
          <w:szCs w:val="22"/>
        </w:rPr>
        <w:t xml:space="preserve">την αναδημιουργία επαρκούς ρευστότητας, τον εμπλουτισμό της καμπύλης αποδόσεων ομολόγων </w:t>
      </w:r>
      <w:r w:rsidR="00E3365D" w:rsidRPr="00FD5267">
        <w:rPr>
          <w:sz w:val="22"/>
          <w:szCs w:val="22"/>
        </w:rPr>
        <w:t>α</w:t>
      </w:r>
      <w:r w:rsidR="00E3365D" w:rsidRPr="00FD5267">
        <w:rPr>
          <w:sz w:val="22"/>
          <w:szCs w:val="22"/>
        </w:rPr>
        <w:t>ναφοράς του ΕΔ, καθώς επίσης και την ενίσχυση των ταμειακών διαθεσίμων ασφαλείας για την α</w:t>
      </w:r>
      <w:r w:rsidR="00E3365D" w:rsidRPr="00FD5267">
        <w:rPr>
          <w:sz w:val="22"/>
          <w:szCs w:val="22"/>
        </w:rPr>
        <w:t>π</w:t>
      </w:r>
      <w:r w:rsidR="00E3365D" w:rsidRPr="00FD5267">
        <w:rPr>
          <w:sz w:val="22"/>
          <w:szCs w:val="22"/>
        </w:rPr>
        <w:t>ρόσκοπτη χρηματοδότηση του ΕΔ</w:t>
      </w:r>
      <w:r>
        <w:rPr>
          <w:sz w:val="22"/>
          <w:szCs w:val="22"/>
        </w:rPr>
        <w:t xml:space="preserve">. Σε συνέχεια της εν λόγω έκδοσης, </w:t>
      </w:r>
      <w:r w:rsidR="00E3365D" w:rsidRPr="00FD5267">
        <w:rPr>
          <w:sz w:val="22"/>
          <w:szCs w:val="22"/>
        </w:rPr>
        <w:t>ο σχεδιασμός της εκδοτικής π</w:t>
      </w:r>
      <w:r w:rsidR="00E3365D" w:rsidRPr="00FD5267">
        <w:rPr>
          <w:sz w:val="22"/>
          <w:szCs w:val="22"/>
        </w:rPr>
        <w:t>ο</w:t>
      </w:r>
      <w:r w:rsidR="00E3365D" w:rsidRPr="00FD5267">
        <w:rPr>
          <w:sz w:val="22"/>
          <w:szCs w:val="22"/>
        </w:rPr>
        <w:t>λιτικής για το έ</w:t>
      </w:r>
      <w:r>
        <w:rPr>
          <w:sz w:val="22"/>
          <w:szCs w:val="22"/>
        </w:rPr>
        <w:t>τος 2019</w:t>
      </w:r>
      <w:r w:rsidR="00E3365D" w:rsidRPr="00FD5267">
        <w:rPr>
          <w:sz w:val="22"/>
          <w:szCs w:val="22"/>
        </w:rPr>
        <w:t xml:space="preserve"> περιλαμβάνει</w:t>
      </w:r>
      <w:r>
        <w:rPr>
          <w:sz w:val="22"/>
          <w:szCs w:val="22"/>
        </w:rPr>
        <w:t xml:space="preserve">, </w:t>
      </w:r>
      <w:r w:rsidRPr="00FD5267">
        <w:rPr>
          <w:sz w:val="22"/>
          <w:szCs w:val="22"/>
        </w:rPr>
        <w:t xml:space="preserve">μεταξύ άλλων, </w:t>
      </w:r>
      <w:r w:rsidR="00E3365D" w:rsidRPr="00FD5267">
        <w:rPr>
          <w:sz w:val="22"/>
          <w:szCs w:val="22"/>
        </w:rPr>
        <w:t>σειρά νέων ομολογιακών εκδόσεων σταθερού επιτοκίου με κομβικές διάρκειες</w:t>
      </w:r>
      <w:r w:rsidR="0099665D">
        <w:rPr>
          <w:sz w:val="22"/>
          <w:szCs w:val="22"/>
        </w:rPr>
        <w:t>,</w:t>
      </w:r>
      <w:r w:rsidR="00E3365D" w:rsidRPr="00FD5267">
        <w:rPr>
          <w:sz w:val="22"/>
          <w:szCs w:val="22"/>
        </w:rPr>
        <w:t xml:space="preserve"> που θα συμπληρώνουν τα κενά του φάσματος λήξεων του ελληνικού χαρτοφυλακίου χρέους. </w:t>
      </w:r>
    </w:p>
    <w:p w:rsidR="00E3365D" w:rsidRPr="00FD5267" w:rsidRDefault="00E3365D" w:rsidP="00E3365D">
      <w:pPr>
        <w:jc w:val="both"/>
        <w:rPr>
          <w:sz w:val="22"/>
          <w:szCs w:val="22"/>
        </w:rPr>
      </w:pPr>
    </w:p>
    <w:p w:rsidR="00E3365D" w:rsidRPr="00FD5267" w:rsidRDefault="00E3365D" w:rsidP="00E3365D">
      <w:pPr>
        <w:jc w:val="both"/>
        <w:rPr>
          <w:sz w:val="22"/>
          <w:szCs w:val="22"/>
        </w:rPr>
      </w:pPr>
      <w:r w:rsidRPr="00FD5267">
        <w:rPr>
          <w:sz w:val="22"/>
          <w:szCs w:val="22"/>
        </w:rPr>
        <w:t>Λαμβανομένων υπόψη των υφιστάμενων υψηλών ταμειακών διαθεσίμων που διατηρεί το ΕΔ τα οπο</w:t>
      </w:r>
      <w:r w:rsidRPr="00FD5267">
        <w:rPr>
          <w:sz w:val="22"/>
          <w:szCs w:val="22"/>
        </w:rPr>
        <w:t>ί</w:t>
      </w:r>
      <w:r w:rsidRPr="00FD5267">
        <w:rPr>
          <w:sz w:val="22"/>
          <w:szCs w:val="22"/>
        </w:rPr>
        <w:t xml:space="preserve">α, ακόμα και υπό εξαιρετικά συντηρητικές </w:t>
      </w:r>
      <w:r w:rsidR="0060175C">
        <w:rPr>
          <w:sz w:val="22"/>
          <w:szCs w:val="22"/>
        </w:rPr>
        <w:t>εκτιμήσεις</w:t>
      </w:r>
      <w:r w:rsidRPr="00FD5267">
        <w:rPr>
          <w:sz w:val="22"/>
          <w:szCs w:val="22"/>
        </w:rPr>
        <w:t xml:space="preserve"> επαρκούν για να καλύψουν τις μικτές χρηματ</w:t>
      </w:r>
      <w:r w:rsidRPr="00FD5267">
        <w:rPr>
          <w:sz w:val="22"/>
          <w:szCs w:val="22"/>
        </w:rPr>
        <w:t>ο</w:t>
      </w:r>
      <w:r w:rsidRPr="00FD5267">
        <w:rPr>
          <w:sz w:val="22"/>
          <w:szCs w:val="22"/>
        </w:rPr>
        <w:t>δοτικές του ανάγκες</w:t>
      </w:r>
      <w:r w:rsidR="0099665D">
        <w:rPr>
          <w:sz w:val="22"/>
          <w:szCs w:val="22"/>
        </w:rPr>
        <w:t>,</w:t>
      </w:r>
      <w:r w:rsidRPr="00FD5267">
        <w:rPr>
          <w:sz w:val="22"/>
          <w:szCs w:val="22"/>
        </w:rPr>
        <w:t xml:space="preserve"> τουλάχιστον για τα δύο επόμενα έτη, οι στόχοι της εκδοτικής πολιτικής για το έτος 2019 αλλά και μετέπειτα θα προσανατολιστούν</w:t>
      </w:r>
      <w:r w:rsidR="00977014">
        <w:rPr>
          <w:sz w:val="22"/>
          <w:szCs w:val="22"/>
        </w:rPr>
        <w:t>:</w:t>
      </w:r>
      <w:r w:rsidRPr="00FD5267">
        <w:rPr>
          <w:sz w:val="22"/>
          <w:szCs w:val="22"/>
        </w:rPr>
        <w:t xml:space="preserve"> σ</w:t>
      </w:r>
      <w:r w:rsidR="0060175C">
        <w:rPr>
          <w:sz w:val="22"/>
          <w:szCs w:val="22"/>
        </w:rPr>
        <w:t>ε</w:t>
      </w:r>
      <w:r w:rsidRPr="00FD5267">
        <w:rPr>
          <w:sz w:val="22"/>
          <w:szCs w:val="22"/>
        </w:rPr>
        <w:t xml:space="preserve"> </w:t>
      </w:r>
      <w:r w:rsidR="0060175C">
        <w:rPr>
          <w:sz w:val="22"/>
          <w:szCs w:val="22"/>
        </w:rPr>
        <w:t>ομολογιακές</w:t>
      </w:r>
      <w:r w:rsidRPr="00FD5267">
        <w:rPr>
          <w:sz w:val="22"/>
          <w:szCs w:val="22"/>
        </w:rPr>
        <w:t xml:space="preserve"> εκδόσε</w:t>
      </w:r>
      <w:r w:rsidR="0060175C">
        <w:rPr>
          <w:sz w:val="22"/>
          <w:szCs w:val="22"/>
        </w:rPr>
        <w:t>ις</w:t>
      </w:r>
      <w:r w:rsidRPr="00FD5267">
        <w:rPr>
          <w:sz w:val="22"/>
          <w:szCs w:val="22"/>
        </w:rPr>
        <w:t xml:space="preserve"> με υψηλή ρευστότητα και όγκο, στη διατήρηση μίας αντιπροσωπευτικής καμπύλης αποδόσεων ελληνικών κρατικών χρεο</w:t>
      </w:r>
      <w:r w:rsidRPr="00FD5267">
        <w:rPr>
          <w:sz w:val="22"/>
          <w:szCs w:val="22"/>
        </w:rPr>
        <w:t>γ</w:t>
      </w:r>
      <w:r w:rsidRPr="00FD5267">
        <w:rPr>
          <w:sz w:val="22"/>
          <w:szCs w:val="22"/>
        </w:rPr>
        <w:t>ράφων αναφοράς</w:t>
      </w:r>
      <w:r w:rsidR="0099665D">
        <w:rPr>
          <w:sz w:val="22"/>
          <w:szCs w:val="22"/>
        </w:rPr>
        <w:t>,</w:t>
      </w:r>
      <w:r w:rsidRPr="00FD5267">
        <w:rPr>
          <w:sz w:val="22"/>
          <w:szCs w:val="22"/>
        </w:rPr>
        <w:t xml:space="preserve"> καθώς επίσης και στη συνεχή και αδιάλειπτη παρουσία του ΕΔ στις διεθνείς κεφ</w:t>
      </w:r>
      <w:r w:rsidRPr="00FD5267">
        <w:rPr>
          <w:sz w:val="22"/>
          <w:szCs w:val="22"/>
        </w:rPr>
        <w:t>α</w:t>
      </w:r>
      <w:r w:rsidRPr="00FD5267">
        <w:rPr>
          <w:sz w:val="22"/>
          <w:szCs w:val="22"/>
        </w:rPr>
        <w:t>λαιαγορές</w:t>
      </w:r>
      <w:r w:rsidR="0099665D">
        <w:rPr>
          <w:sz w:val="22"/>
          <w:szCs w:val="22"/>
        </w:rPr>
        <w:t>,</w:t>
      </w:r>
      <w:r w:rsidRPr="00FD5267">
        <w:rPr>
          <w:sz w:val="22"/>
          <w:szCs w:val="22"/>
        </w:rPr>
        <w:t xml:space="preserve"> ως εκδότη κρατικών χρεογράφων, παρέχοντας παράλληλα την αναγκαία διαφάνεια και προβλεψιμότητα στην επενδυτική κοινότητα. </w:t>
      </w:r>
    </w:p>
    <w:p w:rsidR="00E3365D" w:rsidRPr="00FD5267" w:rsidRDefault="00E3365D" w:rsidP="00E3365D">
      <w:pPr>
        <w:jc w:val="both"/>
        <w:rPr>
          <w:sz w:val="22"/>
          <w:szCs w:val="22"/>
        </w:rPr>
      </w:pPr>
    </w:p>
    <w:p w:rsidR="00E3365D" w:rsidRPr="00FD5267" w:rsidRDefault="00E3365D" w:rsidP="00E3365D">
      <w:pPr>
        <w:jc w:val="both"/>
        <w:rPr>
          <w:sz w:val="22"/>
          <w:szCs w:val="22"/>
        </w:rPr>
      </w:pPr>
      <w:r w:rsidRPr="00FD5267">
        <w:rPr>
          <w:sz w:val="22"/>
          <w:szCs w:val="22"/>
        </w:rPr>
        <w:t>Το σύνολο των νέων ετήσιων εκδόσεων δεν αναμένεται να ξεπερνά τις ετήσιες αποπληρωμές χρεολ</w:t>
      </w:r>
      <w:r w:rsidRPr="00FD5267">
        <w:rPr>
          <w:sz w:val="22"/>
          <w:szCs w:val="22"/>
        </w:rPr>
        <w:t>υ</w:t>
      </w:r>
      <w:r w:rsidRPr="00FD5267">
        <w:rPr>
          <w:sz w:val="22"/>
          <w:szCs w:val="22"/>
        </w:rPr>
        <w:t xml:space="preserve">σίων, ενώ η αναμενόμενη υπερβάλλουσα ρευστότητα θα αξιοποιηθεί στο πλαίσιο ενός συντεταγμένου προγράμματος διαχείρισης υφιστάμενων υποχρεώσεων χαρτοφυλακίου χρέους, κατά τα πρότυπα των αντίστοιχων προγραμμάτων που έλαβαν χώρα στο πρόσφατο παρελθόν. </w:t>
      </w:r>
    </w:p>
    <w:p w:rsidR="0060175C" w:rsidRDefault="0060175C" w:rsidP="00E3365D">
      <w:pPr>
        <w:jc w:val="both"/>
        <w:rPr>
          <w:sz w:val="22"/>
          <w:szCs w:val="22"/>
        </w:rPr>
      </w:pPr>
    </w:p>
    <w:p w:rsidR="00E3365D" w:rsidRPr="00FD5267" w:rsidRDefault="00E3365D" w:rsidP="00E3365D">
      <w:pPr>
        <w:jc w:val="both"/>
        <w:rPr>
          <w:sz w:val="22"/>
          <w:szCs w:val="22"/>
        </w:rPr>
      </w:pPr>
      <w:r w:rsidRPr="00FD5267">
        <w:rPr>
          <w:sz w:val="22"/>
          <w:szCs w:val="22"/>
        </w:rPr>
        <w:t>Κατά το επόμενο έτος, θα διατηρηθούν οι βασικοί μεσοπρόθεσμοι στόχοι διαχείρισης του χαρτοφ</w:t>
      </w:r>
      <w:r w:rsidRPr="00FD5267">
        <w:rPr>
          <w:sz w:val="22"/>
          <w:szCs w:val="22"/>
        </w:rPr>
        <w:t>υ</w:t>
      </w:r>
      <w:r w:rsidRPr="00FD5267">
        <w:rPr>
          <w:sz w:val="22"/>
          <w:szCs w:val="22"/>
        </w:rPr>
        <w:t>λακίου δημοσίου χρέους, όπως είναι η διατήρηση του συναλλαγματικού κινδύνου στα σημερινά ελ</w:t>
      </w:r>
      <w:r w:rsidRPr="00FD5267">
        <w:rPr>
          <w:sz w:val="22"/>
          <w:szCs w:val="22"/>
        </w:rPr>
        <w:t>ά</w:t>
      </w:r>
      <w:r w:rsidRPr="00FD5267">
        <w:rPr>
          <w:sz w:val="22"/>
          <w:szCs w:val="22"/>
        </w:rPr>
        <w:t xml:space="preserve">χιστα επίπεδα για τα δάνεια εκτός ευρώ και η βελτίωση της αναλογίας χρέους σταθερού επιτοκίου στο σύνολο του χαρτοφυλακίου. </w:t>
      </w:r>
    </w:p>
    <w:p w:rsidR="00E3365D" w:rsidRPr="00FD5267" w:rsidRDefault="00E3365D" w:rsidP="00E3365D">
      <w:pPr>
        <w:jc w:val="both"/>
        <w:rPr>
          <w:sz w:val="22"/>
          <w:szCs w:val="22"/>
        </w:rPr>
      </w:pPr>
    </w:p>
    <w:p w:rsidR="00E3365D" w:rsidRPr="00FD5267" w:rsidRDefault="00437892" w:rsidP="00E3365D">
      <w:pPr>
        <w:jc w:val="both"/>
        <w:rPr>
          <w:sz w:val="22"/>
          <w:szCs w:val="22"/>
        </w:rPr>
      </w:pPr>
      <w:r>
        <w:rPr>
          <w:sz w:val="22"/>
          <w:szCs w:val="22"/>
        </w:rPr>
        <w:t>Σημειώνεται ότι</w:t>
      </w:r>
      <w:r w:rsidR="00E3365D" w:rsidRPr="00FD5267">
        <w:rPr>
          <w:sz w:val="22"/>
          <w:szCs w:val="22"/>
        </w:rPr>
        <w:t xml:space="preserve"> </w:t>
      </w:r>
      <w:r w:rsidR="0060175C">
        <w:rPr>
          <w:sz w:val="22"/>
          <w:szCs w:val="22"/>
        </w:rPr>
        <w:t xml:space="preserve">μετά </w:t>
      </w:r>
      <w:r w:rsidR="00E3365D" w:rsidRPr="00FD5267">
        <w:rPr>
          <w:sz w:val="22"/>
          <w:szCs w:val="22"/>
        </w:rPr>
        <w:t>(α) την ολοκλήρωση της εφαρμογής τόσο των βραχυχρόνιων μέτρων για το χρέος όσο και των αποφάσεων για τα μεσο-μακροχρόνια μέτρα, (β) την ενσωμάτωση των παραμέ</w:t>
      </w:r>
      <w:r w:rsidR="00E3365D" w:rsidRPr="00FD5267">
        <w:rPr>
          <w:sz w:val="22"/>
          <w:szCs w:val="22"/>
        </w:rPr>
        <w:t>τ</w:t>
      </w:r>
      <w:r w:rsidR="00E3365D" w:rsidRPr="00FD5267">
        <w:rPr>
          <w:sz w:val="22"/>
          <w:szCs w:val="22"/>
        </w:rPr>
        <w:t>ρων κινδύνου του χαρτοφυλακίου υποχρεώσεων του EFSF στο χαρτοφυλάκιο του ελληνικού δημόσ</w:t>
      </w:r>
      <w:r w:rsidR="00E3365D" w:rsidRPr="00FD5267">
        <w:rPr>
          <w:sz w:val="22"/>
          <w:szCs w:val="22"/>
        </w:rPr>
        <w:t>ι</w:t>
      </w:r>
      <w:r w:rsidR="00E3365D" w:rsidRPr="00FD5267">
        <w:rPr>
          <w:sz w:val="22"/>
          <w:szCs w:val="22"/>
        </w:rPr>
        <w:t xml:space="preserve">ου χρέους και (γ) την υλοποίηση του εγκεκριμένου διαχειριστικού προγράμματος για το έτος 2018, η συμμετοχή των υποχρεώσεων κυμαινόμενου επιτοκίου στο σύνολο του δημοσίου χρέους αναμένεται να περιοριστεί κάτω του </w:t>
      </w:r>
      <w:r w:rsidR="00E3365D">
        <w:rPr>
          <w:sz w:val="22"/>
          <w:szCs w:val="22"/>
        </w:rPr>
        <w:t>15</w:t>
      </w:r>
      <w:r w:rsidR="00E3365D" w:rsidRPr="00FD5267">
        <w:rPr>
          <w:sz w:val="22"/>
          <w:szCs w:val="22"/>
        </w:rPr>
        <w:t>%, μειώνοντας σημαντικά τον επιτοκιακό κίνδυνο για το ΕΔ. Αξιοσημεί</w:t>
      </w:r>
      <w:r w:rsidR="00E3365D" w:rsidRPr="00FD5267">
        <w:rPr>
          <w:sz w:val="22"/>
          <w:szCs w:val="22"/>
        </w:rPr>
        <w:t>ω</w:t>
      </w:r>
      <w:r w:rsidR="00E3365D" w:rsidRPr="00FD5267">
        <w:rPr>
          <w:sz w:val="22"/>
          <w:szCs w:val="22"/>
        </w:rPr>
        <w:t>το είναι επίσης ότι τα παραπάνω επετεύχθησαν σε περιβάλλον ιστορικά χαμηλών επιτοκίων, διασφ</w:t>
      </w:r>
      <w:r w:rsidR="00E3365D" w:rsidRPr="00FD5267">
        <w:rPr>
          <w:sz w:val="22"/>
          <w:szCs w:val="22"/>
        </w:rPr>
        <w:t>α</w:t>
      </w:r>
      <w:r w:rsidR="00E3365D" w:rsidRPr="00FD5267">
        <w:rPr>
          <w:sz w:val="22"/>
          <w:szCs w:val="22"/>
        </w:rPr>
        <w:t>λίζοντας έτσι επί μακρό χρονικό διάστημα χαμηλές, σταθερές και προβλέψιμες δαπάνες τόκων για το ΕΔ. Εφόσον οι συνθήκες της αγοράς παραμείνουν ευνοϊκές, η διαχειριστική αυτή πολιτική θα συν</w:t>
      </w:r>
      <w:r w:rsidR="00E3365D" w:rsidRPr="00FD5267">
        <w:rPr>
          <w:sz w:val="22"/>
          <w:szCs w:val="22"/>
        </w:rPr>
        <w:t>ε</w:t>
      </w:r>
      <w:r w:rsidR="00E3365D" w:rsidRPr="00FD5267">
        <w:rPr>
          <w:sz w:val="22"/>
          <w:szCs w:val="22"/>
        </w:rPr>
        <w:t>χισθεί περαιτέρω.</w:t>
      </w:r>
    </w:p>
    <w:p w:rsidR="001A423E" w:rsidRDefault="001A423E">
      <w:pPr>
        <w:rPr>
          <w:rFonts w:ascii="Arial Narrow" w:hAnsi="Arial Narrow"/>
          <w:b/>
          <w:color w:val="FFFFFF"/>
          <w:sz w:val="26"/>
          <w:szCs w:val="26"/>
        </w:rPr>
      </w:pPr>
    </w:p>
    <w:p w:rsidR="008866E1" w:rsidRDefault="008866E1" w:rsidP="008866E1">
      <w:pPr>
        <w:jc w:val="both"/>
        <w:rPr>
          <w:rFonts w:ascii="Arial Narrow" w:hAnsi="Arial Narrow"/>
          <w:b/>
          <w:color w:val="FFFFFF"/>
          <w:sz w:val="26"/>
          <w:szCs w:val="26"/>
        </w:rPr>
      </w:pPr>
    </w:p>
    <w:p w:rsidR="00BA1AB3" w:rsidRPr="009367DF" w:rsidRDefault="00BA1AB3" w:rsidP="00BA1AB3">
      <w:pPr>
        <w:shd w:val="clear" w:color="auto" w:fill="595959"/>
        <w:jc w:val="both"/>
        <w:rPr>
          <w:rFonts w:ascii="Arial Narrow" w:hAnsi="Arial Narrow"/>
          <w:b/>
          <w:color w:val="FFFFFF"/>
          <w:sz w:val="26"/>
          <w:szCs w:val="26"/>
        </w:rPr>
      </w:pPr>
      <w:r w:rsidRPr="009367DF">
        <w:rPr>
          <w:rFonts w:ascii="Arial Narrow" w:hAnsi="Arial Narrow"/>
          <w:b/>
          <w:color w:val="FFFFFF"/>
          <w:sz w:val="26"/>
          <w:szCs w:val="26"/>
        </w:rPr>
        <w:t xml:space="preserve">ΕΓΓΥΗΣΕΙΣ </w:t>
      </w:r>
    </w:p>
    <w:p w:rsidR="00BA1AB3" w:rsidRPr="009367DF" w:rsidRDefault="00BA1AB3" w:rsidP="00BA1AB3">
      <w:pPr>
        <w:jc w:val="both"/>
        <w:rPr>
          <w:sz w:val="22"/>
          <w:szCs w:val="22"/>
        </w:rPr>
      </w:pPr>
    </w:p>
    <w:p w:rsidR="00BA1AB3" w:rsidRDefault="00BA1AB3" w:rsidP="00BA1AB3">
      <w:pPr>
        <w:jc w:val="both"/>
        <w:rPr>
          <w:sz w:val="22"/>
          <w:szCs w:val="22"/>
        </w:rPr>
      </w:pPr>
    </w:p>
    <w:p w:rsidR="00BA1AB3" w:rsidRPr="005C2E30" w:rsidRDefault="00BA1AB3" w:rsidP="00BA1AB3">
      <w:pPr>
        <w:jc w:val="both"/>
        <w:rPr>
          <w:sz w:val="22"/>
          <w:szCs w:val="22"/>
        </w:rPr>
      </w:pPr>
      <w:r w:rsidRPr="005C2E30">
        <w:rPr>
          <w:sz w:val="22"/>
          <w:szCs w:val="22"/>
        </w:rPr>
        <w:t xml:space="preserve">Η </w:t>
      </w:r>
      <w:r>
        <w:rPr>
          <w:sz w:val="22"/>
          <w:szCs w:val="22"/>
        </w:rPr>
        <w:t>χορήγηση</w:t>
      </w:r>
      <w:r w:rsidRPr="005C2E30">
        <w:rPr>
          <w:sz w:val="22"/>
          <w:szCs w:val="22"/>
        </w:rPr>
        <w:t xml:space="preserve"> εγγυήσεων από το Ελληνικό Δημόσιο αποτελεί ένα σημαντικό </w:t>
      </w:r>
      <w:r w:rsidR="00850621">
        <w:rPr>
          <w:sz w:val="22"/>
          <w:szCs w:val="22"/>
        </w:rPr>
        <w:t xml:space="preserve">μέσο στην </w:t>
      </w:r>
      <w:r w:rsidR="00F846B6">
        <w:rPr>
          <w:sz w:val="22"/>
          <w:szCs w:val="22"/>
        </w:rPr>
        <w:t>άσκηση δημ</w:t>
      </w:r>
      <w:r w:rsidR="00F846B6">
        <w:rPr>
          <w:sz w:val="22"/>
          <w:szCs w:val="22"/>
        </w:rPr>
        <w:t>ο</w:t>
      </w:r>
      <w:r w:rsidR="00F846B6">
        <w:rPr>
          <w:sz w:val="22"/>
          <w:szCs w:val="22"/>
        </w:rPr>
        <w:t>σιονομ</w:t>
      </w:r>
      <w:r w:rsidR="008866E1">
        <w:rPr>
          <w:sz w:val="22"/>
          <w:szCs w:val="22"/>
        </w:rPr>
        <w:t>ι</w:t>
      </w:r>
      <w:r w:rsidR="00F846B6">
        <w:rPr>
          <w:sz w:val="22"/>
          <w:szCs w:val="22"/>
        </w:rPr>
        <w:t>κής πολιτικής</w:t>
      </w:r>
      <w:r w:rsidRPr="005C2E30">
        <w:rPr>
          <w:sz w:val="22"/>
          <w:szCs w:val="22"/>
        </w:rPr>
        <w:t>, το οποίο μέχρι σήμερα έχει χρησιμοποιηθεί για τη χρηματοδότηση δημ</w:t>
      </w:r>
      <w:r>
        <w:rPr>
          <w:sz w:val="22"/>
          <w:szCs w:val="22"/>
        </w:rPr>
        <w:t>όσι</w:t>
      </w:r>
      <w:r w:rsidRPr="005C2E30">
        <w:rPr>
          <w:sz w:val="22"/>
          <w:szCs w:val="22"/>
        </w:rPr>
        <w:t>ων και ιδιωτικών φορέων της οικονομίας.</w:t>
      </w:r>
    </w:p>
    <w:p w:rsidR="00BA1AB3" w:rsidRPr="005C2E30" w:rsidRDefault="00BA1AB3" w:rsidP="00BA1AB3">
      <w:pPr>
        <w:jc w:val="both"/>
        <w:rPr>
          <w:sz w:val="22"/>
          <w:szCs w:val="22"/>
        </w:rPr>
      </w:pPr>
    </w:p>
    <w:p w:rsidR="00BA1AB3" w:rsidRDefault="00850621" w:rsidP="00BA1AB3">
      <w:pPr>
        <w:jc w:val="both"/>
        <w:rPr>
          <w:sz w:val="22"/>
          <w:szCs w:val="22"/>
        </w:rPr>
      </w:pPr>
      <w:r>
        <w:rPr>
          <w:sz w:val="22"/>
          <w:szCs w:val="22"/>
        </w:rPr>
        <w:t>Βασική επιδίωξη είναι η ορθή διαχείριση των εγγυήσεων, σύμφωνα με διαφανή και αντικειμενικά κριτήρια, όπως προβλέπονται στο ν. 4549/2018 (άρθρα 91-108) και στην ευρωπαϊκή νομοθεσία περί κρατικών ενισχύσεων (άρθρα 107-108 της ΣΛΕΕ).</w:t>
      </w:r>
    </w:p>
    <w:p w:rsidR="00850621" w:rsidRPr="00735AF7" w:rsidRDefault="00850621" w:rsidP="00BA1AB3">
      <w:pPr>
        <w:jc w:val="both"/>
        <w:rPr>
          <w:sz w:val="22"/>
          <w:szCs w:val="22"/>
        </w:rPr>
      </w:pPr>
    </w:p>
    <w:p w:rsidR="00BA1AB3" w:rsidRPr="00735AF7" w:rsidRDefault="00BA1AB3" w:rsidP="00BA1AB3">
      <w:pPr>
        <w:jc w:val="both"/>
        <w:rPr>
          <w:sz w:val="22"/>
          <w:szCs w:val="22"/>
        </w:rPr>
      </w:pPr>
      <w:r w:rsidRPr="00AF5716">
        <w:rPr>
          <w:sz w:val="22"/>
          <w:szCs w:val="22"/>
        </w:rPr>
        <w:t xml:space="preserve">Συγκεκριμένα, η πολιτική εγγυήσεων </w:t>
      </w:r>
      <w:r w:rsidR="00977014">
        <w:rPr>
          <w:sz w:val="22"/>
          <w:szCs w:val="22"/>
        </w:rPr>
        <w:t xml:space="preserve">που ακολουθήθηκε </w:t>
      </w:r>
      <w:r w:rsidR="000819F1">
        <w:rPr>
          <w:sz w:val="22"/>
          <w:szCs w:val="22"/>
        </w:rPr>
        <w:t xml:space="preserve">κατά τα προηγούμενα έτη </w:t>
      </w:r>
      <w:r w:rsidR="00977014">
        <w:rPr>
          <w:sz w:val="22"/>
          <w:szCs w:val="22"/>
        </w:rPr>
        <w:t>ήταν ενταγμένη</w:t>
      </w:r>
      <w:r w:rsidR="00977014" w:rsidRPr="00AF5716">
        <w:rPr>
          <w:sz w:val="22"/>
          <w:szCs w:val="22"/>
        </w:rPr>
        <w:t xml:space="preserve"> </w:t>
      </w:r>
      <w:r w:rsidRPr="00AF5716">
        <w:rPr>
          <w:sz w:val="22"/>
          <w:szCs w:val="22"/>
        </w:rPr>
        <w:t xml:space="preserve">στο πλαίσιο των κριτηρίων και των στόχων </w:t>
      </w:r>
      <w:r>
        <w:rPr>
          <w:sz w:val="22"/>
          <w:szCs w:val="22"/>
        </w:rPr>
        <w:t>της Σύμβασης Χρηματοδοτικής Διευκόλυνσης</w:t>
      </w:r>
      <w:r w:rsidRPr="00AF5716">
        <w:rPr>
          <w:sz w:val="22"/>
          <w:szCs w:val="22"/>
        </w:rPr>
        <w:t xml:space="preserve">, με το όριο </w:t>
      </w:r>
      <w:r w:rsidR="000819F1">
        <w:rPr>
          <w:sz w:val="22"/>
          <w:szCs w:val="22"/>
        </w:rPr>
        <w:t xml:space="preserve">παροχής νέων </w:t>
      </w:r>
      <w:r w:rsidRPr="00AF5716">
        <w:rPr>
          <w:sz w:val="22"/>
          <w:szCs w:val="22"/>
        </w:rPr>
        <w:t>εγγυήσεων να είναι κατ’ αρχήν μηδενικό με εξαίρεση:</w:t>
      </w:r>
    </w:p>
    <w:p w:rsidR="00BA1AB3" w:rsidRPr="00735AF7" w:rsidRDefault="00BA1AB3" w:rsidP="00BA1AB3">
      <w:pPr>
        <w:jc w:val="both"/>
        <w:rPr>
          <w:sz w:val="22"/>
          <w:szCs w:val="22"/>
        </w:rPr>
      </w:pPr>
    </w:p>
    <w:p w:rsidR="00BA1AB3" w:rsidRPr="00AF5716" w:rsidRDefault="00BA1AB3" w:rsidP="00BA1AB3">
      <w:pPr>
        <w:numPr>
          <w:ilvl w:val="0"/>
          <w:numId w:val="47"/>
        </w:numPr>
        <w:jc w:val="both"/>
        <w:rPr>
          <w:sz w:val="22"/>
          <w:szCs w:val="22"/>
        </w:rPr>
      </w:pPr>
      <w:r w:rsidRPr="00AF5716">
        <w:rPr>
          <w:sz w:val="22"/>
          <w:szCs w:val="22"/>
        </w:rPr>
        <w:t>τις εγγυήσεις που παρέχονται για δανεισμό φορέων εντός της Γενικής Κυβέρνησης,</w:t>
      </w:r>
    </w:p>
    <w:p w:rsidR="00BA1AB3" w:rsidRPr="00AF5716" w:rsidRDefault="00BA1AB3" w:rsidP="00BA1AB3">
      <w:pPr>
        <w:numPr>
          <w:ilvl w:val="0"/>
          <w:numId w:val="47"/>
        </w:numPr>
        <w:jc w:val="both"/>
        <w:rPr>
          <w:sz w:val="22"/>
          <w:szCs w:val="22"/>
        </w:rPr>
      </w:pPr>
      <w:r w:rsidRPr="00AF5716">
        <w:rPr>
          <w:sz w:val="22"/>
          <w:szCs w:val="22"/>
        </w:rPr>
        <w:t xml:space="preserve">τις εγγυήσεις που παρέχονται για τη στήριξη των τραπεζών, </w:t>
      </w:r>
    </w:p>
    <w:p w:rsidR="00BA1AB3" w:rsidRPr="00AF5716" w:rsidRDefault="00BA1AB3" w:rsidP="00BA1AB3">
      <w:pPr>
        <w:numPr>
          <w:ilvl w:val="0"/>
          <w:numId w:val="47"/>
        </w:numPr>
        <w:jc w:val="both"/>
        <w:rPr>
          <w:sz w:val="22"/>
          <w:szCs w:val="22"/>
        </w:rPr>
      </w:pPr>
      <w:r w:rsidRPr="00AF5716">
        <w:rPr>
          <w:sz w:val="22"/>
          <w:szCs w:val="22"/>
        </w:rPr>
        <w:t>τις εγγυήσεις που σχετίζονται με δάνεια που χορηγούνται από την Ευρωπαϊκή Τράπεζα Επενδ</w:t>
      </w:r>
      <w:r w:rsidRPr="00AF5716">
        <w:rPr>
          <w:sz w:val="22"/>
          <w:szCs w:val="22"/>
        </w:rPr>
        <w:t>ύ</w:t>
      </w:r>
      <w:r w:rsidRPr="00AF5716">
        <w:rPr>
          <w:sz w:val="22"/>
          <w:szCs w:val="22"/>
        </w:rPr>
        <w:t>σεων,</w:t>
      </w:r>
    </w:p>
    <w:p w:rsidR="00BA1AB3" w:rsidRPr="00AF5716" w:rsidRDefault="00BA1AB3" w:rsidP="00BA1AB3">
      <w:pPr>
        <w:numPr>
          <w:ilvl w:val="0"/>
          <w:numId w:val="47"/>
        </w:numPr>
        <w:jc w:val="both"/>
        <w:rPr>
          <w:sz w:val="22"/>
          <w:szCs w:val="22"/>
        </w:rPr>
      </w:pPr>
      <w:r w:rsidRPr="00AF5716">
        <w:rPr>
          <w:sz w:val="22"/>
          <w:szCs w:val="22"/>
        </w:rPr>
        <w:t>τις εγγυήσεις που χορηγούνται για φυσικές καταστροφές σε ιδιώτες και επιχειρήσεις που έχουν αποδεδειγμένα υποστεί ζημιές (μείον τυχόν ποσά που εισέπραξαν ως ασφαλιστική αποζημίωση), μέ</w:t>
      </w:r>
      <w:r>
        <w:rPr>
          <w:sz w:val="22"/>
          <w:szCs w:val="22"/>
        </w:rPr>
        <w:t>χρι του ποσού των 30 εκατ. ευρώ</w:t>
      </w:r>
      <w:r w:rsidRPr="00AF5716">
        <w:rPr>
          <w:sz w:val="22"/>
          <w:szCs w:val="22"/>
        </w:rPr>
        <w:t xml:space="preserve">.  </w:t>
      </w:r>
    </w:p>
    <w:p w:rsidR="00BA1AB3" w:rsidRPr="00735AF7" w:rsidRDefault="00BA1AB3" w:rsidP="00BA1AB3">
      <w:pPr>
        <w:jc w:val="both"/>
        <w:rPr>
          <w:sz w:val="22"/>
          <w:szCs w:val="22"/>
        </w:rPr>
      </w:pPr>
    </w:p>
    <w:p w:rsidR="005A36C1" w:rsidRDefault="005A36C1" w:rsidP="00BA1AB3">
      <w:pPr>
        <w:jc w:val="both"/>
        <w:rPr>
          <w:sz w:val="22"/>
          <w:szCs w:val="22"/>
        </w:rPr>
      </w:pPr>
      <w:r>
        <w:rPr>
          <w:sz w:val="22"/>
          <w:szCs w:val="22"/>
        </w:rPr>
        <w:t>Από το έτος 2019 και εξής το ανώτατο όριο παροχής νέων εγγυήσεων καθορίζεται με απόφαση του Υπουργού Οικονομικών βάσει των διατάξεων του άρθρου 104 του ν. 4549/2018 και δεν δύναται να υπερβαίνει το 1,5% των πρωτογενών δαπανών του Τακτικού Προϋπολογισμού</w:t>
      </w:r>
      <w:r w:rsidR="006F32B5">
        <w:rPr>
          <w:sz w:val="22"/>
          <w:szCs w:val="22"/>
        </w:rPr>
        <w:t xml:space="preserve"> του αντίστοιχου έτους.</w:t>
      </w:r>
      <w:r>
        <w:rPr>
          <w:sz w:val="22"/>
          <w:szCs w:val="22"/>
        </w:rPr>
        <w:t xml:space="preserve"> </w:t>
      </w:r>
    </w:p>
    <w:p w:rsidR="005A36C1" w:rsidRDefault="005A36C1" w:rsidP="00BA1AB3">
      <w:pPr>
        <w:jc w:val="both"/>
        <w:rPr>
          <w:sz w:val="22"/>
          <w:szCs w:val="22"/>
        </w:rPr>
      </w:pPr>
    </w:p>
    <w:p w:rsidR="00BA1AB3" w:rsidRPr="005C2E30" w:rsidRDefault="00BA1AB3" w:rsidP="00BA1AB3">
      <w:pPr>
        <w:jc w:val="both"/>
        <w:rPr>
          <w:sz w:val="22"/>
          <w:szCs w:val="22"/>
        </w:rPr>
      </w:pPr>
      <w:r w:rsidRPr="005C2E30">
        <w:rPr>
          <w:sz w:val="22"/>
          <w:szCs w:val="22"/>
        </w:rPr>
        <w:t>Για το έτος 201</w:t>
      </w:r>
      <w:r w:rsidR="00850621">
        <w:rPr>
          <w:sz w:val="22"/>
          <w:szCs w:val="22"/>
        </w:rPr>
        <w:t>8</w:t>
      </w:r>
      <w:r w:rsidRPr="005C2E30">
        <w:rPr>
          <w:sz w:val="22"/>
          <w:szCs w:val="22"/>
        </w:rPr>
        <w:t xml:space="preserve"> τα στοιχεία των εγγυήσεων εκτιμάται να διαμορφωθούν ως εξής</w:t>
      </w:r>
      <w:r>
        <w:rPr>
          <w:sz w:val="22"/>
          <w:szCs w:val="22"/>
        </w:rPr>
        <w:t xml:space="preserve"> </w:t>
      </w:r>
      <w:r w:rsidRPr="002A3550">
        <w:rPr>
          <w:sz w:val="22"/>
          <w:szCs w:val="22"/>
        </w:rPr>
        <w:t>(πίνακας 4</w:t>
      </w:r>
      <w:r w:rsidR="0099665D" w:rsidRPr="002A3550">
        <w:rPr>
          <w:sz w:val="22"/>
          <w:szCs w:val="22"/>
        </w:rPr>
        <w:t>.10</w:t>
      </w:r>
      <w:r w:rsidRPr="002A3550">
        <w:rPr>
          <w:sz w:val="22"/>
          <w:szCs w:val="22"/>
        </w:rPr>
        <w:t xml:space="preserve"> και διάγραμμα 4</w:t>
      </w:r>
      <w:r w:rsidR="002E1F78">
        <w:rPr>
          <w:sz w:val="22"/>
          <w:szCs w:val="22"/>
        </w:rPr>
        <w:t>.7</w:t>
      </w:r>
      <w:r w:rsidRPr="002A3550">
        <w:rPr>
          <w:sz w:val="22"/>
          <w:szCs w:val="22"/>
        </w:rPr>
        <w:t>):</w:t>
      </w:r>
    </w:p>
    <w:p w:rsidR="00BA1AB3" w:rsidRPr="005C2E30" w:rsidRDefault="00BA1AB3" w:rsidP="00BA1AB3">
      <w:pPr>
        <w:jc w:val="both"/>
        <w:rPr>
          <w:sz w:val="22"/>
          <w:szCs w:val="22"/>
        </w:rPr>
      </w:pPr>
    </w:p>
    <w:p w:rsidR="00BA1AB3" w:rsidRPr="005C2E30" w:rsidRDefault="0099665D" w:rsidP="00BA1AB3">
      <w:pPr>
        <w:numPr>
          <w:ilvl w:val="0"/>
          <w:numId w:val="47"/>
        </w:numPr>
        <w:jc w:val="both"/>
        <w:rPr>
          <w:sz w:val="22"/>
          <w:szCs w:val="22"/>
        </w:rPr>
      </w:pPr>
      <w:r>
        <w:rPr>
          <w:sz w:val="22"/>
          <w:szCs w:val="22"/>
        </w:rPr>
        <w:t>ο</w:t>
      </w:r>
      <w:r w:rsidR="00BA1AB3" w:rsidRPr="005C2E30">
        <w:rPr>
          <w:sz w:val="22"/>
          <w:szCs w:val="22"/>
        </w:rPr>
        <w:t xml:space="preserve">ι </w:t>
      </w:r>
      <w:r w:rsidR="0013476E">
        <w:rPr>
          <w:sz w:val="22"/>
          <w:szCs w:val="22"/>
        </w:rPr>
        <w:t xml:space="preserve">νέες </w:t>
      </w:r>
      <w:r w:rsidR="00BA1AB3">
        <w:rPr>
          <w:sz w:val="22"/>
          <w:szCs w:val="22"/>
        </w:rPr>
        <w:t>εγγυήσεις θα κυμανθούν στο 0,</w:t>
      </w:r>
      <w:r w:rsidR="00850621">
        <w:rPr>
          <w:sz w:val="22"/>
          <w:szCs w:val="22"/>
        </w:rPr>
        <w:t>06</w:t>
      </w:r>
      <w:r w:rsidR="00BA1AB3" w:rsidRPr="005C2E30">
        <w:rPr>
          <w:sz w:val="22"/>
          <w:szCs w:val="22"/>
        </w:rPr>
        <w:t xml:space="preserve">% του ΑΕΠ, </w:t>
      </w:r>
      <w:r w:rsidR="00850621">
        <w:rPr>
          <w:sz w:val="22"/>
          <w:szCs w:val="22"/>
        </w:rPr>
        <w:t>έναντι 0,15</w:t>
      </w:r>
      <w:r w:rsidR="00BA1AB3">
        <w:rPr>
          <w:sz w:val="22"/>
          <w:szCs w:val="22"/>
        </w:rPr>
        <w:t>% το 201</w:t>
      </w:r>
      <w:r w:rsidR="00850621">
        <w:rPr>
          <w:sz w:val="22"/>
          <w:szCs w:val="22"/>
        </w:rPr>
        <w:t>7</w:t>
      </w:r>
      <w:r>
        <w:rPr>
          <w:sz w:val="22"/>
          <w:szCs w:val="22"/>
        </w:rPr>
        <w:t>,</w:t>
      </w:r>
    </w:p>
    <w:p w:rsidR="00BA1AB3" w:rsidRPr="005C2E30" w:rsidRDefault="0099665D" w:rsidP="00BA1AB3">
      <w:pPr>
        <w:numPr>
          <w:ilvl w:val="0"/>
          <w:numId w:val="47"/>
        </w:numPr>
        <w:jc w:val="both"/>
        <w:rPr>
          <w:sz w:val="22"/>
          <w:szCs w:val="22"/>
        </w:rPr>
      </w:pPr>
      <w:r>
        <w:rPr>
          <w:sz w:val="22"/>
          <w:szCs w:val="22"/>
        </w:rPr>
        <w:t>ο</w:t>
      </w:r>
      <w:r w:rsidR="00BA1AB3" w:rsidRPr="005C2E30">
        <w:rPr>
          <w:sz w:val="22"/>
          <w:szCs w:val="22"/>
        </w:rPr>
        <w:t xml:space="preserve">ι καταπτώσεις </w:t>
      </w:r>
      <w:r w:rsidR="00BA1AB3">
        <w:rPr>
          <w:sz w:val="22"/>
          <w:szCs w:val="22"/>
        </w:rPr>
        <w:t>αν</w:t>
      </w:r>
      <w:r w:rsidR="00850621">
        <w:rPr>
          <w:sz w:val="22"/>
          <w:szCs w:val="22"/>
        </w:rPr>
        <w:t>αμένεται να διαμορφωθούν στο 0,05</w:t>
      </w:r>
      <w:r w:rsidR="00BA1AB3">
        <w:rPr>
          <w:sz w:val="22"/>
          <w:szCs w:val="22"/>
        </w:rPr>
        <w:t>% του ΑΕΠ, έναντι 0,</w:t>
      </w:r>
      <w:r w:rsidR="00850621">
        <w:rPr>
          <w:sz w:val="22"/>
          <w:szCs w:val="22"/>
        </w:rPr>
        <w:t>38</w:t>
      </w:r>
      <w:r w:rsidR="00BA1AB3">
        <w:rPr>
          <w:sz w:val="22"/>
          <w:szCs w:val="22"/>
        </w:rPr>
        <w:t>% το 201</w:t>
      </w:r>
      <w:r w:rsidR="00850621">
        <w:rPr>
          <w:sz w:val="22"/>
          <w:szCs w:val="22"/>
        </w:rPr>
        <w:t>7</w:t>
      </w:r>
      <w:r>
        <w:rPr>
          <w:sz w:val="22"/>
          <w:szCs w:val="22"/>
        </w:rPr>
        <w:t>,</w:t>
      </w:r>
    </w:p>
    <w:p w:rsidR="00BA1AB3" w:rsidRPr="005C2E30" w:rsidRDefault="0099665D" w:rsidP="00BA1AB3">
      <w:pPr>
        <w:numPr>
          <w:ilvl w:val="0"/>
          <w:numId w:val="47"/>
        </w:numPr>
        <w:jc w:val="both"/>
        <w:rPr>
          <w:sz w:val="22"/>
          <w:szCs w:val="22"/>
        </w:rPr>
      </w:pPr>
      <w:r>
        <w:rPr>
          <w:sz w:val="22"/>
          <w:szCs w:val="22"/>
        </w:rPr>
        <w:t>τ</w:t>
      </w:r>
      <w:r w:rsidR="00BA1AB3" w:rsidRPr="005C2E30">
        <w:rPr>
          <w:sz w:val="22"/>
          <w:szCs w:val="22"/>
        </w:rPr>
        <w:t>ο ανεξόφλητο εγγυημένο υπόλοιπο</w:t>
      </w:r>
      <w:r w:rsidR="00850621">
        <w:rPr>
          <w:sz w:val="22"/>
          <w:szCs w:val="22"/>
        </w:rPr>
        <w:t xml:space="preserve"> αναμένεται να διαμορφωθεί στο 5</w:t>
      </w:r>
      <w:r w:rsidR="00BA1AB3">
        <w:rPr>
          <w:sz w:val="22"/>
          <w:szCs w:val="22"/>
        </w:rPr>
        <w:t>,</w:t>
      </w:r>
      <w:r w:rsidR="00B435D9">
        <w:rPr>
          <w:sz w:val="22"/>
          <w:szCs w:val="22"/>
        </w:rPr>
        <w:t>6</w:t>
      </w:r>
      <w:r w:rsidR="00BA1AB3" w:rsidRPr="005C2E30">
        <w:rPr>
          <w:sz w:val="22"/>
          <w:szCs w:val="22"/>
        </w:rPr>
        <w:t>% του ΑΕΠ</w:t>
      </w:r>
      <w:r w:rsidR="00BA1AB3">
        <w:rPr>
          <w:sz w:val="22"/>
          <w:szCs w:val="22"/>
        </w:rPr>
        <w:t>,</w:t>
      </w:r>
      <w:r w:rsidR="00BA1AB3" w:rsidRPr="005C2E30">
        <w:rPr>
          <w:sz w:val="22"/>
          <w:szCs w:val="22"/>
        </w:rPr>
        <w:t xml:space="preserve"> έναντι </w:t>
      </w:r>
      <w:r w:rsidR="00850621">
        <w:rPr>
          <w:sz w:val="22"/>
          <w:szCs w:val="22"/>
        </w:rPr>
        <w:t>6,4</w:t>
      </w:r>
      <w:r w:rsidR="00BA1AB3">
        <w:rPr>
          <w:sz w:val="22"/>
          <w:szCs w:val="22"/>
        </w:rPr>
        <w:t>% το 201</w:t>
      </w:r>
      <w:r w:rsidR="00850621">
        <w:rPr>
          <w:sz w:val="22"/>
          <w:szCs w:val="22"/>
        </w:rPr>
        <w:t>7</w:t>
      </w:r>
      <w:r w:rsidR="00BA1AB3" w:rsidRPr="005C2E30">
        <w:rPr>
          <w:sz w:val="22"/>
          <w:szCs w:val="22"/>
        </w:rPr>
        <w:t>.</w:t>
      </w:r>
      <w:r w:rsidR="00BA1AB3">
        <w:rPr>
          <w:sz w:val="22"/>
          <w:szCs w:val="22"/>
        </w:rPr>
        <w:t xml:space="preserve"> </w:t>
      </w:r>
    </w:p>
    <w:p w:rsidR="00151E27" w:rsidRDefault="00151E27" w:rsidP="00151E27">
      <w:pPr>
        <w:jc w:val="both"/>
        <w:rPr>
          <w:sz w:val="22"/>
          <w:szCs w:val="22"/>
        </w:rPr>
      </w:pPr>
    </w:p>
    <w:p w:rsidR="00BA1AB3" w:rsidRDefault="002E1F78" w:rsidP="00BA1AB3">
      <w:pPr>
        <w:jc w:val="both"/>
        <w:rPr>
          <w:sz w:val="22"/>
          <w:szCs w:val="22"/>
        </w:rPr>
      </w:pPr>
      <w:r>
        <w:rPr>
          <w:sz w:val="22"/>
          <w:szCs w:val="22"/>
        </w:rPr>
        <w:t>Επισημαίνεται ότι τα στοιχεία του πίνακα 4.10 και του διαγράμματος 4.7 δεν περιλαμβάνουν τις εγγ</w:t>
      </w:r>
      <w:r>
        <w:rPr>
          <w:sz w:val="22"/>
          <w:szCs w:val="22"/>
        </w:rPr>
        <w:t>υ</w:t>
      </w:r>
      <w:r>
        <w:rPr>
          <w:sz w:val="22"/>
          <w:szCs w:val="22"/>
        </w:rPr>
        <w:t>ήσεις που έχουν παρασχεθεί προς τα πιστωτικά ιδρύματα τόσο στο πλαίσιο της ενίσχυσης της ρευστ</w:t>
      </w:r>
      <w:r>
        <w:rPr>
          <w:sz w:val="22"/>
          <w:szCs w:val="22"/>
        </w:rPr>
        <w:t>ό</w:t>
      </w:r>
      <w:r>
        <w:rPr>
          <w:sz w:val="22"/>
          <w:szCs w:val="22"/>
        </w:rPr>
        <w:t>τητάς τους όσο και στο πλαίσιο του Προγράμματος Ενίσχυσης της Επιχειρηματικότητας.</w:t>
      </w:r>
    </w:p>
    <w:p w:rsidR="00BA1AB3" w:rsidRDefault="00BA1AB3" w:rsidP="00BA1AB3">
      <w:pPr>
        <w:rPr>
          <w:sz w:val="22"/>
          <w:szCs w:val="22"/>
        </w:rPr>
      </w:pPr>
      <w:r>
        <w:rPr>
          <w:sz w:val="22"/>
          <w:szCs w:val="22"/>
        </w:rPr>
        <w:br w:type="page"/>
      </w:r>
    </w:p>
    <w:p w:rsidR="00BA1AB3" w:rsidRPr="006F4CB0" w:rsidRDefault="00BA1AB3" w:rsidP="00BA1AB3">
      <w:pPr>
        <w:jc w:val="both"/>
        <w:rPr>
          <w:sz w:val="18"/>
          <w:szCs w:val="22"/>
        </w:rPr>
      </w:pPr>
    </w:p>
    <w:tbl>
      <w:tblPr>
        <w:tblW w:w="9479" w:type="dxa"/>
        <w:jc w:val="center"/>
        <w:tblLayout w:type="fixed"/>
        <w:tblLook w:val="0000"/>
      </w:tblPr>
      <w:tblGrid>
        <w:gridCol w:w="810"/>
        <w:gridCol w:w="665"/>
        <w:gridCol w:w="781"/>
        <w:gridCol w:w="976"/>
        <w:gridCol w:w="976"/>
        <w:gridCol w:w="781"/>
        <w:gridCol w:w="1171"/>
        <w:gridCol w:w="1562"/>
        <w:gridCol w:w="781"/>
        <w:gridCol w:w="976"/>
      </w:tblGrid>
      <w:tr w:rsidR="00BA1AB3" w:rsidRPr="009367DF" w:rsidTr="003F7B07">
        <w:trPr>
          <w:trHeight w:val="21"/>
          <w:jc w:val="center"/>
        </w:trPr>
        <w:tc>
          <w:tcPr>
            <w:tcW w:w="9479" w:type="dxa"/>
            <w:gridSpan w:val="10"/>
            <w:tcBorders>
              <w:top w:val="single" w:sz="6" w:space="0" w:color="auto"/>
              <w:left w:val="single" w:sz="6" w:space="0" w:color="auto"/>
              <w:right w:val="single" w:sz="6" w:space="0" w:color="auto"/>
            </w:tcBorders>
            <w:shd w:val="clear" w:color="auto" w:fill="404040"/>
            <w:tcMar>
              <w:left w:w="28" w:type="dxa"/>
              <w:right w:w="28" w:type="dxa"/>
            </w:tcMar>
            <w:vAlign w:val="bottom"/>
          </w:tcPr>
          <w:p w:rsidR="00BA1AB3" w:rsidRPr="009367DF" w:rsidRDefault="002A3550" w:rsidP="003F7B07">
            <w:pPr>
              <w:pStyle w:val="3"/>
              <w:spacing w:before="120" w:after="0"/>
              <w:jc w:val="center"/>
              <w:rPr>
                <w:rFonts w:ascii="Arial Narrow" w:hAnsi="Arial Narrow"/>
                <w:color w:val="FFFFFF"/>
                <w:sz w:val="24"/>
                <w:szCs w:val="24"/>
              </w:rPr>
            </w:pPr>
            <w:r>
              <w:rPr>
                <w:rFonts w:ascii="Arial Narrow" w:hAnsi="Arial Narrow"/>
                <w:color w:val="FFFFFF"/>
                <w:sz w:val="24"/>
                <w:szCs w:val="24"/>
              </w:rPr>
              <w:t>Πίνακας 4</w:t>
            </w:r>
            <w:r w:rsidRPr="002A3550">
              <w:rPr>
                <w:rFonts w:ascii="Arial Narrow" w:hAnsi="Arial Narrow"/>
                <w:color w:val="FFFFFF"/>
                <w:sz w:val="24"/>
                <w:szCs w:val="24"/>
              </w:rPr>
              <w:t>.10</w:t>
            </w:r>
            <w:r w:rsidR="00BA1AB3">
              <w:rPr>
                <w:rFonts w:ascii="Arial Narrow" w:hAnsi="Arial Narrow"/>
                <w:color w:val="FFFFFF"/>
                <w:sz w:val="24"/>
                <w:szCs w:val="24"/>
              </w:rPr>
              <w:t xml:space="preserve"> </w:t>
            </w:r>
            <w:r w:rsidR="00BA1AB3" w:rsidRPr="009367DF">
              <w:rPr>
                <w:rFonts w:ascii="Arial Narrow" w:hAnsi="Arial Narrow"/>
                <w:color w:val="FFFFFF"/>
                <w:sz w:val="24"/>
                <w:szCs w:val="24"/>
              </w:rPr>
              <w:t>Εγγυήσεις, ανεξόφλητο εγγυημένο υπόλοιπο, καταπτώσεις και</w:t>
            </w:r>
          </w:p>
          <w:p w:rsidR="00BA1AB3" w:rsidRPr="008F6256" w:rsidRDefault="00BA1AB3" w:rsidP="003F7B07">
            <w:pPr>
              <w:pStyle w:val="3"/>
              <w:spacing w:before="0" w:after="0"/>
              <w:jc w:val="center"/>
              <w:rPr>
                <w:rFonts w:ascii="Arial Narrow" w:hAnsi="Arial Narrow"/>
                <w:color w:val="FFFFFF"/>
                <w:sz w:val="24"/>
                <w:szCs w:val="24"/>
              </w:rPr>
            </w:pPr>
            <w:r w:rsidRPr="009367DF">
              <w:rPr>
                <w:rFonts w:ascii="Arial Narrow" w:hAnsi="Arial Narrow"/>
                <w:color w:val="FFFFFF"/>
                <w:sz w:val="24"/>
                <w:szCs w:val="24"/>
              </w:rPr>
              <w:t>προμήθειες εγγυήσε</w:t>
            </w:r>
            <w:r>
              <w:rPr>
                <w:rFonts w:ascii="Arial Narrow" w:hAnsi="Arial Narrow"/>
                <w:color w:val="FFFFFF"/>
                <w:sz w:val="24"/>
                <w:szCs w:val="24"/>
              </w:rPr>
              <w:t>ων κατά τα έτη 2000-201</w:t>
            </w:r>
            <w:r w:rsidR="003B336F">
              <w:rPr>
                <w:rFonts w:ascii="Arial Narrow" w:hAnsi="Arial Narrow"/>
                <w:color w:val="FFFFFF"/>
                <w:sz w:val="24"/>
                <w:szCs w:val="24"/>
              </w:rPr>
              <w:t>8</w:t>
            </w:r>
          </w:p>
          <w:p w:rsidR="00BA1AB3" w:rsidRPr="009367DF" w:rsidRDefault="00BA1AB3" w:rsidP="003F7B07">
            <w:pPr>
              <w:spacing w:after="120"/>
              <w:jc w:val="center"/>
              <w:rPr>
                <w:rFonts w:ascii="Arial Narrow" w:hAnsi="Arial Narrow"/>
                <w:b/>
                <w:bCs/>
                <w:color w:val="FFFFFF"/>
                <w:sz w:val="16"/>
                <w:szCs w:val="16"/>
              </w:rPr>
            </w:pPr>
            <w:r w:rsidRPr="009367DF">
              <w:rPr>
                <w:rFonts w:ascii="Arial Narrow" w:hAnsi="Arial Narrow"/>
                <w:b/>
                <w:color w:val="FFFFFF"/>
              </w:rPr>
              <w:t>(σε εκατ. ευρώ)</w:t>
            </w:r>
          </w:p>
        </w:tc>
      </w:tr>
      <w:tr w:rsidR="00BA1AB3" w:rsidRPr="00FB44F1" w:rsidTr="003F7B07">
        <w:trPr>
          <w:trHeight w:val="21"/>
          <w:jc w:val="center"/>
        </w:trPr>
        <w:tc>
          <w:tcPr>
            <w:tcW w:w="810" w:type="dxa"/>
            <w:tcBorders>
              <w:left w:val="single" w:sz="6" w:space="0" w:color="auto"/>
              <w:bottom w:val="single" w:sz="6" w:space="0" w:color="auto"/>
            </w:tcBorders>
            <w:shd w:val="clear" w:color="auto" w:fill="auto"/>
            <w:tcMar>
              <w:left w:w="28" w:type="dxa"/>
              <w:right w:w="28" w:type="dxa"/>
            </w:tcMar>
            <w:vAlign w:val="bottom"/>
          </w:tcPr>
          <w:p w:rsidR="00BA1AB3" w:rsidRPr="00FB44F1" w:rsidRDefault="00BA1AB3" w:rsidP="003F7B07">
            <w:pPr>
              <w:rPr>
                <w:rFonts w:ascii="Arial Narrow" w:hAnsi="Arial Narrow"/>
                <w:sz w:val="10"/>
                <w:szCs w:val="16"/>
              </w:rPr>
            </w:pPr>
          </w:p>
        </w:tc>
        <w:tc>
          <w:tcPr>
            <w:tcW w:w="1446"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952"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952"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562" w:type="dxa"/>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757" w:type="dxa"/>
            <w:gridSpan w:val="2"/>
            <w:tcBorders>
              <w:bottom w:val="single" w:sz="6" w:space="0" w:color="auto"/>
              <w:right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r>
      <w:tr w:rsidR="00BA1AB3" w:rsidRPr="009367DF" w:rsidTr="003F7B07">
        <w:trPr>
          <w:trHeight w:val="21"/>
          <w:jc w:val="center"/>
        </w:trPr>
        <w:tc>
          <w:tcPr>
            <w:tcW w:w="810" w:type="dxa"/>
            <w:tcBorders>
              <w:top w:val="single" w:sz="6" w:space="0" w:color="auto"/>
              <w:left w:val="single" w:sz="6" w:space="0" w:color="auto"/>
              <w:right w:val="single" w:sz="6" w:space="0" w:color="auto"/>
            </w:tcBorders>
            <w:shd w:val="clear" w:color="auto" w:fill="auto"/>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Εγγυήσεις</w:t>
            </w:r>
          </w:p>
        </w:tc>
        <w:tc>
          <w:tcPr>
            <w:tcW w:w="1952"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Ανεξόφλητο</w:t>
            </w:r>
            <w:r>
              <w:rPr>
                <w:rFonts w:ascii="Arial Narrow" w:hAnsi="Arial Narrow"/>
                <w:b/>
                <w:bCs/>
                <w:sz w:val="16"/>
                <w:szCs w:val="16"/>
              </w:rPr>
              <w:t xml:space="preserve"> </w:t>
            </w:r>
            <w:r w:rsidRPr="009367DF">
              <w:rPr>
                <w:rFonts w:ascii="Arial Narrow" w:hAnsi="Arial Narrow"/>
                <w:b/>
                <w:bCs/>
                <w:sz w:val="16"/>
                <w:szCs w:val="16"/>
              </w:rPr>
              <w:t>εγγυημένο</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υπόλοιπο</w:t>
            </w:r>
          </w:p>
        </w:tc>
        <w:tc>
          <w:tcPr>
            <w:tcW w:w="1952"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w:t>
            </w:r>
          </w:p>
        </w:tc>
        <w:tc>
          <w:tcPr>
            <w:tcW w:w="1562" w:type="dxa"/>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Έσοδα από</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προμήθειες εγγυήσεων</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του Δημοσίου και</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εισπράξεις από ΔΟΥ</w:t>
            </w:r>
          </w:p>
        </w:tc>
        <w:tc>
          <w:tcPr>
            <w:tcW w:w="1757"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 που</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 xml:space="preserve">τελικά βαρύνουν </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το Δημόσιο</w:t>
            </w:r>
          </w:p>
        </w:tc>
      </w:tr>
      <w:tr w:rsidR="00BA1AB3" w:rsidRPr="009367DF" w:rsidTr="003F7B07">
        <w:trPr>
          <w:trHeight w:val="21"/>
          <w:jc w:val="center"/>
        </w:trPr>
        <w:tc>
          <w:tcPr>
            <w:tcW w:w="810" w:type="dxa"/>
            <w:tcBorders>
              <w:left w:val="single" w:sz="6" w:space="0" w:color="auto"/>
              <w:bottom w:val="single" w:sz="6" w:space="0" w:color="auto"/>
              <w:right w:val="single" w:sz="6" w:space="0" w:color="auto"/>
            </w:tcBorders>
            <w:shd w:val="clear" w:color="auto" w:fill="auto"/>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(1)</w:t>
            </w:r>
          </w:p>
        </w:tc>
        <w:tc>
          <w:tcPr>
            <w:tcW w:w="1952"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(2)</w:t>
            </w:r>
          </w:p>
        </w:tc>
        <w:tc>
          <w:tcPr>
            <w:tcW w:w="1952"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(3)</w:t>
            </w:r>
          </w:p>
        </w:tc>
        <w:tc>
          <w:tcPr>
            <w:tcW w:w="1562" w:type="dxa"/>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(4)</w:t>
            </w:r>
          </w:p>
        </w:tc>
        <w:tc>
          <w:tcPr>
            <w:tcW w:w="1757"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(5) = (3)-(4)</w:t>
            </w:r>
          </w:p>
        </w:tc>
      </w:tr>
      <w:tr w:rsidR="00BA1AB3" w:rsidRPr="009367DF" w:rsidTr="003F7B07">
        <w:trPr>
          <w:trHeight w:val="21"/>
          <w:jc w:val="center"/>
        </w:trPr>
        <w:tc>
          <w:tcPr>
            <w:tcW w:w="810" w:type="dxa"/>
            <w:tcBorders>
              <w:top w:val="single" w:sz="6" w:space="0" w:color="auto"/>
              <w:left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952"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την 31/12</w:t>
            </w:r>
          </w:p>
        </w:tc>
        <w:tc>
          <w:tcPr>
            <w:tcW w:w="1952"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56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757"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r>
      <w:tr w:rsidR="00BA1AB3" w:rsidRPr="009367DF" w:rsidTr="003F7B07">
        <w:trPr>
          <w:trHeight w:val="21"/>
          <w:jc w:val="center"/>
        </w:trPr>
        <w:tc>
          <w:tcPr>
            <w:tcW w:w="810" w:type="dxa"/>
            <w:tcBorders>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Έτος</w:t>
            </w:r>
          </w:p>
        </w:tc>
        <w:tc>
          <w:tcPr>
            <w:tcW w:w="665"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78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Εγγυήσεις</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97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97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Υπόλοιπο</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78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117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1562"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78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97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 ως</w:t>
            </w:r>
            <w:r>
              <w:rPr>
                <w:rFonts w:ascii="Arial Narrow" w:hAnsi="Arial Narrow"/>
                <w:b/>
                <w:bCs/>
                <w:sz w:val="16"/>
                <w:szCs w:val="16"/>
              </w:rPr>
              <w:t xml:space="preserve"> </w:t>
            </w:r>
            <w:r w:rsidRPr="009367DF">
              <w:rPr>
                <w:rFonts w:ascii="Arial Narrow" w:hAnsi="Arial Narrow"/>
                <w:b/>
                <w:bCs/>
                <w:sz w:val="16"/>
                <w:szCs w:val="16"/>
              </w:rPr>
              <w:t>% του ΑΕΠ</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2000</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1.511,4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1,1</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8.416,7</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6,0</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332,3</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35,3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297,0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0,21</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2001</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1.011,0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8.819,3</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5,8</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366,7</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45,8</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320,9</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0,21</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2002</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905,0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0,6</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9.714,6</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5,9</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360,5</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47,3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313,2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0,19</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2003</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1.545,5</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0,9</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12.143,4</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6,8</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293,6</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66,4</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227,2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0,13</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2004</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1.848,4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1,0</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14.436,5</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7,5</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593,9</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57,9</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536,0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0,28</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2005</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1.628,2</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0,8</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16.200,5</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8,1</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373,9</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51,2</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322,7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0,16</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2006</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1.736,0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0,8</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17.936,1</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8,2</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94,6</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0,1</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49,2</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45,4</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0,02</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2007</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1.656,6</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19.929,0</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42,3</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57,3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-15,0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-0,01</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Pr>
                <w:rFonts w:ascii="Arial Narrow" w:hAnsi="Arial Narrow"/>
                <w:sz w:val="16"/>
                <w:szCs w:val="16"/>
              </w:rPr>
              <w:t>2008</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1.788,0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23.232,0</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434,1</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0,18</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68,4</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365,7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0,15</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2009</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1.563,7</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25.586,6</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10,8</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704,8</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70,7</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634,1</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0,27</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2010</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1.254,4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0,6</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22.438,2</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9,9</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974,2</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78,5</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895,7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0,40</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2011</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1.804,9</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0,9</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19.950,8</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1.442,0</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0,70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135,8</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1.306,2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0,63</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2012</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688,0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19.314,7</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10,1</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796,0</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72,6</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723,4</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0,38</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2013</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634,7</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17.234,4</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9,5</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877,5</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0,49</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170,0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707,5</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0,39</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2014</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536,6</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0,3</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16.315,0</w:t>
            </w:r>
          </w:p>
        </w:tc>
        <w:tc>
          <w:tcPr>
            <w:tcW w:w="976" w:type="dxa"/>
            <w:shd w:val="clear" w:color="auto" w:fill="auto"/>
            <w:noWrap/>
            <w:tcMar>
              <w:left w:w="28" w:type="dxa"/>
              <w:right w:w="28" w:type="dxa"/>
            </w:tcMar>
            <w:vAlign w:val="bottom"/>
          </w:tcPr>
          <w:p w:rsidR="00BA1AB3" w:rsidRPr="00E455F0" w:rsidRDefault="00BA1AB3" w:rsidP="003F7B07">
            <w:pPr>
              <w:tabs>
                <w:tab w:val="decimal" w:pos="484"/>
              </w:tabs>
              <w:jc w:val="both"/>
              <w:rPr>
                <w:rFonts w:ascii="Arial Narrow" w:hAnsi="Arial Narrow" w:cs="Arial"/>
                <w:sz w:val="16"/>
                <w:szCs w:val="16"/>
                <w:lang w:val="en-US"/>
              </w:rPr>
            </w:pPr>
            <w:r w:rsidRPr="00C9023C">
              <w:rPr>
                <w:rFonts w:ascii="Arial Narrow" w:hAnsi="Arial Narrow" w:cs="Arial"/>
                <w:sz w:val="16"/>
                <w:szCs w:val="16"/>
              </w:rPr>
              <w:t>9,</w:t>
            </w:r>
            <w:r>
              <w:rPr>
                <w:rFonts w:ascii="Arial Narrow" w:hAnsi="Arial Narrow" w:cs="Arial"/>
                <w:sz w:val="16"/>
                <w:szCs w:val="16"/>
                <w:lang w:val="en-US"/>
              </w:rPr>
              <w:t>1</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588,2</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83,0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505,2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0,28</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2015</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65,0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15.121,2</w:t>
            </w:r>
          </w:p>
        </w:tc>
        <w:tc>
          <w:tcPr>
            <w:tcW w:w="976" w:type="dxa"/>
            <w:shd w:val="clear" w:color="auto" w:fill="auto"/>
            <w:noWrap/>
            <w:tcMar>
              <w:left w:w="28" w:type="dxa"/>
              <w:right w:w="28" w:type="dxa"/>
            </w:tcMar>
            <w:vAlign w:val="bottom"/>
          </w:tcPr>
          <w:p w:rsidR="00BA1AB3" w:rsidRPr="00C9023C" w:rsidRDefault="00743481" w:rsidP="003F7B07">
            <w:pPr>
              <w:tabs>
                <w:tab w:val="decimal" w:pos="484"/>
              </w:tabs>
              <w:jc w:val="both"/>
              <w:rPr>
                <w:rFonts w:ascii="Arial Narrow" w:hAnsi="Arial Narrow" w:cs="Arial"/>
                <w:sz w:val="16"/>
                <w:szCs w:val="16"/>
              </w:rPr>
            </w:pPr>
            <w:r>
              <w:rPr>
                <w:rFonts w:ascii="Arial Narrow" w:hAnsi="Arial Narrow" w:cs="Arial"/>
                <w:sz w:val="16"/>
                <w:szCs w:val="16"/>
              </w:rPr>
              <w:t>8,5</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702,1</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72,0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630,1</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0,36</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8F6256" w:rsidRDefault="00BA1AB3" w:rsidP="003F7B07">
            <w:pPr>
              <w:jc w:val="center"/>
              <w:rPr>
                <w:rFonts w:ascii="Arial Narrow" w:hAnsi="Arial Narrow"/>
                <w:sz w:val="16"/>
                <w:szCs w:val="16"/>
                <w:lang w:val="en-US"/>
              </w:rPr>
            </w:pPr>
            <w:r>
              <w:rPr>
                <w:rFonts w:ascii="Arial Narrow" w:hAnsi="Arial Narrow"/>
                <w:sz w:val="16"/>
                <w:szCs w:val="16"/>
              </w:rPr>
              <w:t>2016</w:t>
            </w:r>
          </w:p>
        </w:tc>
        <w:tc>
          <w:tcPr>
            <w:tcW w:w="665" w:type="dxa"/>
            <w:shd w:val="clear" w:color="auto" w:fill="auto"/>
            <w:noWrap/>
            <w:tcMar>
              <w:left w:w="28" w:type="dxa"/>
              <w:right w:w="28" w:type="dxa"/>
            </w:tcMar>
            <w:vAlign w:val="bottom"/>
          </w:tcPr>
          <w:p w:rsidR="00BA1AB3" w:rsidRPr="008F6256" w:rsidRDefault="00BA1AB3" w:rsidP="003F7B07">
            <w:pPr>
              <w:tabs>
                <w:tab w:val="decimal" w:pos="412"/>
              </w:tabs>
              <w:jc w:val="both"/>
              <w:rPr>
                <w:rFonts w:ascii="Arial Narrow" w:hAnsi="Arial Narrow" w:cs="Arial"/>
                <w:sz w:val="16"/>
                <w:szCs w:val="16"/>
                <w:lang w:val="en-US"/>
              </w:rPr>
            </w:pPr>
            <w:r w:rsidRPr="00C9023C">
              <w:rPr>
                <w:rFonts w:ascii="Arial Narrow" w:hAnsi="Arial Narrow" w:cs="Arial"/>
                <w:sz w:val="16"/>
                <w:szCs w:val="16"/>
              </w:rPr>
              <w:t>1</w:t>
            </w:r>
            <w:r>
              <w:rPr>
                <w:rFonts w:ascii="Arial Narrow" w:hAnsi="Arial Narrow" w:cs="Arial"/>
                <w:sz w:val="16"/>
                <w:szCs w:val="16"/>
                <w:lang w:val="en-US"/>
              </w:rPr>
              <w:t>62,9</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0,09</w:t>
            </w:r>
          </w:p>
        </w:tc>
        <w:tc>
          <w:tcPr>
            <w:tcW w:w="976" w:type="dxa"/>
            <w:shd w:val="clear" w:color="auto" w:fill="auto"/>
            <w:noWrap/>
            <w:tcMar>
              <w:left w:w="28" w:type="dxa"/>
              <w:right w:w="28" w:type="dxa"/>
            </w:tcMar>
            <w:vAlign w:val="bottom"/>
          </w:tcPr>
          <w:p w:rsidR="00BA1AB3" w:rsidRPr="00E455F0" w:rsidRDefault="00BA1AB3" w:rsidP="003F7B07">
            <w:pPr>
              <w:tabs>
                <w:tab w:val="decimal" w:pos="614"/>
              </w:tabs>
              <w:jc w:val="both"/>
              <w:rPr>
                <w:rFonts w:ascii="Arial Narrow" w:hAnsi="Arial Narrow" w:cs="Arial"/>
                <w:sz w:val="16"/>
                <w:szCs w:val="16"/>
                <w:lang w:val="en-US"/>
              </w:rPr>
            </w:pPr>
            <w:r w:rsidRPr="00C9023C">
              <w:rPr>
                <w:rFonts w:ascii="Arial Narrow" w:hAnsi="Arial Narrow" w:cs="Arial"/>
                <w:sz w:val="16"/>
                <w:szCs w:val="16"/>
              </w:rPr>
              <w:t>1</w:t>
            </w:r>
            <w:r>
              <w:rPr>
                <w:rFonts w:ascii="Arial Narrow" w:hAnsi="Arial Narrow" w:cs="Arial"/>
                <w:sz w:val="16"/>
                <w:szCs w:val="16"/>
                <w:lang w:val="en-US"/>
              </w:rPr>
              <w:t>3.122,9</w:t>
            </w:r>
          </w:p>
        </w:tc>
        <w:tc>
          <w:tcPr>
            <w:tcW w:w="976" w:type="dxa"/>
            <w:shd w:val="clear" w:color="auto" w:fill="auto"/>
            <w:noWrap/>
            <w:tcMar>
              <w:left w:w="28" w:type="dxa"/>
              <w:right w:w="28" w:type="dxa"/>
            </w:tcMar>
            <w:vAlign w:val="bottom"/>
          </w:tcPr>
          <w:p w:rsidR="00BA1AB3" w:rsidRPr="00743481"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7,</w:t>
            </w:r>
            <w:r w:rsidR="00743481">
              <w:rPr>
                <w:rFonts w:ascii="Arial Narrow" w:hAnsi="Arial Narrow" w:cs="Arial"/>
                <w:sz w:val="16"/>
                <w:szCs w:val="16"/>
              </w:rPr>
              <w:t>4</w:t>
            </w:r>
          </w:p>
        </w:tc>
        <w:tc>
          <w:tcPr>
            <w:tcW w:w="781" w:type="dxa"/>
            <w:shd w:val="clear" w:color="auto" w:fill="auto"/>
            <w:noWrap/>
            <w:tcMar>
              <w:left w:w="28" w:type="dxa"/>
              <w:right w:w="28" w:type="dxa"/>
            </w:tcMar>
            <w:vAlign w:val="bottom"/>
          </w:tcPr>
          <w:p w:rsidR="00BA1AB3" w:rsidRPr="00E455F0" w:rsidRDefault="00BA1AB3" w:rsidP="003F7B07">
            <w:pPr>
              <w:tabs>
                <w:tab w:val="decimal" w:pos="408"/>
              </w:tabs>
              <w:jc w:val="both"/>
              <w:rPr>
                <w:rFonts w:ascii="Arial Narrow" w:hAnsi="Arial Narrow" w:cs="Arial"/>
                <w:sz w:val="16"/>
                <w:szCs w:val="16"/>
                <w:lang w:val="en-US"/>
              </w:rPr>
            </w:pPr>
            <w:r>
              <w:rPr>
                <w:rFonts w:ascii="Arial Narrow" w:hAnsi="Arial Narrow" w:cs="Arial"/>
                <w:sz w:val="16"/>
                <w:szCs w:val="16"/>
                <w:lang w:val="en-US"/>
              </w:rPr>
              <w:t>412,3</w:t>
            </w:r>
          </w:p>
        </w:tc>
        <w:tc>
          <w:tcPr>
            <w:tcW w:w="1171" w:type="dxa"/>
            <w:shd w:val="clear" w:color="auto" w:fill="auto"/>
            <w:noWrap/>
            <w:tcMar>
              <w:left w:w="28" w:type="dxa"/>
              <w:right w:w="28" w:type="dxa"/>
            </w:tcMar>
            <w:vAlign w:val="bottom"/>
          </w:tcPr>
          <w:p w:rsidR="00BA1AB3" w:rsidRPr="00743481"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r w:rsidR="00743481">
              <w:rPr>
                <w:rFonts w:ascii="Arial Narrow" w:hAnsi="Arial Narrow" w:cs="Arial"/>
                <w:sz w:val="16"/>
                <w:szCs w:val="16"/>
              </w:rPr>
              <w:t>3</w:t>
            </w:r>
          </w:p>
        </w:tc>
        <w:tc>
          <w:tcPr>
            <w:tcW w:w="1562" w:type="dxa"/>
            <w:shd w:val="clear" w:color="auto" w:fill="auto"/>
            <w:noWrap/>
            <w:tcMar>
              <w:left w:w="28" w:type="dxa"/>
              <w:right w:w="28" w:type="dxa"/>
            </w:tcMar>
            <w:vAlign w:val="bottom"/>
          </w:tcPr>
          <w:p w:rsidR="00BA1AB3" w:rsidRPr="00E455F0" w:rsidRDefault="00BA1AB3" w:rsidP="003F7B07">
            <w:pPr>
              <w:tabs>
                <w:tab w:val="decimal" w:pos="776"/>
              </w:tabs>
              <w:jc w:val="both"/>
              <w:rPr>
                <w:rFonts w:ascii="Arial Narrow" w:hAnsi="Arial Narrow" w:cs="Arial"/>
                <w:sz w:val="16"/>
                <w:szCs w:val="16"/>
                <w:lang w:val="en-US"/>
              </w:rPr>
            </w:pPr>
            <w:r>
              <w:rPr>
                <w:rFonts w:ascii="Arial Narrow" w:hAnsi="Arial Narrow" w:cs="Arial"/>
                <w:sz w:val="16"/>
                <w:szCs w:val="16"/>
                <w:lang w:val="en-US"/>
              </w:rPr>
              <w:t>108,4</w:t>
            </w:r>
          </w:p>
        </w:tc>
        <w:tc>
          <w:tcPr>
            <w:tcW w:w="781" w:type="dxa"/>
            <w:shd w:val="clear" w:color="auto" w:fill="auto"/>
            <w:noWrap/>
            <w:tcMar>
              <w:left w:w="28" w:type="dxa"/>
              <w:right w:w="28" w:type="dxa"/>
            </w:tcMar>
            <w:vAlign w:val="bottom"/>
          </w:tcPr>
          <w:p w:rsidR="00BA1AB3" w:rsidRPr="00E455F0" w:rsidRDefault="00BA1AB3" w:rsidP="003F7B07">
            <w:pPr>
              <w:tabs>
                <w:tab w:val="decimal" w:pos="407"/>
              </w:tabs>
              <w:jc w:val="both"/>
              <w:rPr>
                <w:rFonts w:ascii="Arial Narrow" w:hAnsi="Arial Narrow" w:cs="Arial"/>
                <w:sz w:val="16"/>
                <w:szCs w:val="16"/>
                <w:lang w:val="en-US"/>
              </w:rPr>
            </w:pPr>
            <w:r>
              <w:rPr>
                <w:rFonts w:ascii="Arial Narrow" w:hAnsi="Arial Narrow" w:cs="Arial"/>
                <w:sz w:val="16"/>
                <w:szCs w:val="16"/>
                <w:lang w:val="en-US"/>
              </w:rPr>
              <w:t>303,9</w:t>
            </w:r>
          </w:p>
        </w:tc>
        <w:tc>
          <w:tcPr>
            <w:tcW w:w="976" w:type="dxa"/>
            <w:tcBorders>
              <w:right w:val="single" w:sz="6" w:space="0" w:color="auto"/>
            </w:tcBorders>
            <w:shd w:val="clear" w:color="auto" w:fill="auto"/>
            <w:noWrap/>
            <w:tcMar>
              <w:left w:w="28" w:type="dxa"/>
              <w:right w:w="28" w:type="dxa"/>
            </w:tcMar>
            <w:vAlign w:val="bottom"/>
          </w:tcPr>
          <w:p w:rsidR="00BA1AB3" w:rsidRPr="00E455F0" w:rsidRDefault="00BA1AB3" w:rsidP="003F7B07">
            <w:pPr>
              <w:tabs>
                <w:tab w:val="decimal" w:pos="453"/>
              </w:tabs>
              <w:jc w:val="both"/>
              <w:rPr>
                <w:rFonts w:ascii="Arial Narrow" w:hAnsi="Arial Narrow" w:cs="Arial"/>
                <w:sz w:val="16"/>
                <w:szCs w:val="16"/>
                <w:lang w:val="en-US"/>
              </w:rPr>
            </w:pPr>
            <w:r w:rsidRPr="00C9023C">
              <w:rPr>
                <w:rFonts w:ascii="Arial Narrow" w:hAnsi="Arial Narrow" w:cs="Arial"/>
                <w:sz w:val="16"/>
                <w:szCs w:val="16"/>
              </w:rPr>
              <w:t>0,1</w:t>
            </w:r>
            <w:r>
              <w:rPr>
                <w:rFonts w:ascii="Arial Narrow" w:hAnsi="Arial Narrow" w:cs="Arial"/>
                <w:sz w:val="16"/>
                <w:szCs w:val="16"/>
                <w:lang w:val="en-US"/>
              </w:rPr>
              <w:t>7</w:t>
            </w:r>
          </w:p>
        </w:tc>
      </w:tr>
      <w:tr w:rsidR="00BA1AB3" w:rsidRPr="009367DF" w:rsidTr="00A3455D">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A3455D" w:rsidRDefault="00BA1AB3" w:rsidP="003F7B07">
            <w:pPr>
              <w:jc w:val="center"/>
              <w:rPr>
                <w:rFonts w:ascii="Arial Narrow" w:hAnsi="Arial Narrow"/>
                <w:sz w:val="16"/>
                <w:szCs w:val="16"/>
              </w:rPr>
            </w:pPr>
            <w:r>
              <w:rPr>
                <w:rFonts w:ascii="Arial Narrow" w:hAnsi="Arial Narrow"/>
                <w:sz w:val="16"/>
                <w:szCs w:val="16"/>
                <w:lang w:val="en-US"/>
              </w:rPr>
              <w:t>2017</w:t>
            </w:r>
          </w:p>
        </w:tc>
        <w:tc>
          <w:tcPr>
            <w:tcW w:w="665" w:type="dxa"/>
            <w:shd w:val="clear" w:color="auto" w:fill="auto"/>
            <w:noWrap/>
            <w:tcMar>
              <w:left w:w="28" w:type="dxa"/>
              <w:right w:w="28" w:type="dxa"/>
            </w:tcMar>
            <w:vAlign w:val="bottom"/>
          </w:tcPr>
          <w:p w:rsidR="00BA1AB3" w:rsidRPr="008F6256" w:rsidRDefault="00BA1AB3" w:rsidP="003F7B07">
            <w:pPr>
              <w:tabs>
                <w:tab w:val="decimal" w:pos="412"/>
              </w:tabs>
              <w:jc w:val="both"/>
              <w:rPr>
                <w:rFonts w:ascii="Arial Narrow" w:hAnsi="Arial Narrow" w:cs="Arial"/>
                <w:sz w:val="16"/>
                <w:szCs w:val="16"/>
                <w:lang w:val="en-US"/>
              </w:rPr>
            </w:pPr>
            <w:r>
              <w:rPr>
                <w:rFonts w:ascii="Arial Narrow" w:hAnsi="Arial Narrow" w:cs="Arial"/>
                <w:sz w:val="16"/>
                <w:szCs w:val="16"/>
                <w:lang w:val="en-US"/>
              </w:rPr>
              <w:t>266,6</w:t>
            </w:r>
          </w:p>
        </w:tc>
        <w:tc>
          <w:tcPr>
            <w:tcW w:w="781" w:type="dxa"/>
            <w:shd w:val="clear" w:color="auto" w:fill="auto"/>
            <w:noWrap/>
            <w:tcMar>
              <w:left w:w="28" w:type="dxa"/>
              <w:right w:w="28" w:type="dxa"/>
            </w:tcMar>
            <w:vAlign w:val="bottom"/>
          </w:tcPr>
          <w:p w:rsidR="00BA1AB3" w:rsidRPr="00E455F0" w:rsidRDefault="00BA1AB3" w:rsidP="003F7B07">
            <w:pPr>
              <w:tabs>
                <w:tab w:val="decimal" w:pos="374"/>
              </w:tabs>
              <w:jc w:val="both"/>
              <w:rPr>
                <w:rFonts w:ascii="Arial Narrow" w:hAnsi="Arial Narrow" w:cs="Arial"/>
                <w:sz w:val="16"/>
                <w:szCs w:val="16"/>
                <w:lang w:val="en-US"/>
              </w:rPr>
            </w:pPr>
            <w:r>
              <w:rPr>
                <w:rFonts w:ascii="Arial Narrow" w:hAnsi="Arial Narrow" w:cs="Arial"/>
                <w:sz w:val="16"/>
                <w:szCs w:val="16"/>
                <w:lang w:val="en-US"/>
              </w:rPr>
              <w:t>0,15</w:t>
            </w:r>
          </w:p>
        </w:tc>
        <w:tc>
          <w:tcPr>
            <w:tcW w:w="976" w:type="dxa"/>
            <w:shd w:val="clear" w:color="auto" w:fill="auto"/>
            <w:noWrap/>
            <w:tcMar>
              <w:left w:w="28" w:type="dxa"/>
              <w:right w:w="28" w:type="dxa"/>
            </w:tcMar>
            <w:vAlign w:val="bottom"/>
          </w:tcPr>
          <w:p w:rsidR="00BA1AB3" w:rsidRPr="00743481" w:rsidRDefault="00BA1AB3" w:rsidP="00743481">
            <w:pPr>
              <w:tabs>
                <w:tab w:val="decimal" w:pos="614"/>
              </w:tabs>
              <w:jc w:val="both"/>
              <w:rPr>
                <w:rFonts w:ascii="Arial Narrow" w:hAnsi="Arial Narrow" w:cs="Arial"/>
                <w:sz w:val="16"/>
                <w:szCs w:val="16"/>
              </w:rPr>
            </w:pPr>
            <w:r>
              <w:rPr>
                <w:rFonts w:ascii="Arial Narrow" w:hAnsi="Arial Narrow" w:cs="Arial"/>
                <w:sz w:val="16"/>
                <w:szCs w:val="16"/>
                <w:lang w:val="en-US"/>
              </w:rPr>
              <w:t>11.</w:t>
            </w:r>
            <w:r w:rsidR="00743481">
              <w:rPr>
                <w:rFonts w:ascii="Arial Narrow" w:hAnsi="Arial Narrow" w:cs="Arial"/>
                <w:sz w:val="16"/>
                <w:szCs w:val="16"/>
              </w:rPr>
              <w:t>546,4</w:t>
            </w:r>
          </w:p>
        </w:tc>
        <w:tc>
          <w:tcPr>
            <w:tcW w:w="976" w:type="dxa"/>
            <w:shd w:val="clear" w:color="auto" w:fill="auto"/>
            <w:noWrap/>
            <w:tcMar>
              <w:left w:w="28" w:type="dxa"/>
              <w:right w:w="28" w:type="dxa"/>
            </w:tcMar>
            <w:vAlign w:val="bottom"/>
          </w:tcPr>
          <w:p w:rsidR="00BA1AB3" w:rsidRPr="00743481" w:rsidRDefault="00743481" w:rsidP="003F7B07">
            <w:pPr>
              <w:tabs>
                <w:tab w:val="decimal" w:pos="484"/>
              </w:tabs>
              <w:jc w:val="both"/>
              <w:rPr>
                <w:rFonts w:ascii="Arial Narrow" w:hAnsi="Arial Narrow" w:cs="Arial"/>
                <w:sz w:val="16"/>
                <w:szCs w:val="16"/>
              </w:rPr>
            </w:pPr>
            <w:r>
              <w:rPr>
                <w:rFonts w:ascii="Arial Narrow" w:hAnsi="Arial Narrow" w:cs="Arial"/>
                <w:sz w:val="16"/>
                <w:szCs w:val="16"/>
                <w:lang w:val="en-US"/>
              </w:rPr>
              <w:t>6,4</w:t>
            </w:r>
          </w:p>
        </w:tc>
        <w:tc>
          <w:tcPr>
            <w:tcW w:w="781" w:type="dxa"/>
            <w:shd w:val="clear" w:color="auto" w:fill="auto"/>
            <w:noWrap/>
            <w:tcMar>
              <w:left w:w="28" w:type="dxa"/>
              <w:right w:w="28" w:type="dxa"/>
            </w:tcMar>
            <w:vAlign w:val="bottom"/>
          </w:tcPr>
          <w:p w:rsidR="00BA1AB3" w:rsidRPr="00743481" w:rsidRDefault="00BA1AB3" w:rsidP="003F7B07">
            <w:pPr>
              <w:tabs>
                <w:tab w:val="decimal" w:pos="408"/>
              </w:tabs>
              <w:jc w:val="both"/>
              <w:rPr>
                <w:rFonts w:ascii="Arial Narrow" w:hAnsi="Arial Narrow" w:cs="Arial"/>
                <w:sz w:val="16"/>
                <w:szCs w:val="16"/>
              </w:rPr>
            </w:pPr>
            <w:r>
              <w:rPr>
                <w:rFonts w:ascii="Arial Narrow" w:hAnsi="Arial Narrow" w:cs="Arial"/>
                <w:sz w:val="16"/>
                <w:szCs w:val="16"/>
                <w:lang w:val="en-US"/>
              </w:rPr>
              <w:t>67</w:t>
            </w:r>
            <w:r w:rsidR="00743481">
              <w:rPr>
                <w:rFonts w:ascii="Arial Narrow" w:hAnsi="Arial Narrow" w:cs="Arial"/>
                <w:sz w:val="16"/>
                <w:szCs w:val="16"/>
              </w:rPr>
              <w:t>6,7</w:t>
            </w:r>
          </w:p>
        </w:tc>
        <w:tc>
          <w:tcPr>
            <w:tcW w:w="1171" w:type="dxa"/>
            <w:shd w:val="clear" w:color="auto" w:fill="auto"/>
            <w:noWrap/>
            <w:tcMar>
              <w:left w:w="28" w:type="dxa"/>
              <w:right w:w="28" w:type="dxa"/>
            </w:tcMar>
            <w:vAlign w:val="bottom"/>
          </w:tcPr>
          <w:p w:rsidR="00BA1AB3" w:rsidRPr="00E455F0" w:rsidRDefault="00BA1AB3" w:rsidP="003F7B07">
            <w:pPr>
              <w:tabs>
                <w:tab w:val="decimal" w:pos="573"/>
              </w:tabs>
              <w:jc w:val="both"/>
              <w:rPr>
                <w:rFonts w:ascii="Arial Narrow" w:hAnsi="Arial Narrow" w:cs="Arial"/>
                <w:sz w:val="16"/>
                <w:szCs w:val="16"/>
                <w:lang w:val="en-US"/>
              </w:rPr>
            </w:pPr>
            <w:r>
              <w:rPr>
                <w:rFonts w:ascii="Arial Narrow" w:hAnsi="Arial Narrow" w:cs="Arial"/>
                <w:sz w:val="16"/>
                <w:szCs w:val="16"/>
                <w:lang w:val="en-US"/>
              </w:rPr>
              <w:t>0,38</w:t>
            </w:r>
          </w:p>
        </w:tc>
        <w:tc>
          <w:tcPr>
            <w:tcW w:w="1562" w:type="dxa"/>
            <w:shd w:val="clear" w:color="auto" w:fill="auto"/>
            <w:noWrap/>
            <w:tcMar>
              <w:left w:w="28" w:type="dxa"/>
              <w:right w:w="28" w:type="dxa"/>
            </w:tcMar>
            <w:vAlign w:val="bottom"/>
          </w:tcPr>
          <w:p w:rsidR="00BA1AB3" w:rsidRPr="00743481" w:rsidRDefault="00743481" w:rsidP="003F7B07">
            <w:pPr>
              <w:tabs>
                <w:tab w:val="decimal" w:pos="776"/>
              </w:tabs>
              <w:jc w:val="both"/>
              <w:rPr>
                <w:rFonts w:ascii="Arial Narrow" w:hAnsi="Arial Narrow" w:cs="Arial"/>
                <w:sz w:val="16"/>
                <w:szCs w:val="16"/>
              </w:rPr>
            </w:pPr>
            <w:r>
              <w:rPr>
                <w:rFonts w:ascii="Arial Narrow" w:hAnsi="Arial Narrow" w:cs="Arial"/>
                <w:sz w:val="16"/>
                <w:szCs w:val="16"/>
              </w:rPr>
              <w:t>57,4</w:t>
            </w:r>
          </w:p>
        </w:tc>
        <w:tc>
          <w:tcPr>
            <w:tcW w:w="781" w:type="dxa"/>
            <w:shd w:val="clear" w:color="auto" w:fill="auto"/>
            <w:noWrap/>
            <w:tcMar>
              <w:left w:w="28" w:type="dxa"/>
              <w:right w:w="28" w:type="dxa"/>
            </w:tcMar>
            <w:vAlign w:val="bottom"/>
          </w:tcPr>
          <w:p w:rsidR="00BA1AB3" w:rsidRPr="00743481" w:rsidRDefault="00743481" w:rsidP="003F7B07">
            <w:pPr>
              <w:tabs>
                <w:tab w:val="decimal" w:pos="407"/>
              </w:tabs>
              <w:jc w:val="both"/>
              <w:rPr>
                <w:rFonts w:ascii="Arial Narrow" w:hAnsi="Arial Narrow" w:cs="Arial"/>
                <w:sz w:val="16"/>
                <w:szCs w:val="16"/>
              </w:rPr>
            </w:pPr>
            <w:r>
              <w:rPr>
                <w:rFonts w:ascii="Arial Narrow" w:hAnsi="Arial Narrow" w:cs="Arial"/>
                <w:sz w:val="16"/>
                <w:szCs w:val="16"/>
              </w:rPr>
              <w:t>619,3</w:t>
            </w:r>
          </w:p>
        </w:tc>
        <w:tc>
          <w:tcPr>
            <w:tcW w:w="976" w:type="dxa"/>
            <w:tcBorders>
              <w:right w:val="single" w:sz="6" w:space="0" w:color="auto"/>
            </w:tcBorders>
            <w:shd w:val="clear" w:color="auto" w:fill="auto"/>
            <w:noWrap/>
            <w:tcMar>
              <w:left w:w="28" w:type="dxa"/>
              <w:right w:w="28" w:type="dxa"/>
            </w:tcMar>
            <w:vAlign w:val="bottom"/>
          </w:tcPr>
          <w:p w:rsidR="00BA1AB3" w:rsidRPr="00E455F0" w:rsidRDefault="00BA1AB3" w:rsidP="003F7B07">
            <w:pPr>
              <w:tabs>
                <w:tab w:val="decimal" w:pos="453"/>
              </w:tabs>
              <w:jc w:val="both"/>
              <w:rPr>
                <w:rFonts w:ascii="Arial Narrow" w:hAnsi="Arial Narrow" w:cs="Arial"/>
                <w:sz w:val="16"/>
                <w:szCs w:val="16"/>
                <w:lang w:val="en-US"/>
              </w:rPr>
            </w:pPr>
            <w:r>
              <w:rPr>
                <w:rFonts w:ascii="Arial Narrow" w:hAnsi="Arial Narrow" w:cs="Arial"/>
                <w:sz w:val="16"/>
                <w:szCs w:val="16"/>
                <w:lang w:val="en-US"/>
              </w:rPr>
              <w:t>0,34</w:t>
            </w:r>
          </w:p>
        </w:tc>
      </w:tr>
      <w:tr w:rsidR="00A3455D" w:rsidRPr="009367DF" w:rsidTr="003F7B07">
        <w:trPr>
          <w:trHeight w:val="224"/>
          <w:jc w:val="center"/>
        </w:trPr>
        <w:tc>
          <w:tcPr>
            <w:tcW w:w="810" w:type="dxa"/>
            <w:tcBorders>
              <w:left w:val="single" w:sz="6" w:space="0" w:color="auto"/>
              <w:bottom w:val="single" w:sz="6" w:space="0" w:color="auto"/>
            </w:tcBorders>
            <w:shd w:val="clear" w:color="auto" w:fill="auto"/>
            <w:noWrap/>
            <w:tcMar>
              <w:left w:w="28" w:type="dxa"/>
              <w:right w:w="28" w:type="dxa"/>
            </w:tcMar>
            <w:vAlign w:val="bottom"/>
          </w:tcPr>
          <w:p w:rsidR="00A3455D" w:rsidRPr="00A3455D" w:rsidRDefault="00A3455D" w:rsidP="003F7B07">
            <w:pPr>
              <w:jc w:val="center"/>
              <w:rPr>
                <w:rFonts w:ascii="Arial Narrow" w:hAnsi="Arial Narrow"/>
                <w:sz w:val="16"/>
                <w:szCs w:val="16"/>
              </w:rPr>
            </w:pPr>
            <w:r>
              <w:rPr>
                <w:rFonts w:ascii="Arial Narrow" w:hAnsi="Arial Narrow"/>
                <w:sz w:val="16"/>
                <w:szCs w:val="16"/>
              </w:rPr>
              <w:t>2018*</w:t>
            </w:r>
          </w:p>
        </w:tc>
        <w:tc>
          <w:tcPr>
            <w:tcW w:w="665"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412"/>
              </w:tabs>
              <w:jc w:val="both"/>
              <w:rPr>
                <w:rFonts w:ascii="Arial Narrow" w:hAnsi="Arial Narrow" w:cs="Arial"/>
                <w:sz w:val="16"/>
                <w:szCs w:val="16"/>
              </w:rPr>
            </w:pPr>
            <w:r>
              <w:rPr>
                <w:rFonts w:ascii="Arial Narrow" w:hAnsi="Arial Narrow" w:cs="Arial"/>
                <w:sz w:val="16"/>
                <w:szCs w:val="16"/>
              </w:rPr>
              <w:t>111,5</w:t>
            </w:r>
          </w:p>
        </w:tc>
        <w:tc>
          <w:tcPr>
            <w:tcW w:w="781"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374"/>
              </w:tabs>
              <w:jc w:val="both"/>
              <w:rPr>
                <w:rFonts w:ascii="Arial Narrow" w:hAnsi="Arial Narrow" w:cs="Arial"/>
                <w:sz w:val="16"/>
                <w:szCs w:val="16"/>
              </w:rPr>
            </w:pPr>
            <w:r>
              <w:rPr>
                <w:rFonts w:ascii="Arial Narrow" w:hAnsi="Arial Narrow" w:cs="Arial"/>
                <w:sz w:val="16"/>
                <w:szCs w:val="16"/>
              </w:rPr>
              <w:t>0,06</w:t>
            </w:r>
          </w:p>
        </w:tc>
        <w:tc>
          <w:tcPr>
            <w:tcW w:w="976"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614"/>
              </w:tabs>
              <w:jc w:val="both"/>
              <w:rPr>
                <w:rFonts w:ascii="Arial Narrow" w:hAnsi="Arial Narrow" w:cs="Arial"/>
                <w:sz w:val="16"/>
                <w:szCs w:val="16"/>
              </w:rPr>
            </w:pPr>
            <w:r>
              <w:rPr>
                <w:rFonts w:ascii="Arial Narrow" w:hAnsi="Arial Narrow" w:cs="Arial"/>
                <w:sz w:val="16"/>
                <w:szCs w:val="16"/>
              </w:rPr>
              <w:t>10.358,4</w:t>
            </w:r>
          </w:p>
        </w:tc>
        <w:tc>
          <w:tcPr>
            <w:tcW w:w="976"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484"/>
              </w:tabs>
              <w:jc w:val="both"/>
              <w:rPr>
                <w:rFonts w:ascii="Arial Narrow" w:hAnsi="Arial Narrow" w:cs="Arial"/>
                <w:sz w:val="16"/>
                <w:szCs w:val="16"/>
              </w:rPr>
            </w:pPr>
            <w:r>
              <w:rPr>
                <w:rFonts w:ascii="Arial Narrow" w:hAnsi="Arial Narrow" w:cs="Arial"/>
                <w:sz w:val="16"/>
                <w:szCs w:val="16"/>
              </w:rPr>
              <w:t>5,</w:t>
            </w:r>
            <w:r w:rsidR="00B435D9">
              <w:rPr>
                <w:rFonts w:ascii="Arial Narrow" w:hAnsi="Arial Narrow" w:cs="Arial"/>
                <w:sz w:val="16"/>
                <w:szCs w:val="16"/>
              </w:rPr>
              <w:t>6</w:t>
            </w:r>
          </w:p>
        </w:tc>
        <w:tc>
          <w:tcPr>
            <w:tcW w:w="781"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408"/>
              </w:tabs>
              <w:jc w:val="both"/>
              <w:rPr>
                <w:rFonts w:ascii="Arial Narrow" w:hAnsi="Arial Narrow" w:cs="Arial"/>
                <w:sz w:val="16"/>
                <w:szCs w:val="16"/>
              </w:rPr>
            </w:pPr>
            <w:r>
              <w:rPr>
                <w:rFonts w:ascii="Arial Narrow" w:hAnsi="Arial Narrow" w:cs="Arial"/>
                <w:sz w:val="16"/>
                <w:szCs w:val="16"/>
              </w:rPr>
              <w:t>88,7</w:t>
            </w:r>
          </w:p>
        </w:tc>
        <w:tc>
          <w:tcPr>
            <w:tcW w:w="1171"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573"/>
              </w:tabs>
              <w:jc w:val="both"/>
              <w:rPr>
                <w:rFonts w:ascii="Arial Narrow" w:hAnsi="Arial Narrow" w:cs="Arial"/>
                <w:sz w:val="16"/>
                <w:szCs w:val="16"/>
              </w:rPr>
            </w:pPr>
            <w:r>
              <w:rPr>
                <w:rFonts w:ascii="Arial Narrow" w:hAnsi="Arial Narrow" w:cs="Arial"/>
                <w:sz w:val="16"/>
                <w:szCs w:val="16"/>
              </w:rPr>
              <w:t>0,05</w:t>
            </w:r>
          </w:p>
        </w:tc>
        <w:tc>
          <w:tcPr>
            <w:tcW w:w="1562"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776"/>
              </w:tabs>
              <w:jc w:val="both"/>
              <w:rPr>
                <w:rFonts w:ascii="Arial Narrow" w:hAnsi="Arial Narrow" w:cs="Arial"/>
                <w:sz w:val="16"/>
                <w:szCs w:val="16"/>
              </w:rPr>
            </w:pPr>
            <w:r>
              <w:rPr>
                <w:rFonts w:ascii="Arial Narrow" w:hAnsi="Arial Narrow" w:cs="Arial"/>
                <w:sz w:val="16"/>
                <w:szCs w:val="16"/>
              </w:rPr>
              <w:t>56,8</w:t>
            </w:r>
          </w:p>
        </w:tc>
        <w:tc>
          <w:tcPr>
            <w:tcW w:w="781" w:type="dxa"/>
            <w:tcBorders>
              <w:bottom w:val="single" w:sz="6" w:space="0" w:color="auto"/>
            </w:tcBorders>
            <w:shd w:val="clear" w:color="auto" w:fill="auto"/>
            <w:noWrap/>
            <w:tcMar>
              <w:left w:w="28" w:type="dxa"/>
              <w:right w:w="28" w:type="dxa"/>
            </w:tcMar>
            <w:vAlign w:val="bottom"/>
          </w:tcPr>
          <w:p w:rsidR="00A3455D" w:rsidRPr="00A3455D" w:rsidRDefault="00A3455D" w:rsidP="003F7B07">
            <w:pPr>
              <w:tabs>
                <w:tab w:val="decimal" w:pos="407"/>
              </w:tabs>
              <w:jc w:val="both"/>
              <w:rPr>
                <w:rFonts w:ascii="Arial Narrow" w:hAnsi="Arial Narrow" w:cs="Arial"/>
                <w:sz w:val="16"/>
                <w:szCs w:val="16"/>
              </w:rPr>
            </w:pPr>
            <w:r>
              <w:rPr>
                <w:rFonts w:ascii="Arial Narrow" w:hAnsi="Arial Narrow" w:cs="Arial"/>
                <w:sz w:val="16"/>
                <w:szCs w:val="16"/>
              </w:rPr>
              <w:t>31,9</w:t>
            </w:r>
          </w:p>
        </w:tc>
        <w:tc>
          <w:tcPr>
            <w:tcW w:w="976" w:type="dxa"/>
            <w:tcBorders>
              <w:bottom w:val="single" w:sz="6" w:space="0" w:color="auto"/>
              <w:right w:val="single" w:sz="6" w:space="0" w:color="auto"/>
            </w:tcBorders>
            <w:shd w:val="clear" w:color="auto" w:fill="auto"/>
            <w:noWrap/>
            <w:tcMar>
              <w:left w:w="28" w:type="dxa"/>
              <w:right w:w="28" w:type="dxa"/>
            </w:tcMar>
            <w:vAlign w:val="bottom"/>
          </w:tcPr>
          <w:p w:rsidR="00A3455D" w:rsidRPr="00A3455D" w:rsidRDefault="00A3455D" w:rsidP="003F7B07">
            <w:pPr>
              <w:tabs>
                <w:tab w:val="decimal" w:pos="453"/>
              </w:tabs>
              <w:jc w:val="both"/>
              <w:rPr>
                <w:rFonts w:ascii="Arial Narrow" w:hAnsi="Arial Narrow" w:cs="Arial"/>
                <w:sz w:val="16"/>
                <w:szCs w:val="16"/>
              </w:rPr>
            </w:pPr>
            <w:r>
              <w:rPr>
                <w:rFonts w:ascii="Arial Narrow" w:hAnsi="Arial Narrow" w:cs="Arial"/>
                <w:sz w:val="16"/>
                <w:szCs w:val="16"/>
              </w:rPr>
              <w:t>0,02</w:t>
            </w:r>
          </w:p>
        </w:tc>
      </w:tr>
    </w:tbl>
    <w:p w:rsidR="00BA1AB3" w:rsidRDefault="00BA1AB3"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i/>
          <w:iCs/>
          <w:sz w:val="18"/>
          <w:szCs w:val="16"/>
        </w:rPr>
      </w:pPr>
      <w:r>
        <w:rPr>
          <w:rFonts w:ascii="Arial Narrow" w:hAnsi="Arial Narrow"/>
          <w:i/>
          <w:iCs/>
          <w:sz w:val="18"/>
          <w:szCs w:val="16"/>
        </w:rPr>
        <w:t>*</w:t>
      </w:r>
      <w:r w:rsidRPr="009367DF">
        <w:rPr>
          <w:rFonts w:ascii="Arial Narrow" w:hAnsi="Arial Narrow"/>
          <w:i/>
          <w:iCs/>
          <w:sz w:val="18"/>
          <w:szCs w:val="16"/>
        </w:rPr>
        <w:t xml:space="preserve">Τα στοιχεία </w:t>
      </w:r>
      <w:r>
        <w:rPr>
          <w:rFonts w:ascii="Arial Narrow" w:hAnsi="Arial Narrow"/>
          <w:i/>
          <w:iCs/>
          <w:sz w:val="18"/>
          <w:szCs w:val="16"/>
        </w:rPr>
        <w:t>για το έτος 201</w:t>
      </w:r>
      <w:r w:rsidR="00A3455D">
        <w:rPr>
          <w:rFonts w:ascii="Arial Narrow" w:hAnsi="Arial Narrow"/>
          <w:i/>
          <w:iCs/>
          <w:sz w:val="18"/>
          <w:szCs w:val="16"/>
        </w:rPr>
        <w:t>8</w:t>
      </w:r>
      <w:r>
        <w:rPr>
          <w:rFonts w:ascii="Arial Narrow" w:hAnsi="Arial Narrow"/>
          <w:i/>
          <w:iCs/>
          <w:sz w:val="18"/>
          <w:szCs w:val="16"/>
        </w:rPr>
        <w:t xml:space="preserve"> </w:t>
      </w:r>
      <w:r w:rsidRPr="009367DF">
        <w:rPr>
          <w:rFonts w:ascii="Arial Narrow" w:hAnsi="Arial Narrow"/>
          <w:i/>
          <w:iCs/>
          <w:sz w:val="18"/>
          <w:szCs w:val="16"/>
        </w:rPr>
        <w:t>αποτελούν εκτίμηση.</w:t>
      </w:r>
    </w:p>
    <w:p w:rsidR="00BA1AB3" w:rsidRPr="009367DF" w:rsidRDefault="00BA1AB3"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sz w:val="18"/>
          <w:szCs w:val="16"/>
        </w:rPr>
      </w:pPr>
    </w:p>
    <w:p w:rsidR="00BA1AB3" w:rsidRDefault="00BA1AB3" w:rsidP="00BA1AB3">
      <w:pPr>
        <w:ind w:right="251"/>
        <w:jc w:val="both"/>
        <w:rPr>
          <w:rFonts w:ascii="Arial Narrow" w:hAnsi="Arial Narrow"/>
          <w:sz w:val="22"/>
          <w:szCs w:val="22"/>
        </w:rPr>
      </w:pPr>
    </w:p>
    <w:tbl>
      <w:tblPr>
        <w:tblW w:w="10185" w:type="dxa"/>
        <w:jc w:val="center"/>
        <w:tblLook w:val="00A0"/>
      </w:tblPr>
      <w:tblGrid>
        <w:gridCol w:w="377"/>
        <w:gridCol w:w="9536"/>
        <w:gridCol w:w="272"/>
      </w:tblGrid>
      <w:tr w:rsidR="00BA1AB3" w:rsidRPr="00F323BD" w:rsidTr="003F7B07">
        <w:trPr>
          <w:gridBefore w:val="1"/>
          <w:gridAfter w:val="1"/>
          <w:wBefore w:w="377" w:type="dxa"/>
          <w:wAfter w:w="272" w:type="dxa"/>
          <w:trHeight w:val="545"/>
          <w:jc w:val="center"/>
        </w:trPr>
        <w:tc>
          <w:tcPr>
            <w:tcW w:w="9536" w:type="dxa"/>
            <w:shd w:val="clear" w:color="auto" w:fill="404040"/>
          </w:tcPr>
          <w:p w:rsidR="00BA1AB3" w:rsidRPr="00F323BD" w:rsidRDefault="005822BC" w:rsidP="003F7B07">
            <w:pPr>
              <w:keepNext/>
              <w:spacing w:before="120"/>
              <w:jc w:val="center"/>
              <w:outlineLvl w:val="4"/>
              <w:rPr>
                <w:rFonts w:ascii="Arial Narrow" w:hAnsi="Arial Narrow"/>
                <w:b/>
                <w:color w:val="FFFFFF"/>
              </w:rPr>
            </w:pPr>
            <w:r>
              <w:rPr>
                <w:rFonts w:ascii="Arial Narrow" w:hAnsi="Arial Narrow"/>
                <w:b/>
                <w:color w:val="FFFFFF"/>
              </w:rPr>
              <w:t>Διάγραμμα 4.7</w:t>
            </w:r>
            <w:r w:rsidR="00BA1AB3">
              <w:rPr>
                <w:rFonts w:ascii="Arial Narrow" w:hAnsi="Arial Narrow"/>
                <w:b/>
                <w:color w:val="FFFFFF"/>
              </w:rPr>
              <w:t xml:space="preserve"> </w:t>
            </w:r>
            <w:r w:rsidR="00BA1AB3" w:rsidRPr="00F323BD">
              <w:rPr>
                <w:rFonts w:ascii="Arial Narrow" w:hAnsi="Arial Narrow"/>
                <w:b/>
                <w:color w:val="FFFFFF"/>
              </w:rPr>
              <w:t>Εγγυήσεις, καταπτώσεις και ανεξόφλητο εγγυημένο υπόλοιπο</w:t>
            </w:r>
          </w:p>
          <w:p w:rsidR="00BA1AB3" w:rsidRPr="00E455F0" w:rsidRDefault="00BA1AB3" w:rsidP="003F7B07">
            <w:pPr>
              <w:keepNext/>
              <w:tabs>
                <w:tab w:val="center" w:pos="4662"/>
                <w:tab w:val="left" w:pos="6506"/>
              </w:tabs>
              <w:jc w:val="center"/>
              <w:outlineLvl w:val="4"/>
              <w:rPr>
                <w:rFonts w:ascii="Arial Narrow" w:hAnsi="Arial Narrow"/>
                <w:b/>
                <w:color w:val="FFFFFF"/>
              </w:rPr>
            </w:pPr>
            <w:r>
              <w:rPr>
                <w:rFonts w:ascii="Arial Narrow" w:hAnsi="Arial Narrow"/>
                <w:b/>
                <w:color w:val="FFFFFF"/>
              </w:rPr>
              <w:t>κατά τα έτη 2000-201</w:t>
            </w:r>
            <w:r w:rsidR="00125B83">
              <w:rPr>
                <w:rFonts w:ascii="Arial Narrow" w:hAnsi="Arial Narrow"/>
                <w:b/>
                <w:color w:val="FFFFFF"/>
              </w:rPr>
              <w:t>8</w:t>
            </w:r>
          </w:p>
          <w:p w:rsidR="00BA1AB3" w:rsidRPr="00F323BD" w:rsidRDefault="00BA1AB3" w:rsidP="003F7B07">
            <w:pPr>
              <w:spacing w:after="120"/>
              <w:jc w:val="center"/>
              <w:rPr>
                <w:b/>
                <w:sz w:val="22"/>
                <w:szCs w:val="22"/>
              </w:rPr>
            </w:pPr>
            <w:r w:rsidRPr="00F323BD">
              <w:rPr>
                <w:rFonts w:ascii="Arial Narrow" w:hAnsi="Arial Narrow"/>
                <w:b/>
                <w:color w:val="FFFFFF"/>
              </w:rPr>
              <w:t>(ως % του ΑΕΠ)</w:t>
            </w:r>
          </w:p>
        </w:tc>
      </w:tr>
      <w:tr w:rsidR="00BA1AB3" w:rsidRPr="00F323BD" w:rsidTr="003F7B07">
        <w:trPr>
          <w:jc w:val="center"/>
        </w:trPr>
        <w:tc>
          <w:tcPr>
            <w:tcW w:w="10185" w:type="dxa"/>
            <w:gridSpan w:val="3"/>
          </w:tcPr>
          <w:p w:rsidR="00BA1AB3" w:rsidRDefault="00BA1AB3" w:rsidP="003F7B07">
            <w:pPr>
              <w:jc w:val="center"/>
              <w:rPr>
                <w:sz w:val="20"/>
                <w:szCs w:val="20"/>
              </w:rPr>
            </w:pPr>
            <w:r w:rsidRPr="002762A6">
              <w:rPr>
                <w:noProof/>
                <w:sz w:val="20"/>
                <w:szCs w:val="20"/>
              </w:rPr>
              <w:drawing>
                <wp:inline distT="0" distB="0" distL="0" distR="0">
                  <wp:extent cx="6145619" cy="2747453"/>
                  <wp:effectExtent l="0" t="0" r="0" b="0"/>
                  <wp:docPr id="24"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sz w:val="20"/>
                <w:szCs w:val="20"/>
              </w:rPr>
              <w:t xml:space="preserve">      </w:t>
            </w:r>
          </w:p>
          <w:p w:rsidR="00BA1AB3" w:rsidRPr="00BC03F3" w:rsidRDefault="00BA1AB3" w:rsidP="003F7B07">
            <w:pPr>
              <w:rPr>
                <w:rFonts w:ascii="Arial Narrow" w:hAnsi="Arial Narrow"/>
                <w:sz w:val="18"/>
                <w:szCs w:val="18"/>
              </w:rPr>
            </w:pPr>
            <w:r>
              <w:rPr>
                <w:sz w:val="22"/>
                <w:szCs w:val="22"/>
              </w:rPr>
              <w:t xml:space="preserve">                </w:t>
            </w:r>
            <w:r w:rsidRPr="007A1C58">
              <w:rPr>
                <w:rFonts w:ascii="Arial Narrow" w:hAnsi="Arial Narrow"/>
                <w:sz w:val="16"/>
                <w:szCs w:val="18"/>
              </w:rPr>
              <w:t>Πηγή: Υπουργείο Οικονομικών</w:t>
            </w:r>
          </w:p>
        </w:tc>
      </w:tr>
    </w:tbl>
    <w:p w:rsidR="005A36C1" w:rsidRDefault="005A36C1" w:rsidP="005B67EE">
      <w:pPr>
        <w:tabs>
          <w:tab w:val="left" w:pos="3939"/>
        </w:tabs>
        <w:spacing w:line="238" w:lineRule="auto"/>
        <w:jc w:val="both"/>
        <w:rPr>
          <w:rFonts w:ascii="Arial Narrow" w:hAnsi="Arial Narrow" w:cs="Arial"/>
          <w:b/>
          <w:color w:val="000080"/>
          <w:sz w:val="22"/>
        </w:rPr>
      </w:pPr>
    </w:p>
    <w:p w:rsidR="00BA1AB3" w:rsidRPr="00A10168" w:rsidRDefault="00BA1AB3" w:rsidP="005B67EE">
      <w:pPr>
        <w:tabs>
          <w:tab w:val="left" w:pos="3939"/>
        </w:tabs>
        <w:spacing w:line="238" w:lineRule="auto"/>
        <w:jc w:val="both"/>
        <w:rPr>
          <w:rFonts w:ascii="Arial Narrow" w:hAnsi="Arial Narrow" w:cs="Arial"/>
          <w:b/>
          <w:color w:val="000080"/>
          <w:sz w:val="22"/>
        </w:rPr>
      </w:pPr>
      <w:r w:rsidRPr="00A10168">
        <w:rPr>
          <w:rFonts w:ascii="Arial Narrow" w:hAnsi="Arial Narrow" w:cs="Arial"/>
          <w:b/>
          <w:color w:val="000080"/>
          <w:sz w:val="22"/>
        </w:rPr>
        <w:lastRenderedPageBreak/>
        <w:t>Ενίσχυση ρευστότητας της οικονομίας</w:t>
      </w:r>
      <w:r w:rsidR="005B67EE">
        <w:rPr>
          <w:rFonts w:ascii="Arial Narrow" w:hAnsi="Arial Narrow" w:cs="Arial"/>
          <w:b/>
          <w:color w:val="000080"/>
          <w:sz w:val="22"/>
        </w:rPr>
        <w:tab/>
      </w:r>
    </w:p>
    <w:p w:rsidR="00BA1AB3" w:rsidRDefault="00BA1AB3" w:rsidP="00BA1AB3">
      <w:pPr>
        <w:spacing w:line="238" w:lineRule="auto"/>
        <w:jc w:val="both"/>
        <w:rPr>
          <w:sz w:val="22"/>
        </w:rPr>
      </w:pPr>
    </w:p>
    <w:p w:rsidR="00BA1AB3" w:rsidRDefault="00BA1AB3" w:rsidP="00BA1AB3">
      <w:pPr>
        <w:pStyle w:val="af"/>
        <w:numPr>
          <w:ilvl w:val="0"/>
          <w:numId w:val="49"/>
        </w:numPr>
        <w:spacing w:line="238" w:lineRule="auto"/>
        <w:ind w:left="284" w:hanging="284"/>
        <w:jc w:val="both"/>
        <w:rPr>
          <w:sz w:val="22"/>
        </w:rPr>
      </w:pPr>
      <w:r w:rsidRPr="00B14D84">
        <w:rPr>
          <w:sz w:val="22"/>
        </w:rPr>
        <w:t xml:space="preserve">Με την ψήφιση του ν.3723/2008 «Ενίσχυση της ρευστότητας της οικονομίας για την αντιμετώπιση των επιπτώσεων της διεθνούς χρηματοοικονομικής κρίσης και άλλες διατάξεις» επιχειρήθηκε η </w:t>
      </w:r>
      <w:r w:rsidR="00C57F73">
        <w:rPr>
          <w:sz w:val="22"/>
        </w:rPr>
        <w:t>θωράκιση</w:t>
      </w:r>
      <w:r w:rsidR="004516EE">
        <w:rPr>
          <w:sz w:val="22"/>
        </w:rPr>
        <w:t xml:space="preserve"> </w:t>
      </w:r>
      <w:r w:rsidRPr="00B14D84">
        <w:rPr>
          <w:sz w:val="22"/>
        </w:rPr>
        <w:t xml:space="preserve">της ελληνικής οικονομίας από τις επιπτώσεις της διεθνούς κρίσης </w:t>
      </w:r>
      <w:r w:rsidR="005822BC">
        <w:rPr>
          <w:sz w:val="22"/>
        </w:rPr>
        <w:t>μέσω της</w:t>
      </w:r>
      <w:r w:rsidR="00C57F73">
        <w:rPr>
          <w:sz w:val="22"/>
        </w:rPr>
        <w:t xml:space="preserve"> </w:t>
      </w:r>
      <w:r w:rsidRPr="00B14D84">
        <w:rPr>
          <w:sz w:val="22"/>
        </w:rPr>
        <w:t>ενίσχυση</w:t>
      </w:r>
      <w:r w:rsidR="005822BC">
        <w:rPr>
          <w:sz w:val="22"/>
        </w:rPr>
        <w:t>ς</w:t>
      </w:r>
      <w:r w:rsidRPr="00B14D84">
        <w:rPr>
          <w:sz w:val="22"/>
        </w:rPr>
        <w:t xml:space="preserve"> της ρευστότητας</w:t>
      </w:r>
      <w:r w:rsidR="005822BC">
        <w:rPr>
          <w:sz w:val="22"/>
        </w:rPr>
        <w:t xml:space="preserve"> του πιστωτικού συστήματος</w:t>
      </w:r>
      <w:r w:rsidRPr="00B14D84">
        <w:rPr>
          <w:sz w:val="22"/>
        </w:rPr>
        <w:t>. Σκοπός ήταν να αποκτήσουν οι τράπεζες επιπλέον</w:t>
      </w:r>
      <w:r>
        <w:rPr>
          <w:sz w:val="22"/>
        </w:rPr>
        <w:t xml:space="preserve"> κεφάλαια για τη</w:t>
      </w:r>
      <w:r w:rsidR="00C57F73">
        <w:rPr>
          <w:sz w:val="22"/>
        </w:rPr>
        <w:t xml:space="preserve"> </w:t>
      </w:r>
      <w:r w:rsidRPr="00B14D84">
        <w:rPr>
          <w:sz w:val="22"/>
        </w:rPr>
        <w:t>χορήγηση πιστώσεων στα νοικοκυριά και στις επιχειρήσεις και να αμβλυνθούν οι πιέσεις στα επιτόκια χορηγήσεων.</w:t>
      </w:r>
    </w:p>
    <w:p w:rsidR="00BA1AB3" w:rsidRPr="00BA1AB3" w:rsidRDefault="00BA1AB3" w:rsidP="00BA1AB3">
      <w:pPr>
        <w:pStyle w:val="af"/>
        <w:spacing w:line="238" w:lineRule="auto"/>
        <w:ind w:left="284"/>
        <w:jc w:val="both"/>
        <w:rPr>
          <w:sz w:val="18"/>
        </w:rPr>
      </w:pPr>
    </w:p>
    <w:p w:rsidR="00BA1AB3" w:rsidRDefault="00BA1AB3" w:rsidP="00BA1AB3">
      <w:pPr>
        <w:pStyle w:val="af"/>
        <w:spacing w:line="238" w:lineRule="auto"/>
        <w:ind w:left="284"/>
        <w:jc w:val="both"/>
        <w:rPr>
          <w:sz w:val="22"/>
        </w:rPr>
      </w:pPr>
      <w:r w:rsidRPr="00EC659D">
        <w:rPr>
          <w:sz w:val="22"/>
        </w:rPr>
        <w:t xml:space="preserve">Οι εγγυήσεις που είναι σε ισχύ </w:t>
      </w:r>
      <w:r>
        <w:rPr>
          <w:sz w:val="22"/>
        </w:rPr>
        <w:t>στις 3</w:t>
      </w:r>
      <w:r w:rsidR="00C57F73">
        <w:rPr>
          <w:sz w:val="22"/>
        </w:rPr>
        <w:t>0/09/</w:t>
      </w:r>
      <w:r w:rsidR="00904895" w:rsidRPr="00904895">
        <w:rPr>
          <w:sz w:val="22"/>
        </w:rPr>
        <w:t>20</w:t>
      </w:r>
      <w:r w:rsidR="00C57F73">
        <w:rPr>
          <w:sz w:val="22"/>
        </w:rPr>
        <w:t>18 ανέρχονται στο ποσό των 350 εκατ. ευρώ και π</w:t>
      </w:r>
      <w:r w:rsidR="00C57F73">
        <w:rPr>
          <w:sz w:val="22"/>
        </w:rPr>
        <w:t>α</w:t>
      </w:r>
      <w:r w:rsidR="00C57F73">
        <w:rPr>
          <w:sz w:val="22"/>
        </w:rPr>
        <w:t>ρουσιάζουν μείωση σε σχέση με το έτος 2017,</w:t>
      </w:r>
      <w:r w:rsidR="00BE54E8" w:rsidRPr="00BE54E8">
        <w:rPr>
          <w:sz w:val="22"/>
        </w:rPr>
        <w:t xml:space="preserve"> </w:t>
      </w:r>
      <w:r w:rsidR="00BE54E8">
        <w:rPr>
          <w:sz w:val="22"/>
        </w:rPr>
        <w:t>καθώς</w:t>
      </w:r>
      <w:r w:rsidR="00C57F73">
        <w:rPr>
          <w:sz w:val="22"/>
        </w:rPr>
        <w:t xml:space="preserve"> το ύψος τ</w:t>
      </w:r>
      <w:r w:rsidR="00BE54E8">
        <w:rPr>
          <w:sz w:val="22"/>
        </w:rPr>
        <w:t>ους</w:t>
      </w:r>
      <w:r w:rsidR="00C57F73">
        <w:rPr>
          <w:sz w:val="22"/>
        </w:rPr>
        <w:t xml:space="preserve"> ήταν 380 εκατ. ευρώ στις 31/12/</w:t>
      </w:r>
      <w:r w:rsidR="00904895" w:rsidRPr="00904895">
        <w:rPr>
          <w:sz w:val="22"/>
        </w:rPr>
        <w:t>20</w:t>
      </w:r>
      <w:r w:rsidR="00C57F73">
        <w:rPr>
          <w:sz w:val="22"/>
        </w:rPr>
        <w:t xml:space="preserve">17. </w:t>
      </w:r>
      <w:r w:rsidR="005822BC">
        <w:rPr>
          <w:sz w:val="22"/>
        </w:rPr>
        <w:t>Οι</w:t>
      </w:r>
      <w:r w:rsidR="00C57F73">
        <w:rPr>
          <w:sz w:val="22"/>
        </w:rPr>
        <w:t xml:space="preserve"> παραπάνω εγγ</w:t>
      </w:r>
      <w:r w:rsidR="005822BC">
        <w:rPr>
          <w:sz w:val="22"/>
        </w:rPr>
        <w:t>υήσεις παρέχον</w:t>
      </w:r>
      <w:r w:rsidR="00C57F73">
        <w:rPr>
          <w:sz w:val="22"/>
        </w:rPr>
        <w:t xml:space="preserve">ται έναντι προμήθειας, η οποία αποτελεί έσοδο του Ελληνικού </w:t>
      </w:r>
      <w:r w:rsidRPr="00EC659D">
        <w:rPr>
          <w:sz w:val="22"/>
        </w:rPr>
        <w:t>Δημοσίου</w:t>
      </w:r>
      <w:r w:rsidR="00C57F73">
        <w:rPr>
          <w:sz w:val="22"/>
        </w:rPr>
        <w:t xml:space="preserve">. Συγκεκριμένα, </w:t>
      </w:r>
      <w:r w:rsidR="00904895">
        <w:rPr>
          <w:sz w:val="22"/>
        </w:rPr>
        <w:t>το εννεάμηνο του 2018</w:t>
      </w:r>
      <w:r w:rsidRPr="00EC659D">
        <w:rPr>
          <w:sz w:val="22"/>
        </w:rPr>
        <w:t xml:space="preserve"> έχει εισπραχθεί</w:t>
      </w:r>
      <w:r>
        <w:rPr>
          <w:sz w:val="22"/>
        </w:rPr>
        <w:t xml:space="preserve"> </w:t>
      </w:r>
      <w:r w:rsidRPr="00EC659D">
        <w:rPr>
          <w:sz w:val="22"/>
        </w:rPr>
        <w:t xml:space="preserve">το συνολικό ποσό των </w:t>
      </w:r>
      <w:r w:rsidR="00C57F73">
        <w:rPr>
          <w:sz w:val="22"/>
        </w:rPr>
        <w:t>2,34</w:t>
      </w:r>
      <w:r w:rsidRPr="007C652C">
        <w:rPr>
          <w:sz w:val="22"/>
        </w:rPr>
        <w:t xml:space="preserve"> </w:t>
      </w:r>
      <w:r>
        <w:rPr>
          <w:sz w:val="22"/>
        </w:rPr>
        <w:t>ε</w:t>
      </w:r>
      <w:r w:rsidR="00904895">
        <w:rPr>
          <w:sz w:val="22"/>
        </w:rPr>
        <w:t>κατ. ευρώ.</w:t>
      </w:r>
    </w:p>
    <w:p w:rsidR="00BA1AB3" w:rsidRPr="00BA1AB3" w:rsidRDefault="00BA1AB3" w:rsidP="00BA1AB3">
      <w:pPr>
        <w:spacing w:line="238" w:lineRule="auto"/>
        <w:jc w:val="both"/>
        <w:rPr>
          <w:sz w:val="18"/>
        </w:rPr>
      </w:pPr>
    </w:p>
    <w:p w:rsidR="00BA1AB3" w:rsidRPr="00735AF7" w:rsidRDefault="00BA1AB3" w:rsidP="00BA1AB3">
      <w:pPr>
        <w:pStyle w:val="af"/>
        <w:numPr>
          <w:ilvl w:val="0"/>
          <w:numId w:val="49"/>
        </w:numPr>
        <w:spacing w:line="238" w:lineRule="auto"/>
        <w:ind w:left="284" w:hanging="284"/>
        <w:jc w:val="both"/>
        <w:rPr>
          <w:sz w:val="22"/>
        </w:rPr>
      </w:pPr>
      <w:r w:rsidRPr="00EC659D">
        <w:rPr>
          <w:sz w:val="22"/>
        </w:rPr>
        <w:t xml:space="preserve">Σύμφωνα με τον </w:t>
      </w:r>
      <w:r>
        <w:rPr>
          <w:sz w:val="22"/>
        </w:rPr>
        <w:t>ν</w:t>
      </w:r>
      <w:r w:rsidRPr="00EC659D">
        <w:rPr>
          <w:sz w:val="22"/>
        </w:rPr>
        <w:t xml:space="preserve">.3845/2010 </w:t>
      </w:r>
      <w:r>
        <w:rPr>
          <w:sz w:val="22"/>
        </w:rPr>
        <w:t>«Μέτρα για την εφαρμογή του μηχανισμού στήριξης της ελληνικής οικονομίας από τα κράτη-μέλη της Ζώνης του ευρώ και το Διεθνές Νομισματικό Ταμείο» δόθηκε η δυνατότητα παροχής της</w:t>
      </w:r>
      <w:r w:rsidRPr="00EC659D">
        <w:rPr>
          <w:sz w:val="22"/>
        </w:rPr>
        <w:t xml:space="preserve"> εγγύηση</w:t>
      </w:r>
      <w:r>
        <w:rPr>
          <w:sz w:val="22"/>
        </w:rPr>
        <w:t>ς</w:t>
      </w:r>
      <w:r w:rsidRPr="00EC659D">
        <w:rPr>
          <w:sz w:val="22"/>
        </w:rPr>
        <w:t xml:space="preserve"> του Ελληνικού Δημοσίου στην Τράπεζα της Ελλάδος για κ</w:t>
      </w:r>
      <w:r w:rsidRPr="00EC659D">
        <w:rPr>
          <w:sz w:val="22"/>
        </w:rPr>
        <w:t>ά</w:t>
      </w:r>
      <w:r w:rsidRPr="00EC659D">
        <w:rPr>
          <w:sz w:val="22"/>
        </w:rPr>
        <w:t>λυψη πιστώσεων σε τράπεζες που εδρεύουν στην Ελλάδα και παραμένουν φερέγγυες, με σκοπό την αντιμετώπιση προσωρινών βραχυπρόθεσμων προβλημάτων ρευστότητας</w:t>
      </w:r>
      <w:r>
        <w:rPr>
          <w:sz w:val="22"/>
        </w:rPr>
        <w:t xml:space="preserve"> (</w:t>
      </w:r>
      <w:r>
        <w:rPr>
          <w:sz w:val="22"/>
          <w:lang w:val="en-GB"/>
        </w:rPr>
        <w:t>Emergency</w:t>
      </w:r>
      <w:r w:rsidRPr="00735AF7">
        <w:rPr>
          <w:sz w:val="22"/>
        </w:rPr>
        <w:t xml:space="preserve"> </w:t>
      </w:r>
      <w:r>
        <w:rPr>
          <w:sz w:val="22"/>
          <w:lang w:val="en-GB"/>
        </w:rPr>
        <w:t>Liqui</w:t>
      </w:r>
      <w:r>
        <w:rPr>
          <w:sz w:val="22"/>
          <w:lang w:val="en-GB"/>
        </w:rPr>
        <w:t>d</w:t>
      </w:r>
      <w:r>
        <w:rPr>
          <w:sz w:val="22"/>
          <w:lang w:val="en-GB"/>
        </w:rPr>
        <w:t>ity</w:t>
      </w:r>
      <w:r w:rsidRPr="00735AF7">
        <w:rPr>
          <w:sz w:val="22"/>
        </w:rPr>
        <w:t xml:space="preserve"> </w:t>
      </w:r>
      <w:r>
        <w:rPr>
          <w:sz w:val="22"/>
          <w:lang w:val="en-GB"/>
        </w:rPr>
        <w:t>Assistance</w:t>
      </w:r>
      <w:r w:rsidRPr="00735AF7">
        <w:rPr>
          <w:sz w:val="22"/>
        </w:rPr>
        <w:t xml:space="preserve"> </w:t>
      </w:r>
      <w:r>
        <w:rPr>
          <w:sz w:val="22"/>
        </w:rPr>
        <w:t>-</w:t>
      </w:r>
      <w:r w:rsidRPr="00735AF7">
        <w:rPr>
          <w:sz w:val="22"/>
        </w:rPr>
        <w:t xml:space="preserve"> </w:t>
      </w:r>
      <w:r>
        <w:rPr>
          <w:sz w:val="22"/>
          <w:lang w:val="en-GB"/>
        </w:rPr>
        <w:t>ELA</w:t>
      </w:r>
      <w:r w:rsidRPr="00735AF7">
        <w:rPr>
          <w:sz w:val="22"/>
        </w:rPr>
        <w:t>)</w:t>
      </w:r>
      <w:r w:rsidRPr="00EC659D">
        <w:rPr>
          <w:sz w:val="22"/>
        </w:rPr>
        <w:t>.</w:t>
      </w:r>
      <w:r>
        <w:rPr>
          <w:sz w:val="22"/>
        </w:rPr>
        <w:t xml:space="preserve"> </w:t>
      </w:r>
    </w:p>
    <w:p w:rsidR="00BA1AB3" w:rsidRPr="00BA1AB3" w:rsidRDefault="00BA1AB3" w:rsidP="00BA1AB3">
      <w:pPr>
        <w:spacing w:line="238" w:lineRule="auto"/>
        <w:jc w:val="both"/>
        <w:rPr>
          <w:sz w:val="16"/>
        </w:rPr>
      </w:pPr>
    </w:p>
    <w:p w:rsidR="00BA1AB3" w:rsidRDefault="00BA1AB3" w:rsidP="00BA1AB3">
      <w:pPr>
        <w:pStyle w:val="af"/>
        <w:spacing w:line="238" w:lineRule="auto"/>
        <w:ind w:left="284"/>
        <w:jc w:val="both"/>
        <w:rPr>
          <w:sz w:val="22"/>
        </w:rPr>
      </w:pPr>
      <w:r>
        <w:rPr>
          <w:sz w:val="22"/>
        </w:rPr>
        <w:t>Οι εγγυήσεις που είναι σε ισχύ ανέρχονται στο ποσό των 2</w:t>
      </w:r>
      <w:r w:rsidR="00C57F73">
        <w:rPr>
          <w:sz w:val="22"/>
        </w:rPr>
        <w:t>,43 δισ. ευρώ και για το έτος 2018 έχει εισπραχθεί προμήθεια συνολικού ποσού 19,61 εκατ. ευρώ.</w:t>
      </w:r>
    </w:p>
    <w:p w:rsidR="00BA1AB3" w:rsidRPr="00BA1AB3" w:rsidRDefault="00BA1AB3" w:rsidP="00BA1AB3">
      <w:pPr>
        <w:spacing w:line="238" w:lineRule="auto"/>
        <w:jc w:val="both"/>
        <w:rPr>
          <w:sz w:val="18"/>
        </w:rPr>
      </w:pPr>
    </w:p>
    <w:p w:rsidR="00BA1AB3" w:rsidRDefault="00BA1AB3" w:rsidP="00BA1AB3">
      <w:pPr>
        <w:pStyle w:val="af"/>
        <w:numPr>
          <w:ilvl w:val="0"/>
          <w:numId w:val="49"/>
        </w:numPr>
        <w:spacing w:line="238" w:lineRule="auto"/>
        <w:ind w:left="284" w:hanging="284"/>
        <w:jc w:val="both"/>
        <w:rPr>
          <w:sz w:val="22"/>
        </w:rPr>
      </w:pPr>
      <w:r w:rsidRPr="0033073A">
        <w:rPr>
          <w:sz w:val="22"/>
        </w:rPr>
        <w:t>Η Ευρωπαϊκή Τρ</w:t>
      </w:r>
      <w:r w:rsidR="00C57F73">
        <w:rPr>
          <w:sz w:val="22"/>
        </w:rPr>
        <w:t>άπεζα Επενδύσεων στο πλαίσιο των</w:t>
      </w:r>
      <w:r w:rsidRPr="0033073A">
        <w:rPr>
          <w:sz w:val="22"/>
        </w:rPr>
        <w:t xml:space="preserve"> προγρ</w:t>
      </w:r>
      <w:r w:rsidR="00C57F73">
        <w:rPr>
          <w:sz w:val="22"/>
        </w:rPr>
        <w:t>αμμάτων</w:t>
      </w:r>
      <w:r w:rsidRPr="0033073A">
        <w:rPr>
          <w:sz w:val="22"/>
        </w:rPr>
        <w:t xml:space="preserve"> ενίσχυσης της επιχειρηματ</w:t>
      </w:r>
      <w:r w:rsidRPr="0033073A">
        <w:rPr>
          <w:sz w:val="22"/>
        </w:rPr>
        <w:t>ι</w:t>
      </w:r>
      <w:r w:rsidRPr="0033073A">
        <w:rPr>
          <w:sz w:val="22"/>
        </w:rPr>
        <w:t xml:space="preserve">κότητας χορηγεί δάνεια στα τραπεζικά ιδρύματα με αποκλειστικό σκοπό τη χρηματοδότηση των μικρών και μεσαίων επιχειρήσεων. </w:t>
      </w:r>
    </w:p>
    <w:p w:rsidR="00BA1AB3" w:rsidRPr="00BA1AB3" w:rsidRDefault="00BA1AB3" w:rsidP="00BA1AB3">
      <w:pPr>
        <w:spacing w:line="238" w:lineRule="auto"/>
        <w:jc w:val="both"/>
        <w:rPr>
          <w:sz w:val="18"/>
        </w:rPr>
      </w:pPr>
    </w:p>
    <w:p w:rsidR="00BA1AB3" w:rsidRPr="0033073A" w:rsidRDefault="00C57F73" w:rsidP="00BA1AB3">
      <w:pPr>
        <w:pStyle w:val="af"/>
        <w:spacing w:line="238" w:lineRule="auto"/>
        <w:ind w:left="284"/>
        <w:jc w:val="both"/>
        <w:rPr>
          <w:sz w:val="22"/>
        </w:rPr>
      </w:pPr>
      <w:r>
        <w:rPr>
          <w:sz w:val="22"/>
        </w:rPr>
        <w:t>Οι</w:t>
      </w:r>
      <w:r w:rsidR="00BA1AB3" w:rsidRPr="0033073A">
        <w:rPr>
          <w:sz w:val="22"/>
        </w:rPr>
        <w:t xml:space="preserve"> εγγυήσεις </w:t>
      </w:r>
      <w:r>
        <w:rPr>
          <w:sz w:val="22"/>
        </w:rPr>
        <w:t xml:space="preserve">που έχουν παρασχεθεί </w:t>
      </w:r>
      <w:r w:rsidR="00BA1AB3">
        <w:rPr>
          <w:sz w:val="22"/>
        </w:rPr>
        <w:t xml:space="preserve">προς </w:t>
      </w:r>
      <w:r w:rsidR="00BA1AB3" w:rsidRPr="0033073A">
        <w:rPr>
          <w:sz w:val="22"/>
        </w:rPr>
        <w:t xml:space="preserve">την Ευρωπαϊκή Τράπεζα Επενδύσεων για την κάλυψη </w:t>
      </w:r>
      <w:r w:rsidR="00523FBA">
        <w:rPr>
          <w:sz w:val="22"/>
        </w:rPr>
        <w:t xml:space="preserve">των εν λόγω </w:t>
      </w:r>
      <w:r w:rsidR="00BA1AB3" w:rsidRPr="0033073A">
        <w:rPr>
          <w:sz w:val="22"/>
        </w:rPr>
        <w:t xml:space="preserve">δανείων </w:t>
      </w:r>
      <w:r w:rsidR="00523FBA">
        <w:rPr>
          <w:sz w:val="22"/>
        </w:rPr>
        <w:t xml:space="preserve">είναι </w:t>
      </w:r>
      <w:r w:rsidR="00BA1AB3" w:rsidRPr="0033073A">
        <w:rPr>
          <w:sz w:val="22"/>
        </w:rPr>
        <w:t xml:space="preserve">συνολικού </w:t>
      </w:r>
      <w:r w:rsidR="00201160">
        <w:rPr>
          <w:sz w:val="22"/>
        </w:rPr>
        <w:t>ύψους</w:t>
      </w:r>
      <w:r w:rsidR="00BA1AB3" w:rsidRPr="0033073A">
        <w:rPr>
          <w:sz w:val="22"/>
        </w:rPr>
        <w:t xml:space="preserve"> </w:t>
      </w:r>
      <w:r w:rsidR="00BA1AB3">
        <w:rPr>
          <w:sz w:val="22"/>
        </w:rPr>
        <w:t>1</w:t>
      </w:r>
      <w:r w:rsidR="00523FBA">
        <w:rPr>
          <w:sz w:val="22"/>
        </w:rPr>
        <w:t>,240 δισ</w:t>
      </w:r>
      <w:r w:rsidR="00BA1AB3">
        <w:rPr>
          <w:sz w:val="22"/>
        </w:rPr>
        <w:t>.</w:t>
      </w:r>
      <w:r w:rsidR="00523FBA">
        <w:rPr>
          <w:sz w:val="22"/>
        </w:rPr>
        <w:t xml:space="preserve"> ευρώ, τ</w:t>
      </w:r>
      <w:r w:rsidR="00BA1AB3">
        <w:rPr>
          <w:sz w:val="22"/>
        </w:rPr>
        <w:t xml:space="preserve">ο ανεξόφλητο υπόλοιπο αυτών των δανείων </w:t>
      </w:r>
      <w:r w:rsidR="00A87C59">
        <w:rPr>
          <w:sz w:val="22"/>
        </w:rPr>
        <w:t>ανέρχεται σε</w:t>
      </w:r>
      <w:r w:rsidR="00BA1AB3">
        <w:rPr>
          <w:sz w:val="22"/>
        </w:rPr>
        <w:t xml:space="preserve"> </w:t>
      </w:r>
      <w:r w:rsidR="00523FBA">
        <w:rPr>
          <w:sz w:val="22"/>
        </w:rPr>
        <w:t>1,096 δισ</w:t>
      </w:r>
      <w:r w:rsidR="00BA1AB3">
        <w:rPr>
          <w:sz w:val="22"/>
        </w:rPr>
        <w:t xml:space="preserve">. ευρώ και έχει εισπραχθεί προμήθεια </w:t>
      </w:r>
      <w:r w:rsidR="00523FBA">
        <w:rPr>
          <w:sz w:val="22"/>
        </w:rPr>
        <w:t>8,85 εκατ. ευρώ μέχρι τις 30/9/2018</w:t>
      </w:r>
      <w:r w:rsidR="00BA1AB3">
        <w:rPr>
          <w:sz w:val="22"/>
        </w:rPr>
        <w:t>.</w:t>
      </w:r>
    </w:p>
    <w:p w:rsidR="00BA1AB3" w:rsidRPr="00BA1AB3" w:rsidRDefault="00BA1AB3" w:rsidP="00BA1AB3">
      <w:pPr>
        <w:spacing w:line="238" w:lineRule="auto"/>
        <w:jc w:val="both"/>
        <w:rPr>
          <w:sz w:val="18"/>
        </w:rPr>
      </w:pPr>
    </w:p>
    <w:p w:rsidR="00BA1AB3" w:rsidRDefault="00BA1AB3" w:rsidP="00BA1AB3">
      <w:pPr>
        <w:pStyle w:val="af"/>
        <w:numPr>
          <w:ilvl w:val="0"/>
          <w:numId w:val="49"/>
        </w:numPr>
        <w:spacing w:line="238" w:lineRule="auto"/>
        <w:ind w:left="284" w:hanging="284"/>
        <w:jc w:val="both"/>
        <w:rPr>
          <w:sz w:val="22"/>
        </w:rPr>
      </w:pPr>
      <w:r w:rsidRPr="0033073A">
        <w:rPr>
          <w:sz w:val="22"/>
        </w:rPr>
        <w:t>H  Ευρωπαϊκή Τράπεζα Επενδύσεων έχει θέσει σε εφαρμογή το πρόγραμμα Ενίσχυσης της Χρ</w:t>
      </w:r>
      <w:r w:rsidRPr="0033073A">
        <w:rPr>
          <w:sz w:val="22"/>
        </w:rPr>
        <w:t>η</w:t>
      </w:r>
      <w:r w:rsidRPr="0033073A">
        <w:rPr>
          <w:sz w:val="22"/>
        </w:rPr>
        <w:t>ματοδότησης του Εμπορίου (Trade Finance Facility), ένα εργαλείο βραχυπρόθεσμης εγγύησης, προσφέροντας έως και 500</w:t>
      </w:r>
      <w:r>
        <w:rPr>
          <w:sz w:val="22"/>
        </w:rPr>
        <w:t xml:space="preserve"> εκατ. </w:t>
      </w:r>
      <w:r w:rsidRPr="0033073A">
        <w:rPr>
          <w:sz w:val="22"/>
        </w:rPr>
        <w:t>ευρώ για τη στήριξη του διεθνούς εμπορίου των ελληνικών μι</w:t>
      </w:r>
      <w:r w:rsidRPr="0033073A">
        <w:rPr>
          <w:sz w:val="22"/>
        </w:rPr>
        <w:t>κ</w:t>
      </w:r>
      <w:r w:rsidRPr="0033073A">
        <w:rPr>
          <w:sz w:val="22"/>
        </w:rPr>
        <w:t xml:space="preserve">ρών και μεσαίων επιχειρήσεων. </w:t>
      </w:r>
    </w:p>
    <w:p w:rsidR="0020579F" w:rsidRDefault="00BA1AB3" w:rsidP="00BA1AB3">
      <w:pPr>
        <w:pStyle w:val="af"/>
        <w:spacing w:line="238" w:lineRule="auto"/>
        <w:ind w:left="284"/>
        <w:jc w:val="both"/>
        <w:rPr>
          <w:sz w:val="22"/>
        </w:rPr>
      </w:pPr>
      <w:r w:rsidRPr="0033073A">
        <w:rPr>
          <w:sz w:val="22"/>
        </w:rPr>
        <w:t xml:space="preserve">Με βάση το πρόγραμμα αυτό </w:t>
      </w:r>
      <w:r>
        <w:rPr>
          <w:sz w:val="22"/>
        </w:rPr>
        <w:t xml:space="preserve">έχει μέχρι σήμερα παρασχεθεί </w:t>
      </w:r>
      <w:r w:rsidRPr="0033073A">
        <w:rPr>
          <w:sz w:val="22"/>
        </w:rPr>
        <w:t>εγγύηση του Ελληνικού Δημοσίου προς την Ευρωπαϊκή Τράπεζα Επενδύσεων συνολικού ποσού 10</w:t>
      </w:r>
      <w:r>
        <w:rPr>
          <w:sz w:val="22"/>
        </w:rPr>
        <w:t xml:space="preserve"> εκατ.</w:t>
      </w:r>
      <w:r w:rsidRPr="0033073A">
        <w:rPr>
          <w:sz w:val="22"/>
        </w:rPr>
        <w:t xml:space="preserve"> ευρώ.</w:t>
      </w:r>
    </w:p>
    <w:p w:rsidR="007C7B9B" w:rsidRDefault="007C7B9B" w:rsidP="007C7B9B">
      <w:pPr>
        <w:spacing w:line="238" w:lineRule="auto"/>
        <w:jc w:val="both"/>
        <w:rPr>
          <w:sz w:val="22"/>
          <w:szCs w:val="22"/>
        </w:rPr>
      </w:pPr>
    </w:p>
    <w:p w:rsidR="007C7B9B" w:rsidRDefault="007C7B9B" w:rsidP="007C7B9B">
      <w:pPr>
        <w:pStyle w:val="af"/>
        <w:numPr>
          <w:ilvl w:val="0"/>
          <w:numId w:val="49"/>
        </w:numPr>
        <w:spacing w:line="238" w:lineRule="auto"/>
        <w:ind w:left="284" w:hanging="284"/>
        <w:jc w:val="both"/>
        <w:rPr>
          <w:sz w:val="22"/>
        </w:rPr>
      </w:pPr>
      <w:r>
        <w:rPr>
          <w:sz w:val="22"/>
        </w:rPr>
        <w:t>Τέλος, η</w:t>
      </w:r>
      <w:r w:rsidRPr="0033073A">
        <w:rPr>
          <w:sz w:val="22"/>
        </w:rPr>
        <w:t xml:space="preserve">  Ευρωπαϊκή Τράπεζα Επενδύσεων </w:t>
      </w:r>
      <w:r>
        <w:rPr>
          <w:sz w:val="22"/>
        </w:rPr>
        <w:t>σε συνεργασία με την ΕΕ έχει θέσει σε εφαρμογή π</w:t>
      </w:r>
      <w:r>
        <w:rPr>
          <w:sz w:val="22"/>
        </w:rPr>
        <w:t>ι</w:t>
      </w:r>
      <w:r>
        <w:rPr>
          <w:sz w:val="22"/>
        </w:rPr>
        <w:t>λοτικό πρόγραμμα για τη</w:t>
      </w:r>
      <w:r w:rsidR="00A87C59">
        <w:rPr>
          <w:sz w:val="22"/>
        </w:rPr>
        <w:t xml:space="preserve"> χρηματοδότηση επενδύσεων από επιχειρήσεις ΝΠΔΔ και φυσικά πρ</w:t>
      </w:r>
      <w:r w:rsidR="00A87C59">
        <w:rPr>
          <w:sz w:val="22"/>
        </w:rPr>
        <w:t>ό</w:t>
      </w:r>
      <w:r w:rsidR="00A87C59">
        <w:rPr>
          <w:sz w:val="22"/>
        </w:rPr>
        <w:t>σωπα, με σκοπό την αύξηση της ενεργειακής απόδοσης.</w:t>
      </w:r>
    </w:p>
    <w:p w:rsidR="007C7B9B" w:rsidRDefault="007C7B9B" w:rsidP="007C7B9B">
      <w:pPr>
        <w:spacing w:line="238" w:lineRule="auto"/>
        <w:jc w:val="both"/>
        <w:rPr>
          <w:sz w:val="22"/>
          <w:szCs w:val="22"/>
        </w:rPr>
      </w:pPr>
    </w:p>
    <w:sectPr w:rsidR="007C7B9B" w:rsidSect="00F834CD">
      <w:headerReference w:type="even" r:id="rId15"/>
      <w:headerReference w:type="default" r:id="rId16"/>
      <w:footerReference w:type="even" r:id="rId17"/>
      <w:footerReference w:type="default" r:id="rId18"/>
      <w:pgSz w:w="11906" w:h="16838" w:code="9"/>
      <w:pgMar w:top="1418" w:right="1247" w:bottom="1418" w:left="1588" w:header="709" w:footer="709" w:gutter="0"/>
      <w:pgNumType w:start="1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8D0" w:rsidRDefault="002A28D0">
      <w:r>
        <w:separator/>
      </w:r>
    </w:p>
  </w:endnote>
  <w:endnote w:type="continuationSeparator" w:id="0">
    <w:p w:rsidR="002A28D0" w:rsidRDefault="002A28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imesNewRoman,Bold">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Arial Greek">
    <w:panose1 w:val="020B0604020202020204"/>
    <w:charset w:val="A1"/>
    <w:family w:val="swiss"/>
    <w:pitch w:val="variable"/>
    <w:sig w:usb0="E0002AFF" w:usb1="C0007843" w:usb2="00000009" w:usb3="00000000" w:csb0="000001FF" w:csb1="00000000"/>
  </w:font>
  <w:font w:name="TimesNewRoman,Bold+1">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5D" w:rsidRPr="009A2CF7" w:rsidRDefault="004B6243" w:rsidP="00F85CFF">
    <w:pPr>
      <w:pStyle w:val="a4"/>
      <w:jc w:val="both"/>
      <w:rPr>
        <w:color w:val="333333"/>
      </w:rPr>
    </w:pPr>
    <w:r w:rsidRPr="00715F2C">
      <w:rPr>
        <w:rStyle w:val="a5"/>
        <w:b/>
        <w:sz w:val="28"/>
      </w:rPr>
      <w:fldChar w:fldCharType="begin"/>
    </w:r>
    <w:r w:rsidR="0099665D" w:rsidRPr="00715F2C">
      <w:rPr>
        <w:rStyle w:val="a5"/>
        <w:b/>
        <w:sz w:val="28"/>
      </w:rPr>
      <w:instrText xml:space="preserve"> PAGE </w:instrText>
    </w:r>
    <w:r w:rsidRPr="00715F2C">
      <w:rPr>
        <w:rStyle w:val="a5"/>
        <w:b/>
        <w:sz w:val="28"/>
      </w:rPr>
      <w:fldChar w:fldCharType="separate"/>
    </w:r>
    <w:r w:rsidR="006C53B8">
      <w:rPr>
        <w:rStyle w:val="a5"/>
        <w:b/>
        <w:noProof/>
        <w:sz w:val="28"/>
      </w:rPr>
      <w:t>128</w:t>
    </w:r>
    <w:r w:rsidRPr="00715F2C">
      <w:rPr>
        <w:rStyle w:val="a5"/>
        <w:b/>
        <w:sz w:val="28"/>
      </w:rPr>
      <w:fldChar w:fldCharType="end"/>
    </w:r>
    <w:r w:rsidR="0099665D">
      <w:rPr>
        <w:rStyle w:val="a5"/>
        <w:b/>
        <w:color w:val="000080"/>
        <w:sz w:val="28"/>
      </w:rPr>
      <w:t xml:space="preserve">  </w:t>
    </w:r>
    <w:r w:rsidR="0099665D">
      <w:rPr>
        <w:rFonts w:ascii="Arial Narrow" w:hAnsi="Arial Narrow"/>
        <w:color w:val="333333"/>
        <w:sz w:val="22"/>
      </w:rPr>
      <w:t>ΚΡΑΤΙΚΟΣ ΠΡΟΫΠΟΛΟΓΙΣΜΟΣ 2019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5D" w:rsidRPr="00D40E4A" w:rsidRDefault="0099665D" w:rsidP="00D40E4A">
    <w:pPr>
      <w:pStyle w:val="a4"/>
      <w:jc w:val="right"/>
      <w:rPr>
        <w:rFonts w:ascii="Arial Narrow" w:hAnsi="Arial Narrow"/>
        <w:sz w:val="22"/>
      </w:rPr>
    </w:pPr>
    <w:r>
      <w:rPr>
        <w:rFonts w:ascii="Arial Narrow" w:hAnsi="Arial Narrow"/>
        <w:color w:val="333333"/>
        <w:sz w:val="22"/>
      </w:rPr>
      <w:t>ΚΡΑΤΙΚΟΣ ΠΡΟΫΠΟΛΟΓΙΣΜΟΣ 2019</w:t>
    </w:r>
    <w:r w:rsidRPr="008857CA">
      <w:rPr>
        <w:rFonts w:ascii="Arial Narrow" w:hAnsi="Arial Narrow"/>
        <w:color w:val="333333"/>
        <w:sz w:val="22"/>
      </w:rPr>
      <w:t xml:space="preserve">  </w:t>
    </w:r>
    <w:r w:rsidR="004B6243" w:rsidRPr="00715F2C">
      <w:rPr>
        <w:rStyle w:val="a5"/>
        <w:b/>
        <w:sz w:val="28"/>
      </w:rPr>
      <w:fldChar w:fldCharType="begin"/>
    </w:r>
    <w:r w:rsidRPr="00715F2C">
      <w:rPr>
        <w:rStyle w:val="a5"/>
        <w:b/>
        <w:sz w:val="28"/>
      </w:rPr>
      <w:instrText xml:space="preserve"> PAGE </w:instrText>
    </w:r>
    <w:r w:rsidR="004B6243" w:rsidRPr="00715F2C">
      <w:rPr>
        <w:rStyle w:val="a5"/>
        <w:b/>
        <w:sz w:val="28"/>
      </w:rPr>
      <w:fldChar w:fldCharType="separate"/>
    </w:r>
    <w:r w:rsidR="006C53B8">
      <w:rPr>
        <w:rStyle w:val="a5"/>
        <w:b/>
        <w:noProof/>
        <w:sz w:val="28"/>
      </w:rPr>
      <w:t>129</w:t>
    </w:r>
    <w:r w:rsidR="004B6243" w:rsidRPr="00715F2C">
      <w:rPr>
        <w:rStyle w:val="a5"/>
        <w:b/>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8D0" w:rsidRDefault="002A28D0">
      <w:r>
        <w:separator/>
      </w:r>
    </w:p>
  </w:footnote>
  <w:footnote w:type="continuationSeparator" w:id="0">
    <w:p w:rsidR="002A28D0" w:rsidRDefault="002A28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5D" w:rsidRPr="00D40E4A" w:rsidRDefault="0099665D" w:rsidP="00D40E4A">
    <w:pPr>
      <w:pStyle w:val="a3"/>
      <w:jc w:val="both"/>
      <w:rPr>
        <w:rFonts w:ascii="Arial Narrow" w:hAnsi="Arial Narrow"/>
        <w:b/>
        <w:color w:val="808080"/>
        <w:sz w:val="22"/>
      </w:rPr>
    </w:pPr>
    <w:r w:rsidRPr="008857CA">
      <w:rPr>
        <w:rFonts w:ascii="Arial Narrow" w:hAnsi="Arial Narrow"/>
        <w:color w:val="333333"/>
        <w:sz w:val="22"/>
      </w:rPr>
      <w:t>ΕΙΣΗΓΗΤΙΚΗ ΕΚΘΕΣΗ</w:t>
    </w:r>
    <w:r w:rsidRPr="00D40E4A">
      <w:rPr>
        <w:rFonts w:ascii="Arial Narrow" w:hAnsi="Arial Narrow"/>
        <w:b/>
        <w:color w:val="808080"/>
        <w:sz w:val="22"/>
      </w:rPr>
      <w:t xml:space="preserve"> </w:t>
    </w:r>
    <w:r>
      <w:rPr>
        <w:rFonts w:ascii="Arial Narrow" w:hAnsi="Arial Narrow"/>
        <w:b/>
        <w:color w:val="808080"/>
        <w:sz w:val="22"/>
        <w:lang w:val="en-US"/>
      </w:rPr>
      <w:t xml:space="preserve"> </w:t>
    </w:r>
    <w:r>
      <w:rPr>
        <w:rFonts w:ascii="Arial Narrow" w:hAnsi="Arial Narrow"/>
        <w:b/>
        <w:color w:val="808080"/>
        <w:sz w:val="22"/>
      </w:rPr>
      <w:t>ΚΕΦΑΛΑΙΟ 4</w:t>
    </w:r>
    <w:r w:rsidRPr="00D40E4A">
      <w:rPr>
        <w:rFonts w:ascii="Arial Narrow" w:hAnsi="Arial Narrow"/>
        <w:b/>
        <w:color w:val="808080"/>
        <w:sz w:val="22"/>
      </w:rPr>
      <w:t xml:space="preserve">  </w:t>
    </w:r>
  </w:p>
  <w:p w:rsidR="0099665D" w:rsidRDefault="0099665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5D" w:rsidRPr="00D40E4A" w:rsidRDefault="0099665D" w:rsidP="00D40E4A">
    <w:pPr>
      <w:pStyle w:val="a3"/>
      <w:jc w:val="right"/>
      <w:rPr>
        <w:rFonts w:ascii="Arial Narrow" w:hAnsi="Arial Narrow"/>
        <w:b/>
        <w:color w:val="808080"/>
        <w:sz w:val="22"/>
      </w:rPr>
    </w:pPr>
    <w:r w:rsidRPr="008857CA">
      <w:rPr>
        <w:rFonts w:ascii="Arial Narrow" w:hAnsi="Arial Narrow"/>
        <w:color w:val="333333"/>
        <w:sz w:val="22"/>
      </w:rPr>
      <w:t>ΕΙΣΗΓΗΤΙΚΗ ΕΚΘΕΣΗ</w:t>
    </w:r>
    <w:r w:rsidRPr="00D40E4A">
      <w:rPr>
        <w:rFonts w:ascii="Arial Narrow" w:hAnsi="Arial Narrow"/>
        <w:b/>
        <w:color w:val="808080"/>
        <w:sz w:val="22"/>
      </w:rPr>
      <w:t xml:space="preserve"> </w:t>
    </w:r>
    <w:r>
      <w:rPr>
        <w:rFonts w:ascii="Arial Narrow" w:hAnsi="Arial Narrow"/>
        <w:b/>
        <w:color w:val="808080"/>
        <w:sz w:val="22"/>
        <w:lang w:val="en-US"/>
      </w:rPr>
      <w:t xml:space="preserve"> </w:t>
    </w:r>
    <w:r w:rsidRPr="00D40E4A">
      <w:rPr>
        <w:rFonts w:ascii="Arial Narrow" w:hAnsi="Arial Narrow"/>
        <w:b/>
        <w:color w:val="808080"/>
        <w:sz w:val="22"/>
      </w:rPr>
      <w:t xml:space="preserve">ΚΕΦΑΛΑΙΟ </w:t>
    </w:r>
    <w:r>
      <w:rPr>
        <w:rFonts w:ascii="Arial Narrow" w:hAnsi="Arial Narrow"/>
        <w:b/>
        <w:color w:val="808080"/>
        <w:sz w:val="22"/>
      </w:rPr>
      <w:t>4</w:t>
    </w:r>
    <w:r w:rsidRPr="00D40E4A">
      <w:rPr>
        <w:rFonts w:ascii="Arial Narrow" w:hAnsi="Arial Narrow"/>
        <w:b/>
        <w:color w:val="808080"/>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188C"/>
    <w:multiLevelType w:val="hybridMultilevel"/>
    <w:tmpl w:val="D04ED81A"/>
    <w:lvl w:ilvl="0" w:tplc="14A08F94">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960"/>
        </w:tabs>
        <w:ind w:left="960" w:hanging="360"/>
      </w:pPr>
      <w:rPr>
        <w:rFonts w:ascii="Courier New" w:hAnsi="Courier New" w:cs="Courier New" w:hint="default"/>
      </w:rPr>
    </w:lvl>
    <w:lvl w:ilvl="2" w:tplc="04080005" w:tentative="1">
      <w:start w:val="1"/>
      <w:numFmt w:val="bullet"/>
      <w:lvlText w:val=""/>
      <w:lvlJc w:val="left"/>
      <w:pPr>
        <w:tabs>
          <w:tab w:val="num" w:pos="1680"/>
        </w:tabs>
        <w:ind w:left="1680" w:hanging="360"/>
      </w:pPr>
      <w:rPr>
        <w:rFonts w:ascii="Wingdings" w:hAnsi="Wingdings" w:hint="default"/>
      </w:rPr>
    </w:lvl>
    <w:lvl w:ilvl="3" w:tplc="04080001" w:tentative="1">
      <w:start w:val="1"/>
      <w:numFmt w:val="bullet"/>
      <w:lvlText w:val=""/>
      <w:lvlJc w:val="left"/>
      <w:pPr>
        <w:tabs>
          <w:tab w:val="num" w:pos="2400"/>
        </w:tabs>
        <w:ind w:left="2400" w:hanging="360"/>
      </w:pPr>
      <w:rPr>
        <w:rFonts w:ascii="Symbol" w:hAnsi="Symbol" w:hint="default"/>
      </w:rPr>
    </w:lvl>
    <w:lvl w:ilvl="4" w:tplc="04080003" w:tentative="1">
      <w:start w:val="1"/>
      <w:numFmt w:val="bullet"/>
      <w:lvlText w:val="o"/>
      <w:lvlJc w:val="left"/>
      <w:pPr>
        <w:tabs>
          <w:tab w:val="num" w:pos="3120"/>
        </w:tabs>
        <w:ind w:left="3120" w:hanging="360"/>
      </w:pPr>
      <w:rPr>
        <w:rFonts w:ascii="Courier New" w:hAnsi="Courier New" w:cs="Courier New" w:hint="default"/>
      </w:rPr>
    </w:lvl>
    <w:lvl w:ilvl="5" w:tplc="04080005" w:tentative="1">
      <w:start w:val="1"/>
      <w:numFmt w:val="bullet"/>
      <w:lvlText w:val=""/>
      <w:lvlJc w:val="left"/>
      <w:pPr>
        <w:tabs>
          <w:tab w:val="num" w:pos="3840"/>
        </w:tabs>
        <w:ind w:left="3840" w:hanging="360"/>
      </w:pPr>
      <w:rPr>
        <w:rFonts w:ascii="Wingdings" w:hAnsi="Wingdings" w:hint="default"/>
      </w:rPr>
    </w:lvl>
    <w:lvl w:ilvl="6" w:tplc="04080001" w:tentative="1">
      <w:start w:val="1"/>
      <w:numFmt w:val="bullet"/>
      <w:lvlText w:val=""/>
      <w:lvlJc w:val="left"/>
      <w:pPr>
        <w:tabs>
          <w:tab w:val="num" w:pos="4560"/>
        </w:tabs>
        <w:ind w:left="4560" w:hanging="360"/>
      </w:pPr>
      <w:rPr>
        <w:rFonts w:ascii="Symbol" w:hAnsi="Symbol" w:hint="default"/>
      </w:rPr>
    </w:lvl>
    <w:lvl w:ilvl="7" w:tplc="04080003" w:tentative="1">
      <w:start w:val="1"/>
      <w:numFmt w:val="bullet"/>
      <w:lvlText w:val="o"/>
      <w:lvlJc w:val="left"/>
      <w:pPr>
        <w:tabs>
          <w:tab w:val="num" w:pos="5280"/>
        </w:tabs>
        <w:ind w:left="5280" w:hanging="360"/>
      </w:pPr>
      <w:rPr>
        <w:rFonts w:ascii="Courier New" w:hAnsi="Courier New" w:cs="Courier New" w:hint="default"/>
      </w:rPr>
    </w:lvl>
    <w:lvl w:ilvl="8" w:tplc="04080005" w:tentative="1">
      <w:start w:val="1"/>
      <w:numFmt w:val="bullet"/>
      <w:lvlText w:val=""/>
      <w:lvlJc w:val="left"/>
      <w:pPr>
        <w:tabs>
          <w:tab w:val="num" w:pos="6000"/>
        </w:tabs>
        <w:ind w:left="6000" w:hanging="360"/>
      </w:pPr>
      <w:rPr>
        <w:rFonts w:ascii="Wingdings" w:hAnsi="Wingdings" w:hint="default"/>
      </w:rPr>
    </w:lvl>
  </w:abstractNum>
  <w:abstractNum w:abstractNumId="1">
    <w:nsid w:val="00E16342"/>
    <w:multiLevelType w:val="hybridMultilevel"/>
    <w:tmpl w:val="59AC7B44"/>
    <w:lvl w:ilvl="0" w:tplc="14A08F94">
      <w:start w:val="1"/>
      <w:numFmt w:val="bullet"/>
      <w:lvlText w:val=""/>
      <w:lvlJc w:val="left"/>
      <w:pPr>
        <w:tabs>
          <w:tab w:val="num" w:pos="360"/>
        </w:tabs>
        <w:ind w:left="360" w:hanging="360"/>
      </w:pPr>
      <w:rPr>
        <w:rFonts w:ascii="Wingdings" w:hAnsi="Wingdings" w:hint="default"/>
      </w:rPr>
    </w:lvl>
    <w:lvl w:ilvl="1" w:tplc="0408000F">
      <w:start w:val="1"/>
      <w:numFmt w:val="decimal"/>
      <w:lvlText w:val="%2."/>
      <w:lvlJc w:val="left"/>
      <w:pPr>
        <w:tabs>
          <w:tab w:val="num" w:pos="960"/>
        </w:tabs>
        <w:ind w:left="960" w:hanging="360"/>
      </w:pPr>
      <w:rPr>
        <w:rFonts w:hint="default"/>
      </w:rPr>
    </w:lvl>
    <w:lvl w:ilvl="2" w:tplc="04080005" w:tentative="1">
      <w:start w:val="1"/>
      <w:numFmt w:val="bullet"/>
      <w:lvlText w:val=""/>
      <w:lvlJc w:val="left"/>
      <w:pPr>
        <w:tabs>
          <w:tab w:val="num" w:pos="1680"/>
        </w:tabs>
        <w:ind w:left="1680" w:hanging="360"/>
      </w:pPr>
      <w:rPr>
        <w:rFonts w:ascii="Wingdings" w:hAnsi="Wingdings" w:hint="default"/>
      </w:rPr>
    </w:lvl>
    <w:lvl w:ilvl="3" w:tplc="04080001" w:tentative="1">
      <w:start w:val="1"/>
      <w:numFmt w:val="bullet"/>
      <w:lvlText w:val=""/>
      <w:lvlJc w:val="left"/>
      <w:pPr>
        <w:tabs>
          <w:tab w:val="num" w:pos="2400"/>
        </w:tabs>
        <w:ind w:left="2400" w:hanging="360"/>
      </w:pPr>
      <w:rPr>
        <w:rFonts w:ascii="Symbol" w:hAnsi="Symbol" w:hint="default"/>
      </w:rPr>
    </w:lvl>
    <w:lvl w:ilvl="4" w:tplc="04080003" w:tentative="1">
      <w:start w:val="1"/>
      <w:numFmt w:val="bullet"/>
      <w:lvlText w:val="o"/>
      <w:lvlJc w:val="left"/>
      <w:pPr>
        <w:tabs>
          <w:tab w:val="num" w:pos="3120"/>
        </w:tabs>
        <w:ind w:left="3120" w:hanging="360"/>
      </w:pPr>
      <w:rPr>
        <w:rFonts w:ascii="Courier New" w:hAnsi="Courier New" w:cs="Courier New" w:hint="default"/>
      </w:rPr>
    </w:lvl>
    <w:lvl w:ilvl="5" w:tplc="04080005" w:tentative="1">
      <w:start w:val="1"/>
      <w:numFmt w:val="bullet"/>
      <w:lvlText w:val=""/>
      <w:lvlJc w:val="left"/>
      <w:pPr>
        <w:tabs>
          <w:tab w:val="num" w:pos="3840"/>
        </w:tabs>
        <w:ind w:left="3840" w:hanging="360"/>
      </w:pPr>
      <w:rPr>
        <w:rFonts w:ascii="Wingdings" w:hAnsi="Wingdings" w:hint="default"/>
      </w:rPr>
    </w:lvl>
    <w:lvl w:ilvl="6" w:tplc="04080001" w:tentative="1">
      <w:start w:val="1"/>
      <w:numFmt w:val="bullet"/>
      <w:lvlText w:val=""/>
      <w:lvlJc w:val="left"/>
      <w:pPr>
        <w:tabs>
          <w:tab w:val="num" w:pos="4560"/>
        </w:tabs>
        <w:ind w:left="4560" w:hanging="360"/>
      </w:pPr>
      <w:rPr>
        <w:rFonts w:ascii="Symbol" w:hAnsi="Symbol" w:hint="default"/>
      </w:rPr>
    </w:lvl>
    <w:lvl w:ilvl="7" w:tplc="04080003" w:tentative="1">
      <w:start w:val="1"/>
      <w:numFmt w:val="bullet"/>
      <w:lvlText w:val="o"/>
      <w:lvlJc w:val="left"/>
      <w:pPr>
        <w:tabs>
          <w:tab w:val="num" w:pos="5280"/>
        </w:tabs>
        <w:ind w:left="5280" w:hanging="360"/>
      </w:pPr>
      <w:rPr>
        <w:rFonts w:ascii="Courier New" w:hAnsi="Courier New" w:cs="Courier New" w:hint="default"/>
      </w:rPr>
    </w:lvl>
    <w:lvl w:ilvl="8" w:tplc="04080005" w:tentative="1">
      <w:start w:val="1"/>
      <w:numFmt w:val="bullet"/>
      <w:lvlText w:val=""/>
      <w:lvlJc w:val="left"/>
      <w:pPr>
        <w:tabs>
          <w:tab w:val="num" w:pos="6000"/>
        </w:tabs>
        <w:ind w:left="6000" w:hanging="360"/>
      </w:pPr>
      <w:rPr>
        <w:rFonts w:ascii="Wingdings" w:hAnsi="Wingdings" w:hint="default"/>
      </w:rPr>
    </w:lvl>
  </w:abstractNum>
  <w:abstractNum w:abstractNumId="2">
    <w:nsid w:val="01820C6F"/>
    <w:multiLevelType w:val="hybridMultilevel"/>
    <w:tmpl w:val="7D78CC5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31C7152"/>
    <w:multiLevelType w:val="hybridMultilevel"/>
    <w:tmpl w:val="342C0B72"/>
    <w:lvl w:ilvl="0" w:tplc="EDE279A0">
      <w:start w:val="1"/>
      <w:numFmt w:val="bullet"/>
      <w:lvlText w:val=""/>
      <w:lvlJc w:val="left"/>
      <w:pPr>
        <w:tabs>
          <w:tab w:val="num" w:pos="1080"/>
        </w:tabs>
        <w:ind w:left="1080" w:hanging="360"/>
      </w:pPr>
      <w:rPr>
        <w:rFonts w:ascii="Symbol" w:hAnsi="Symbol" w:hint="default"/>
        <w:sz w:val="22"/>
        <w:szCs w:val="22"/>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
    <w:nsid w:val="0462466F"/>
    <w:multiLevelType w:val="hybridMultilevel"/>
    <w:tmpl w:val="C25A70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0275D8"/>
    <w:multiLevelType w:val="hybridMultilevel"/>
    <w:tmpl w:val="564635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EB729C5"/>
    <w:multiLevelType w:val="hybridMultilevel"/>
    <w:tmpl w:val="508C84E0"/>
    <w:lvl w:ilvl="0" w:tplc="78A867A2">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1627E28"/>
    <w:multiLevelType w:val="hybridMultilevel"/>
    <w:tmpl w:val="4DB20BAA"/>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C6C101E"/>
    <w:multiLevelType w:val="hybridMultilevel"/>
    <w:tmpl w:val="261ED9C6"/>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3442623"/>
    <w:multiLevelType w:val="hybridMultilevel"/>
    <w:tmpl w:val="75165F56"/>
    <w:lvl w:ilvl="0" w:tplc="2D36F198">
      <w:start w:val="1"/>
      <w:numFmt w:val="bullet"/>
      <w:lvlText w:val=""/>
      <w:lvlJc w:val="left"/>
      <w:pPr>
        <w:tabs>
          <w:tab w:val="num" w:pos="360"/>
        </w:tabs>
        <w:ind w:left="360" w:hanging="360"/>
      </w:pPr>
      <w:rPr>
        <w:rFonts w:ascii="Wingdings" w:hAnsi="Wingdings" w:hint="default"/>
        <w:sz w:val="18"/>
        <w:szCs w:val="18"/>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nsid w:val="23B20CE5"/>
    <w:multiLevelType w:val="hybridMultilevel"/>
    <w:tmpl w:val="A7E226A6"/>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24742D56"/>
    <w:multiLevelType w:val="hybridMultilevel"/>
    <w:tmpl w:val="E514F392"/>
    <w:lvl w:ilvl="0" w:tplc="36583020">
      <w:start w:val="1"/>
      <w:numFmt w:val="bullet"/>
      <w:lvlText w:val=""/>
      <w:lvlJc w:val="left"/>
      <w:pPr>
        <w:tabs>
          <w:tab w:val="num" w:pos="284"/>
        </w:tabs>
        <w:ind w:left="284" w:hanging="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5043CBD"/>
    <w:multiLevelType w:val="hybridMultilevel"/>
    <w:tmpl w:val="BF2EC5CE"/>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76504E0"/>
    <w:multiLevelType w:val="hybridMultilevel"/>
    <w:tmpl w:val="E46810A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CB143CA"/>
    <w:multiLevelType w:val="hybridMultilevel"/>
    <w:tmpl w:val="9BFA7324"/>
    <w:lvl w:ilvl="0" w:tplc="35E62788">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DCF0DC6"/>
    <w:multiLevelType w:val="hybridMultilevel"/>
    <w:tmpl w:val="1C0C6AFE"/>
    <w:lvl w:ilvl="0" w:tplc="35E62788">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1F71E47"/>
    <w:multiLevelType w:val="hybridMultilevel"/>
    <w:tmpl w:val="8F8A48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20B7DBF"/>
    <w:multiLevelType w:val="hybridMultilevel"/>
    <w:tmpl w:val="D36C4E6E"/>
    <w:lvl w:ilvl="0" w:tplc="36583020">
      <w:start w:val="1"/>
      <w:numFmt w:val="bullet"/>
      <w:lvlText w:val=""/>
      <w:lvlJc w:val="left"/>
      <w:pPr>
        <w:tabs>
          <w:tab w:val="num" w:pos="284"/>
        </w:tabs>
        <w:ind w:left="284" w:hanging="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32F401AA"/>
    <w:multiLevelType w:val="hybridMultilevel"/>
    <w:tmpl w:val="26027E1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6563BAE"/>
    <w:multiLevelType w:val="hybridMultilevel"/>
    <w:tmpl w:val="20385256"/>
    <w:lvl w:ilvl="0" w:tplc="4ADEA5F4">
      <w:start w:val="8"/>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3BFE3887"/>
    <w:multiLevelType w:val="hybridMultilevel"/>
    <w:tmpl w:val="9B42A650"/>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C652119"/>
    <w:multiLevelType w:val="hybridMultilevel"/>
    <w:tmpl w:val="D7B24704"/>
    <w:lvl w:ilvl="0" w:tplc="04080001">
      <w:start w:val="1"/>
      <w:numFmt w:val="bullet"/>
      <w:lvlText w:val=""/>
      <w:lvlJc w:val="left"/>
      <w:pPr>
        <w:tabs>
          <w:tab w:val="num" w:pos="1019"/>
        </w:tabs>
        <w:ind w:left="1019" w:hanging="360"/>
      </w:pPr>
      <w:rPr>
        <w:rFonts w:ascii="Symbol" w:hAnsi="Symbol" w:hint="default"/>
      </w:rPr>
    </w:lvl>
    <w:lvl w:ilvl="1" w:tplc="04080003" w:tentative="1">
      <w:start w:val="1"/>
      <w:numFmt w:val="bullet"/>
      <w:lvlText w:val="o"/>
      <w:lvlJc w:val="left"/>
      <w:pPr>
        <w:tabs>
          <w:tab w:val="num" w:pos="1739"/>
        </w:tabs>
        <w:ind w:left="1739" w:hanging="360"/>
      </w:pPr>
      <w:rPr>
        <w:rFonts w:ascii="Courier New" w:hAnsi="Courier New" w:cs="Courier New" w:hint="default"/>
      </w:rPr>
    </w:lvl>
    <w:lvl w:ilvl="2" w:tplc="04080005" w:tentative="1">
      <w:start w:val="1"/>
      <w:numFmt w:val="bullet"/>
      <w:lvlText w:val=""/>
      <w:lvlJc w:val="left"/>
      <w:pPr>
        <w:tabs>
          <w:tab w:val="num" w:pos="2459"/>
        </w:tabs>
        <w:ind w:left="2459" w:hanging="360"/>
      </w:pPr>
      <w:rPr>
        <w:rFonts w:ascii="Wingdings" w:hAnsi="Wingdings" w:hint="default"/>
      </w:rPr>
    </w:lvl>
    <w:lvl w:ilvl="3" w:tplc="04080001" w:tentative="1">
      <w:start w:val="1"/>
      <w:numFmt w:val="bullet"/>
      <w:lvlText w:val=""/>
      <w:lvlJc w:val="left"/>
      <w:pPr>
        <w:tabs>
          <w:tab w:val="num" w:pos="3179"/>
        </w:tabs>
        <w:ind w:left="3179" w:hanging="360"/>
      </w:pPr>
      <w:rPr>
        <w:rFonts w:ascii="Symbol" w:hAnsi="Symbol" w:hint="default"/>
      </w:rPr>
    </w:lvl>
    <w:lvl w:ilvl="4" w:tplc="04080003" w:tentative="1">
      <w:start w:val="1"/>
      <w:numFmt w:val="bullet"/>
      <w:lvlText w:val="o"/>
      <w:lvlJc w:val="left"/>
      <w:pPr>
        <w:tabs>
          <w:tab w:val="num" w:pos="3899"/>
        </w:tabs>
        <w:ind w:left="3899" w:hanging="360"/>
      </w:pPr>
      <w:rPr>
        <w:rFonts w:ascii="Courier New" w:hAnsi="Courier New" w:cs="Courier New" w:hint="default"/>
      </w:rPr>
    </w:lvl>
    <w:lvl w:ilvl="5" w:tplc="04080005" w:tentative="1">
      <w:start w:val="1"/>
      <w:numFmt w:val="bullet"/>
      <w:lvlText w:val=""/>
      <w:lvlJc w:val="left"/>
      <w:pPr>
        <w:tabs>
          <w:tab w:val="num" w:pos="4619"/>
        </w:tabs>
        <w:ind w:left="4619" w:hanging="360"/>
      </w:pPr>
      <w:rPr>
        <w:rFonts w:ascii="Wingdings" w:hAnsi="Wingdings" w:hint="default"/>
      </w:rPr>
    </w:lvl>
    <w:lvl w:ilvl="6" w:tplc="04080001" w:tentative="1">
      <w:start w:val="1"/>
      <w:numFmt w:val="bullet"/>
      <w:lvlText w:val=""/>
      <w:lvlJc w:val="left"/>
      <w:pPr>
        <w:tabs>
          <w:tab w:val="num" w:pos="5339"/>
        </w:tabs>
        <w:ind w:left="5339" w:hanging="360"/>
      </w:pPr>
      <w:rPr>
        <w:rFonts w:ascii="Symbol" w:hAnsi="Symbol" w:hint="default"/>
      </w:rPr>
    </w:lvl>
    <w:lvl w:ilvl="7" w:tplc="04080003" w:tentative="1">
      <w:start w:val="1"/>
      <w:numFmt w:val="bullet"/>
      <w:lvlText w:val="o"/>
      <w:lvlJc w:val="left"/>
      <w:pPr>
        <w:tabs>
          <w:tab w:val="num" w:pos="6059"/>
        </w:tabs>
        <w:ind w:left="6059" w:hanging="360"/>
      </w:pPr>
      <w:rPr>
        <w:rFonts w:ascii="Courier New" w:hAnsi="Courier New" w:cs="Courier New" w:hint="default"/>
      </w:rPr>
    </w:lvl>
    <w:lvl w:ilvl="8" w:tplc="04080005" w:tentative="1">
      <w:start w:val="1"/>
      <w:numFmt w:val="bullet"/>
      <w:lvlText w:val=""/>
      <w:lvlJc w:val="left"/>
      <w:pPr>
        <w:tabs>
          <w:tab w:val="num" w:pos="6779"/>
        </w:tabs>
        <w:ind w:left="6779" w:hanging="360"/>
      </w:pPr>
      <w:rPr>
        <w:rFonts w:ascii="Wingdings" w:hAnsi="Wingdings" w:hint="default"/>
      </w:rPr>
    </w:lvl>
  </w:abstractNum>
  <w:abstractNum w:abstractNumId="22">
    <w:nsid w:val="41EF3FAC"/>
    <w:multiLevelType w:val="hybridMultilevel"/>
    <w:tmpl w:val="6016C134"/>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43165804"/>
    <w:multiLevelType w:val="hybridMultilevel"/>
    <w:tmpl w:val="D8C0E8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36E4DE8">
      <w:numFmt w:val="bullet"/>
      <w:lvlText w:val="-"/>
      <w:lvlJc w:val="left"/>
      <w:pPr>
        <w:tabs>
          <w:tab w:val="num" w:pos="2160"/>
        </w:tabs>
        <w:ind w:left="2160" w:hanging="360"/>
      </w:pPr>
      <w:rPr>
        <w:rFonts w:ascii="Times New Roman" w:eastAsia="Times New Roman" w:hAnsi="Times New Roman" w:cs="Times New Roman" w:hint="default"/>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E3243E"/>
    <w:multiLevelType w:val="hybridMultilevel"/>
    <w:tmpl w:val="93C20E84"/>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B610260"/>
    <w:multiLevelType w:val="hybridMultilevel"/>
    <w:tmpl w:val="82E4DB4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6">
    <w:nsid w:val="4E456317"/>
    <w:multiLevelType w:val="hybridMultilevel"/>
    <w:tmpl w:val="8818A072"/>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01D3265"/>
    <w:multiLevelType w:val="hybridMultilevel"/>
    <w:tmpl w:val="F8626E28"/>
    <w:lvl w:ilvl="0" w:tplc="04080001">
      <w:start w:val="1"/>
      <w:numFmt w:val="bullet"/>
      <w:lvlText w:val=""/>
      <w:lvlJc w:val="left"/>
      <w:pPr>
        <w:tabs>
          <w:tab w:val="num" w:pos="1260"/>
        </w:tabs>
        <w:ind w:left="1260" w:hanging="360"/>
      </w:pPr>
      <w:rPr>
        <w:rFonts w:ascii="Symbol" w:hAnsi="Symbol" w:hint="default"/>
      </w:rPr>
    </w:lvl>
    <w:lvl w:ilvl="1" w:tplc="04080003" w:tentative="1">
      <w:start w:val="1"/>
      <w:numFmt w:val="bullet"/>
      <w:lvlText w:val="o"/>
      <w:lvlJc w:val="left"/>
      <w:pPr>
        <w:tabs>
          <w:tab w:val="num" w:pos="1980"/>
        </w:tabs>
        <w:ind w:left="1980" w:hanging="360"/>
      </w:pPr>
      <w:rPr>
        <w:rFonts w:ascii="Courier New" w:hAnsi="Courier New" w:cs="Courier New" w:hint="default"/>
      </w:rPr>
    </w:lvl>
    <w:lvl w:ilvl="2" w:tplc="04080005" w:tentative="1">
      <w:start w:val="1"/>
      <w:numFmt w:val="bullet"/>
      <w:lvlText w:val=""/>
      <w:lvlJc w:val="left"/>
      <w:pPr>
        <w:tabs>
          <w:tab w:val="num" w:pos="2700"/>
        </w:tabs>
        <w:ind w:left="2700" w:hanging="360"/>
      </w:pPr>
      <w:rPr>
        <w:rFonts w:ascii="Wingdings" w:hAnsi="Wingdings" w:hint="default"/>
      </w:rPr>
    </w:lvl>
    <w:lvl w:ilvl="3" w:tplc="04080001" w:tentative="1">
      <w:start w:val="1"/>
      <w:numFmt w:val="bullet"/>
      <w:lvlText w:val=""/>
      <w:lvlJc w:val="left"/>
      <w:pPr>
        <w:tabs>
          <w:tab w:val="num" w:pos="3420"/>
        </w:tabs>
        <w:ind w:left="3420" w:hanging="360"/>
      </w:pPr>
      <w:rPr>
        <w:rFonts w:ascii="Symbol" w:hAnsi="Symbol" w:hint="default"/>
      </w:rPr>
    </w:lvl>
    <w:lvl w:ilvl="4" w:tplc="04080003" w:tentative="1">
      <w:start w:val="1"/>
      <w:numFmt w:val="bullet"/>
      <w:lvlText w:val="o"/>
      <w:lvlJc w:val="left"/>
      <w:pPr>
        <w:tabs>
          <w:tab w:val="num" w:pos="4140"/>
        </w:tabs>
        <w:ind w:left="4140" w:hanging="360"/>
      </w:pPr>
      <w:rPr>
        <w:rFonts w:ascii="Courier New" w:hAnsi="Courier New" w:cs="Courier New" w:hint="default"/>
      </w:rPr>
    </w:lvl>
    <w:lvl w:ilvl="5" w:tplc="04080005" w:tentative="1">
      <w:start w:val="1"/>
      <w:numFmt w:val="bullet"/>
      <w:lvlText w:val=""/>
      <w:lvlJc w:val="left"/>
      <w:pPr>
        <w:tabs>
          <w:tab w:val="num" w:pos="4860"/>
        </w:tabs>
        <w:ind w:left="4860" w:hanging="360"/>
      </w:pPr>
      <w:rPr>
        <w:rFonts w:ascii="Wingdings" w:hAnsi="Wingdings" w:hint="default"/>
      </w:rPr>
    </w:lvl>
    <w:lvl w:ilvl="6" w:tplc="04080001" w:tentative="1">
      <w:start w:val="1"/>
      <w:numFmt w:val="bullet"/>
      <w:lvlText w:val=""/>
      <w:lvlJc w:val="left"/>
      <w:pPr>
        <w:tabs>
          <w:tab w:val="num" w:pos="5580"/>
        </w:tabs>
        <w:ind w:left="5580" w:hanging="360"/>
      </w:pPr>
      <w:rPr>
        <w:rFonts w:ascii="Symbol" w:hAnsi="Symbol" w:hint="default"/>
      </w:rPr>
    </w:lvl>
    <w:lvl w:ilvl="7" w:tplc="04080003" w:tentative="1">
      <w:start w:val="1"/>
      <w:numFmt w:val="bullet"/>
      <w:lvlText w:val="o"/>
      <w:lvlJc w:val="left"/>
      <w:pPr>
        <w:tabs>
          <w:tab w:val="num" w:pos="6300"/>
        </w:tabs>
        <w:ind w:left="6300" w:hanging="360"/>
      </w:pPr>
      <w:rPr>
        <w:rFonts w:ascii="Courier New" w:hAnsi="Courier New" w:cs="Courier New" w:hint="default"/>
      </w:rPr>
    </w:lvl>
    <w:lvl w:ilvl="8" w:tplc="04080005" w:tentative="1">
      <w:start w:val="1"/>
      <w:numFmt w:val="bullet"/>
      <w:lvlText w:val=""/>
      <w:lvlJc w:val="left"/>
      <w:pPr>
        <w:tabs>
          <w:tab w:val="num" w:pos="7020"/>
        </w:tabs>
        <w:ind w:left="7020" w:hanging="360"/>
      </w:pPr>
      <w:rPr>
        <w:rFonts w:ascii="Wingdings" w:hAnsi="Wingdings" w:hint="default"/>
      </w:rPr>
    </w:lvl>
  </w:abstractNum>
  <w:abstractNum w:abstractNumId="28">
    <w:nsid w:val="51D359BC"/>
    <w:multiLevelType w:val="hybridMultilevel"/>
    <w:tmpl w:val="71B466E2"/>
    <w:lvl w:ilvl="0" w:tplc="35E62788">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535A61EC"/>
    <w:multiLevelType w:val="hybridMultilevel"/>
    <w:tmpl w:val="C94A8EB8"/>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55D46B44"/>
    <w:multiLevelType w:val="hybridMultilevel"/>
    <w:tmpl w:val="CFC2CCEA"/>
    <w:lvl w:ilvl="0" w:tplc="EDE279A0">
      <w:start w:val="1"/>
      <w:numFmt w:val="bullet"/>
      <w:lvlText w:val=""/>
      <w:lvlJc w:val="left"/>
      <w:pPr>
        <w:tabs>
          <w:tab w:val="num" w:pos="1080"/>
        </w:tabs>
        <w:ind w:left="1080" w:hanging="360"/>
      </w:pPr>
      <w:rPr>
        <w:rFonts w:ascii="Symbol" w:hAnsi="Symbol" w:hint="default"/>
        <w:sz w:val="22"/>
        <w:szCs w:val="22"/>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1">
    <w:nsid w:val="596375C3"/>
    <w:multiLevelType w:val="hybridMultilevel"/>
    <w:tmpl w:val="1492A7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A734595"/>
    <w:multiLevelType w:val="hybridMultilevel"/>
    <w:tmpl w:val="2AD48A02"/>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5BDA7F4B"/>
    <w:multiLevelType w:val="hybridMultilevel"/>
    <w:tmpl w:val="7CBCB0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5DBF3337"/>
    <w:multiLevelType w:val="hybridMultilevel"/>
    <w:tmpl w:val="F77E4D04"/>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DC22728"/>
    <w:multiLevelType w:val="hybridMultilevel"/>
    <w:tmpl w:val="CADC0A54"/>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5E5066C6"/>
    <w:multiLevelType w:val="hybridMultilevel"/>
    <w:tmpl w:val="FAA67B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5ED61359"/>
    <w:multiLevelType w:val="hybridMultilevel"/>
    <w:tmpl w:val="E1FC4330"/>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643A497E"/>
    <w:multiLevelType w:val="hybridMultilevel"/>
    <w:tmpl w:val="78BE7DC6"/>
    <w:lvl w:ilvl="0" w:tplc="213446D6">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67795D09"/>
    <w:multiLevelType w:val="hybridMultilevel"/>
    <w:tmpl w:val="ED0C8712"/>
    <w:lvl w:ilvl="0" w:tplc="B44E87DC">
      <w:start w:val="1"/>
      <w:numFmt w:val="bullet"/>
      <w:lvlText w:val=""/>
      <w:lvlJc w:val="left"/>
      <w:pPr>
        <w:tabs>
          <w:tab w:val="num" w:pos="583"/>
        </w:tabs>
        <w:ind w:left="583" w:hanging="284"/>
      </w:pPr>
      <w:rPr>
        <w:rFonts w:ascii="Symbol" w:hAnsi="Symbol" w:hint="default"/>
        <w:color w:val="auto"/>
      </w:rPr>
    </w:lvl>
    <w:lvl w:ilvl="1" w:tplc="04080003" w:tentative="1">
      <w:start w:val="1"/>
      <w:numFmt w:val="bullet"/>
      <w:lvlText w:val="o"/>
      <w:lvlJc w:val="left"/>
      <w:pPr>
        <w:tabs>
          <w:tab w:val="num" w:pos="1739"/>
        </w:tabs>
        <w:ind w:left="1739" w:hanging="360"/>
      </w:pPr>
      <w:rPr>
        <w:rFonts w:ascii="Courier New" w:hAnsi="Courier New" w:cs="Courier New" w:hint="default"/>
      </w:rPr>
    </w:lvl>
    <w:lvl w:ilvl="2" w:tplc="04080005" w:tentative="1">
      <w:start w:val="1"/>
      <w:numFmt w:val="bullet"/>
      <w:lvlText w:val=""/>
      <w:lvlJc w:val="left"/>
      <w:pPr>
        <w:tabs>
          <w:tab w:val="num" w:pos="2459"/>
        </w:tabs>
        <w:ind w:left="2459" w:hanging="360"/>
      </w:pPr>
      <w:rPr>
        <w:rFonts w:ascii="Wingdings" w:hAnsi="Wingdings" w:hint="default"/>
      </w:rPr>
    </w:lvl>
    <w:lvl w:ilvl="3" w:tplc="04080001" w:tentative="1">
      <w:start w:val="1"/>
      <w:numFmt w:val="bullet"/>
      <w:lvlText w:val=""/>
      <w:lvlJc w:val="left"/>
      <w:pPr>
        <w:tabs>
          <w:tab w:val="num" w:pos="3179"/>
        </w:tabs>
        <w:ind w:left="3179" w:hanging="360"/>
      </w:pPr>
      <w:rPr>
        <w:rFonts w:ascii="Symbol" w:hAnsi="Symbol" w:hint="default"/>
      </w:rPr>
    </w:lvl>
    <w:lvl w:ilvl="4" w:tplc="04080003" w:tentative="1">
      <w:start w:val="1"/>
      <w:numFmt w:val="bullet"/>
      <w:lvlText w:val="o"/>
      <w:lvlJc w:val="left"/>
      <w:pPr>
        <w:tabs>
          <w:tab w:val="num" w:pos="3899"/>
        </w:tabs>
        <w:ind w:left="3899" w:hanging="360"/>
      </w:pPr>
      <w:rPr>
        <w:rFonts w:ascii="Courier New" w:hAnsi="Courier New" w:cs="Courier New" w:hint="default"/>
      </w:rPr>
    </w:lvl>
    <w:lvl w:ilvl="5" w:tplc="04080005" w:tentative="1">
      <w:start w:val="1"/>
      <w:numFmt w:val="bullet"/>
      <w:lvlText w:val=""/>
      <w:lvlJc w:val="left"/>
      <w:pPr>
        <w:tabs>
          <w:tab w:val="num" w:pos="4619"/>
        </w:tabs>
        <w:ind w:left="4619" w:hanging="360"/>
      </w:pPr>
      <w:rPr>
        <w:rFonts w:ascii="Wingdings" w:hAnsi="Wingdings" w:hint="default"/>
      </w:rPr>
    </w:lvl>
    <w:lvl w:ilvl="6" w:tplc="04080001" w:tentative="1">
      <w:start w:val="1"/>
      <w:numFmt w:val="bullet"/>
      <w:lvlText w:val=""/>
      <w:lvlJc w:val="left"/>
      <w:pPr>
        <w:tabs>
          <w:tab w:val="num" w:pos="5339"/>
        </w:tabs>
        <w:ind w:left="5339" w:hanging="360"/>
      </w:pPr>
      <w:rPr>
        <w:rFonts w:ascii="Symbol" w:hAnsi="Symbol" w:hint="default"/>
      </w:rPr>
    </w:lvl>
    <w:lvl w:ilvl="7" w:tplc="04080003" w:tentative="1">
      <w:start w:val="1"/>
      <w:numFmt w:val="bullet"/>
      <w:lvlText w:val="o"/>
      <w:lvlJc w:val="left"/>
      <w:pPr>
        <w:tabs>
          <w:tab w:val="num" w:pos="6059"/>
        </w:tabs>
        <w:ind w:left="6059" w:hanging="360"/>
      </w:pPr>
      <w:rPr>
        <w:rFonts w:ascii="Courier New" w:hAnsi="Courier New" w:cs="Courier New" w:hint="default"/>
      </w:rPr>
    </w:lvl>
    <w:lvl w:ilvl="8" w:tplc="04080005" w:tentative="1">
      <w:start w:val="1"/>
      <w:numFmt w:val="bullet"/>
      <w:lvlText w:val=""/>
      <w:lvlJc w:val="left"/>
      <w:pPr>
        <w:tabs>
          <w:tab w:val="num" w:pos="6779"/>
        </w:tabs>
        <w:ind w:left="6779" w:hanging="360"/>
      </w:pPr>
      <w:rPr>
        <w:rFonts w:ascii="Wingdings" w:hAnsi="Wingdings" w:hint="default"/>
      </w:rPr>
    </w:lvl>
  </w:abstractNum>
  <w:abstractNum w:abstractNumId="40">
    <w:nsid w:val="67D46B15"/>
    <w:multiLevelType w:val="hybridMultilevel"/>
    <w:tmpl w:val="C66E21D8"/>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6F167687"/>
    <w:multiLevelType w:val="hybridMultilevel"/>
    <w:tmpl w:val="C5143686"/>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70FF41AC"/>
    <w:multiLevelType w:val="hybridMultilevel"/>
    <w:tmpl w:val="4AD641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nsid w:val="752C5B6E"/>
    <w:multiLevelType w:val="hybridMultilevel"/>
    <w:tmpl w:val="CAA22054"/>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764346D6"/>
    <w:multiLevelType w:val="hybridMultilevel"/>
    <w:tmpl w:val="6666F512"/>
    <w:lvl w:ilvl="0" w:tplc="B44E87DC">
      <w:start w:val="1"/>
      <w:numFmt w:val="bullet"/>
      <w:lvlText w:val=""/>
      <w:lvlJc w:val="left"/>
      <w:pPr>
        <w:tabs>
          <w:tab w:val="num" w:pos="464"/>
        </w:tabs>
        <w:ind w:left="464" w:hanging="284"/>
      </w:pPr>
      <w:rPr>
        <w:rFonts w:ascii="Symbol" w:hAnsi="Symbol" w:hint="default"/>
        <w:color w:val="auto"/>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45">
    <w:nsid w:val="771666FC"/>
    <w:multiLevelType w:val="hybridMultilevel"/>
    <w:tmpl w:val="59184574"/>
    <w:lvl w:ilvl="0" w:tplc="04080001">
      <w:start w:val="1"/>
      <w:numFmt w:val="bullet"/>
      <w:lvlText w:val=""/>
      <w:lvlJc w:val="left"/>
      <w:pPr>
        <w:tabs>
          <w:tab w:val="num" w:pos="1515"/>
        </w:tabs>
        <w:ind w:left="1515" w:hanging="360"/>
      </w:pPr>
      <w:rPr>
        <w:rFonts w:ascii="Symbol" w:hAnsi="Symbol" w:hint="default"/>
      </w:rPr>
    </w:lvl>
    <w:lvl w:ilvl="1" w:tplc="04080003" w:tentative="1">
      <w:start w:val="1"/>
      <w:numFmt w:val="bullet"/>
      <w:lvlText w:val="o"/>
      <w:lvlJc w:val="left"/>
      <w:pPr>
        <w:tabs>
          <w:tab w:val="num" w:pos="2235"/>
        </w:tabs>
        <w:ind w:left="2235" w:hanging="360"/>
      </w:pPr>
      <w:rPr>
        <w:rFonts w:ascii="Courier New" w:hAnsi="Courier New" w:cs="Courier New" w:hint="default"/>
      </w:rPr>
    </w:lvl>
    <w:lvl w:ilvl="2" w:tplc="04080005" w:tentative="1">
      <w:start w:val="1"/>
      <w:numFmt w:val="bullet"/>
      <w:lvlText w:val=""/>
      <w:lvlJc w:val="left"/>
      <w:pPr>
        <w:tabs>
          <w:tab w:val="num" w:pos="2955"/>
        </w:tabs>
        <w:ind w:left="2955" w:hanging="360"/>
      </w:pPr>
      <w:rPr>
        <w:rFonts w:ascii="Wingdings" w:hAnsi="Wingdings" w:hint="default"/>
      </w:rPr>
    </w:lvl>
    <w:lvl w:ilvl="3" w:tplc="04080001" w:tentative="1">
      <w:start w:val="1"/>
      <w:numFmt w:val="bullet"/>
      <w:lvlText w:val=""/>
      <w:lvlJc w:val="left"/>
      <w:pPr>
        <w:tabs>
          <w:tab w:val="num" w:pos="3675"/>
        </w:tabs>
        <w:ind w:left="3675" w:hanging="360"/>
      </w:pPr>
      <w:rPr>
        <w:rFonts w:ascii="Symbol" w:hAnsi="Symbol" w:hint="default"/>
      </w:rPr>
    </w:lvl>
    <w:lvl w:ilvl="4" w:tplc="04080003" w:tentative="1">
      <w:start w:val="1"/>
      <w:numFmt w:val="bullet"/>
      <w:lvlText w:val="o"/>
      <w:lvlJc w:val="left"/>
      <w:pPr>
        <w:tabs>
          <w:tab w:val="num" w:pos="4395"/>
        </w:tabs>
        <w:ind w:left="4395" w:hanging="360"/>
      </w:pPr>
      <w:rPr>
        <w:rFonts w:ascii="Courier New" w:hAnsi="Courier New" w:cs="Courier New" w:hint="default"/>
      </w:rPr>
    </w:lvl>
    <w:lvl w:ilvl="5" w:tplc="04080005" w:tentative="1">
      <w:start w:val="1"/>
      <w:numFmt w:val="bullet"/>
      <w:lvlText w:val=""/>
      <w:lvlJc w:val="left"/>
      <w:pPr>
        <w:tabs>
          <w:tab w:val="num" w:pos="5115"/>
        </w:tabs>
        <w:ind w:left="5115" w:hanging="360"/>
      </w:pPr>
      <w:rPr>
        <w:rFonts w:ascii="Wingdings" w:hAnsi="Wingdings" w:hint="default"/>
      </w:rPr>
    </w:lvl>
    <w:lvl w:ilvl="6" w:tplc="04080001" w:tentative="1">
      <w:start w:val="1"/>
      <w:numFmt w:val="bullet"/>
      <w:lvlText w:val=""/>
      <w:lvlJc w:val="left"/>
      <w:pPr>
        <w:tabs>
          <w:tab w:val="num" w:pos="5835"/>
        </w:tabs>
        <w:ind w:left="5835" w:hanging="360"/>
      </w:pPr>
      <w:rPr>
        <w:rFonts w:ascii="Symbol" w:hAnsi="Symbol" w:hint="default"/>
      </w:rPr>
    </w:lvl>
    <w:lvl w:ilvl="7" w:tplc="04080003" w:tentative="1">
      <w:start w:val="1"/>
      <w:numFmt w:val="bullet"/>
      <w:lvlText w:val="o"/>
      <w:lvlJc w:val="left"/>
      <w:pPr>
        <w:tabs>
          <w:tab w:val="num" w:pos="6555"/>
        </w:tabs>
        <w:ind w:left="6555" w:hanging="360"/>
      </w:pPr>
      <w:rPr>
        <w:rFonts w:ascii="Courier New" w:hAnsi="Courier New" w:cs="Courier New" w:hint="default"/>
      </w:rPr>
    </w:lvl>
    <w:lvl w:ilvl="8" w:tplc="04080005" w:tentative="1">
      <w:start w:val="1"/>
      <w:numFmt w:val="bullet"/>
      <w:lvlText w:val=""/>
      <w:lvlJc w:val="left"/>
      <w:pPr>
        <w:tabs>
          <w:tab w:val="num" w:pos="7275"/>
        </w:tabs>
        <w:ind w:left="7275" w:hanging="360"/>
      </w:pPr>
      <w:rPr>
        <w:rFonts w:ascii="Wingdings" w:hAnsi="Wingdings" w:hint="default"/>
      </w:rPr>
    </w:lvl>
  </w:abstractNum>
  <w:abstractNum w:abstractNumId="46">
    <w:nsid w:val="7AF723DD"/>
    <w:multiLevelType w:val="hybridMultilevel"/>
    <w:tmpl w:val="3F2A95F8"/>
    <w:lvl w:ilvl="0" w:tplc="213446D6">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nsid w:val="7C9659C6"/>
    <w:multiLevelType w:val="hybridMultilevel"/>
    <w:tmpl w:val="8CF2A2A2"/>
    <w:lvl w:ilvl="0" w:tplc="B44E87DC">
      <w:start w:val="1"/>
      <w:numFmt w:val="bullet"/>
      <w:lvlText w:val=""/>
      <w:lvlJc w:val="left"/>
      <w:pPr>
        <w:tabs>
          <w:tab w:val="num" w:pos="644"/>
        </w:tabs>
        <w:ind w:left="644" w:hanging="284"/>
      </w:pPr>
      <w:rPr>
        <w:rFonts w:ascii="Symbol" w:hAnsi="Symbol" w:hint="default"/>
        <w:color w:val="auto"/>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8">
    <w:nsid w:val="7E1657DE"/>
    <w:multiLevelType w:val="hybridMultilevel"/>
    <w:tmpl w:val="5C1C27F0"/>
    <w:lvl w:ilvl="0" w:tplc="04080001">
      <w:start w:val="1"/>
      <w:numFmt w:val="bullet"/>
      <w:lvlText w:val=""/>
      <w:lvlJc w:val="left"/>
      <w:pPr>
        <w:tabs>
          <w:tab w:val="num" w:pos="900"/>
        </w:tabs>
        <w:ind w:left="900" w:hanging="360"/>
      </w:pPr>
      <w:rPr>
        <w:rFonts w:ascii="Symbol" w:hAnsi="Symbol"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num w:numId="1">
    <w:abstractNumId w:val="40"/>
  </w:num>
  <w:num w:numId="2">
    <w:abstractNumId w:val="32"/>
  </w:num>
  <w:num w:numId="3">
    <w:abstractNumId w:val="41"/>
  </w:num>
  <w:num w:numId="4">
    <w:abstractNumId w:val="7"/>
  </w:num>
  <w:num w:numId="5">
    <w:abstractNumId w:val="15"/>
  </w:num>
  <w:num w:numId="6">
    <w:abstractNumId w:val="18"/>
  </w:num>
  <w:num w:numId="7">
    <w:abstractNumId w:val="25"/>
  </w:num>
  <w:num w:numId="8">
    <w:abstractNumId w:val="36"/>
  </w:num>
  <w:num w:numId="9">
    <w:abstractNumId w:val="14"/>
  </w:num>
  <w:num w:numId="10">
    <w:abstractNumId w:val="28"/>
  </w:num>
  <w:num w:numId="11">
    <w:abstractNumId w:val="0"/>
  </w:num>
  <w:num w:numId="12">
    <w:abstractNumId w:val="1"/>
  </w:num>
  <w:num w:numId="13">
    <w:abstractNumId w:val="34"/>
  </w:num>
  <w:num w:numId="14">
    <w:abstractNumId w:val="29"/>
  </w:num>
  <w:num w:numId="15">
    <w:abstractNumId w:val="35"/>
  </w:num>
  <w:num w:numId="16">
    <w:abstractNumId w:val="5"/>
  </w:num>
  <w:num w:numId="17">
    <w:abstractNumId w:val="2"/>
  </w:num>
  <w:num w:numId="18">
    <w:abstractNumId w:val="26"/>
  </w:num>
  <w:num w:numId="19">
    <w:abstractNumId w:val="37"/>
  </w:num>
  <w:num w:numId="20">
    <w:abstractNumId w:val="16"/>
  </w:num>
  <w:num w:numId="21">
    <w:abstractNumId w:val="17"/>
  </w:num>
  <w:num w:numId="22">
    <w:abstractNumId w:val="11"/>
  </w:num>
  <w:num w:numId="23">
    <w:abstractNumId w:val="31"/>
  </w:num>
  <w:num w:numId="24">
    <w:abstractNumId w:val="9"/>
  </w:num>
  <w:num w:numId="25">
    <w:abstractNumId w:val="19"/>
  </w:num>
  <w:num w:numId="26">
    <w:abstractNumId w:val="13"/>
  </w:num>
  <w:num w:numId="27">
    <w:abstractNumId w:val="23"/>
  </w:num>
  <w:num w:numId="28">
    <w:abstractNumId w:val="27"/>
  </w:num>
  <w:num w:numId="29">
    <w:abstractNumId w:val="22"/>
  </w:num>
  <w:num w:numId="30">
    <w:abstractNumId w:val="45"/>
  </w:num>
  <w:num w:numId="31">
    <w:abstractNumId w:val="48"/>
  </w:num>
  <w:num w:numId="32">
    <w:abstractNumId w:val="47"/>
  </w:num>
  <w:num w:numId="33">
    <w:abstractNumId w:val="44"/>
  </w:num>
  <w:num w:numId="34">
    <w:abstractNumId w:val="12"/>
  </w:num>
  <w:num w:numId="35">
    <w:abstractNumId w:val="43"/>
  </w:num>
  <w:num w:numId="36">
    <w:abstractNumId w:val="8"/>
  </w:num>
  <w:num w:numId="37">
    <w:abstractNumId w:val="3"/>
  </w:num>
  <w:num w:numId="38">
    <w:abstractNumId w:val="24"/>
  </w:num>
  <w:num w:numId="39">
    <w:abstractNumId w:val="21"/>
  </w:num>
  <w:num w:numId="40">
    <w:abstractNumId w:val="39"/>
  </w:num>
  <w:num w:numId="41">
    <w:abstractNumId w:val="10"/>
  </w:num>
  <w:num w:numId="42">
    <w:abstractNumId w:val="20"/>
  </w:num>
  <w:num w:numId="43">
    <w:abstractNumId w:val="30"/>
  </w:num>
  <w:num w:numId="44">
    <w:abstractNumId w:val="6"/>
  </w:num>
  <w:num w:numId="45">
    <w:abstractNumId w:val="38"/>
  </w:num>
  <w:num w:numId="46">
    <w:abstractNumId w:val="46"/>
  </w:num>
  <w:num w:numId="47">
    <w:abstractNumId w:val="33"/>
  </w:num>
  <w:num w:numId="48">
    <w:abstractNumId w:val="42"/>
  </w:num>
  <w:num w:numId="4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onysis Mouzakis">
    <w15:presenceInfo w15:providerId="AD" w15:userId="S-1-5-21-506546393-3255317081-1193680798-11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mirrorMargins/>
  <w:attachedTemplate r:id="rId1"/>
  <w:stylePaneFormatFilter w:val="3F01"/>
  <w:defaultTabStop w:val="720"/>
  <w:autoHyphenation/>
  <w:hyphenationZone w:val="284"/>
  <w:evenAndOddHeaders/>
  <w:noPunctuationKerning/>
  <w:characterSpacingControl w:val="doNotCompress"/>
  <w:footnotePr>
    <w:footnote w:id="-1"/>
    <w:footnote w:id="0"/>
  </w:footnotePr>
  <w:endnotePr>
    <w:endnote w:id="-1"/>
    <w:endnote w:id="0"/>
  </w:endnotePr>
  <w:compat/>
  <w:rsids>
    <w:rsidRoot w:val="00D40E4A"/>
    <w:rsid w:val="000004AC"/>
    <w:rsid w:val="00000FFB"/>
    <w:rsid w:val="00002D30"/>
    <w:rsid w:val="000039B8"/>
    <w:rsid w:val="000107A3"/>
    <w:rsid w:val="00010A99"/>
    <w:rsid w:val="000122B0"/>
    <w:rsid w:val="00012851"/>
    <w:rsid w:val="00014FFC"/>
    <w:rsid w:val="0001554D"/>
    <w:rsid w:val="0001593B"/>
    <w:rsid w:val="00015BEA"/>
    <w:rsid w:val="00015D0B"/>
    <w:rsid w:val="00015F55"/>
    <w:rsid w:val="00016192"/>
    <w:rsid w:val="00016990"/>
    <w:rsid w:val="000179AF"/>
    <w:rsid w:val="00022012"/>
    <w:rsid w:val="00023B2A"/>
    <w:rsid w:val="0002413E"/>
    <w:rsid w:val="00024267"/>
    <w:rsid w:val="00026B5F"/>
    <w:rsid w:val="00026EF0"/>
    <w:rsid w:val="000302A8"/>
    <w:rsid w:val="00031CB7"/>
    <w:rsid w:val="00032F3C"/>
    <w:rsid w:val="00032FBA"/>
    <w:rsid w:val="00035398"/>
    <w:rsid w:val="00037206"/>
    <w:rsid w:val="00037608"/>
    <w:rsid w:val="00037944"/>
    <w:rsid w:val="00037CF5"/>
    <w:rsid w:val="00040F85"/>
    <w:rsid w:val="00042730"/>
    <w:rsid w:val="000453DA"/>
    <w:rsid w:val="0004664D"/>
    <w:rsid w:val="00047271"/>
    <w:rsid w:val="00047FBE"/>
    <w:rsid w:val="000519B2"/>
    <w:rsid w:val="00051CBE"/>
    <w:rsid w:val="00051FB5"/>
    <w:rsid w:val="00051FCC"/>
    <w:rsid w:val="00053C6C"/>
    <w:rsid w:val="00053FC1"/>
    <w:rsid w:val="00054969"/>
    <w:rsid w:val="000554C7"/>
    <w:rsid w:val="00057C99"/>
    <w:rsid w:val="000604B7"/>
    <w:rsid w:val="00060655"/>
    <w:rsid w:val="00060EFA"/>
    <w:rsid w:val="00063239"/>
    <w:rsid w:val="00063F39"/>
    <w:rsid w:val="00064EF9"/>
    <w:rsid w:val="00066606"/>
    <w:rsid w:val="00067DD1"/>
    <w:rsid w:val="0007009A"/>
    <w:rsid w:val="00072567"/>
    <w:rsid w:val="00073D02"/>
    <w:rsid w:val="000749A7"/>
    <w:rsid w:val="00074C4B"/>
    <w:rsid w:val="00075428"/>
    <w:rsid w:val="00080FAA"/>
    <w:rsid w:val="000819F1"/>
    <w:rsid w:val="00083359"/>
    <w:rsid w:val="000834E3"/>
    <w:rsid w:val="00083ABC"/>
    <w:rsid w:val="00083D98"/>
    <w:rsid w:val="000843A1"/>
    <w:rsid w:val="000852A8"/>
    <w:rsid w:val="00085BD5"/>
    <w:rsid w:val="00086D01"/>
    <w:rsid w:val="00087EB9"/>
    <w:rsid w:val="000906BC"/>
    <w:rsid w:val="00090936"/>
    <w:rsid w:val="00090F04"/>
    <w:rsid w:val="00091F40"/>
    <w:rsid w:val="000934F1"/>
    <w:rsid w:val="0009422B"/>
    <w:rsid w:val="000963BB"/>
    <w:rsid w:val="000A08B3"/>
    <w:rsid w:val="000A1484"/>
    <w:rsid w:val="000A154E"/>
    <w:rsid w:val="000A190C"/>
    <w:rsid w:val="000A3D2F"/>
    <w:rsid w:val="000A3E64"/>
    <w:rsid w:val="000A44FE"/>
    <w:rsid w:val="000A55D8"/>
    <w:rsid w:val="000A5D5B"/>
    <w:rsid w:val="000A7EF2"/>
    <w:rsid w:val="000B1539"/>
    <w:rsid w:val="000B15E5"/>
    <w:rsid w:val="000B2AEF"/>
    <w:rsid w:val="000B2C67"/>
    <w:rsid w:val="000B5ABB"/>
    <w:rsid w:val="000B6759"/>
    <w:rsid w:val="000B67FE"/>
    <w:rsid w:val="000C2662"/>
    <w:rsid w:val="000C2E98"/>
    <w:rsid w:val="000C366F"/>
    <w:rsid w:val="000C5443"/>
    <w:rsid w:val="000C7353"/>
    <w:rsid w:val="000D08DD"/>
    <w:rsid w:val="000D0A85"/>
    <w:rsid w:val="000D18B1"/>
    <w:rsid w:val="000D1D7A"/>
    <w:rsid w:val="000D22DE"/>
    <w:rsid w:val="000D2557"/>
    <w:rsid w:val="000D4E38"/>
    <w:rsid w:val="000D662A"/>
    <w:rsid w:val="000D6D97"/>
    <w:rsid w:val="000D6FBF"/>
    <w:rsid w:val="000D70E5"/>
    <w:rsid w:val="000D74D1"/>
    <w:rsid w:val="000E16B6"/>
    <w:rsid w:val="000E309F"/>
    <w:rsid w:val="000E7E22"/>
    <w:rsid w:val="000F039F"/>
    <w:rsid w:val="000F1D63"/>
    <w:rsid w:val="000F42E7"/>
    <w:rsid w:val="000F67B9"/>
    <w:rsid w:val="000F6DF8"/>
    <w:rsid w:val="000F70B8"/>
    <w:rsid w:val="00102360"/>
    <w:rsid w:val="00102B0B"/>
    <w:rsid w:val="00103D2B"/>
    <w:rsid w:val="00104C50"/>
    <w:rsid w:val="001053C0"/>
    <w:rsid w:val="0010729F"/>
    <w:rsid w:val="001124EF"/>
    <w:rsid w:val="001128BF"/>
    <w:rsid w:val="00114BA7"/>
    <w:rsid w:val="0011536E"/>
    <w:rsid w:val="00115C55"/>
    <w:rsid w:val="00117441"/>
    <w:rsid w:val="0012069B"/>
    <w:rsid w:val="0012344C"/>
    <w:rsid w:val="001236E3"/>
    <w:rsid w:val="00125463"/>
    <w:rsid w:val="00125B83"/>
    <w:rsid w:val="00126C1F"/>
    <w:rsid w:val="00132525"/>
    <w:rsid w:val="00132CC5"/>
    <w:rsid w:val="00132FE8"/>
    <w:rsid w:val="001330C1"/>
    <w:rsid w:val="00133A8F"/>
    <w:rsid w:val="0013476E"/>
    <w:rsid w:val="001362A3"/>
    <w:rsid w:val="00140452"/>
    <w:rsid w:val="00140DA4"/>
    <w:rsid w:val="00141B72"/>
    <w:rsid w:val="00142F5D"/>
    <w:rsid w:val="00145CD1"/>
    <w:rsid w:val="001471E5"/>
    <w:rsid w:val="0015043C"/>
    <w:rsid w:val="0015181A"/>
    <w:rsid w:val="00151E27"/>
    <w:rsid w:val="00151F03"/>
    <w:rsid w:val="00153748"/>
    <w:rsid w:val="0015500E"/>
    <w:rsid w:val="00155D14"/>
    <w:rsid w:val="00155EE5"/>
    <w:rsid w:val="001561CD"/>
    <w:rsid w:val="00157CB6"/>
    <w:rsid w:val="00164759"/>
    <w:rsid w:val="00166BA6"/>
    <w:rsid w:val="00166E89"/>
    <w:rsid w:val="00167E24"/>
    <w:rsid w:val="00172632"/>
    <w:rsid w:val="00173DFF"/>
    <w:rsid w:val="001755EE"/>
    <w:rsid w:val="001765AE"/>
    <w:rsid w:val="0017686E"/>
    <w:rsid w:val="00176B84"/>
    <w:rsid w:val="00176C15"/>
    <w:rsid w:val="0017771C"/>
    <w:rsid w:val="00177B26"/>
    <w:rsid w:val="00177F7B"/>
    <w:rsid w:val="001807C2"/>
    <w:rsid w:val="00181440"/>
    <w:rsid w:val="001829F9"/>
    <w:rsid w:val="001843BC"/>
    <w:rsid w:val="00184CCC"/>
    <w:rsid w:val="00185485"/>
    <w:rsid w:val="0018754F"/>
    <w:rsid w:val="00190D86"/>
    <w:rsid w:val="00191382"/>
    <w:rsid w:val="00191857"/>
    <w:rsid w:val="001926D6"/>
    <w:rsid w:val="00192797"/>
    <w:rsid w:val="00192D70"/>
    <w:rsid w:val="0019382D"/>
    <w:rsid w:val="00194744"/>
    <w:rsid w:val="00195C0D"/>
    <w:rsid w:val="0019660D"/>
    <w:rsid w:val="0019671A"/>
    <w:rsid w:val="00196E37"/>
    <w:rsid w:val="00197ACD"/>
    <w:rsid w:val="00197D83"/>
    <w:rsid w:val="00197D9B"/>
    <w:rsid w:val="001A208F"/>
    <w:rsid w:val="001A2698"/>
    <w:rsid w:val="001A2801"/>
    <w:rsid w:val="001A423E"/>
    <w:rsid w:val="001A642D"/>
    <w:rsid w:val="001A7B47"/>
    <w:rsid w:val="001B0B9D"/>
    <w:rsid w:val="001B1A7B"/>
    <w:rsid w:val="001B1FA6"/>
    <w:rsid w:val="001B5737"/>
    <w:rsid w:val="001B6368"/>
    <w:rsid w:val="001B72B3"/>
    <w:rsid w:val="001C0134"/>
    <w:rsid w:val="001C06DA"/>
    <w:rsid w:val="001C263A"/>
    <w:rsid w:val="001C2ECD"/>
    <w:rsid w:val="001C3CFF"/>
    <w:rsid w:val="001C5E1B"/>
    <w:rsid w:val="001C7790"/>
    <w:rsid w:val="001C7DB6"/>
    <w:rsid w:val="001D0A58"/>
    <w:rsid w:val="001D135B"/>
    <w:rsid w:val="001D1548"/>
    <w:rsid w:val="001D23C5"/>
    <w:rsid w:val="001D3CD0"/>
    <w:rsid w:val="001D4324"/>
    <w:rsid w:val="001D4D1C"/>
    <w:rsid w:val="001D7685"/>
    <w:rsid w:val="001E13AB"/>
    <w:rsid w:val="001E2856"/>
    <w:rsid w:val="001E2E84"/>
    <w:rsid w:val="001E3036"/>
    <w:rsid w:val="001E3245"/>
    <w:rsid w:val="001E6C56"/>
    <w:rsid w:val="001E6FCE"/>
    <w:rsid w:val="001E733F"/>
    <w:rsid w:val="001F007B"/>
    <w:rsid w:val="001F3282"/>
    <w:rsid w:val="001F38E9"/>
    <w:rsid w:val="001F627C"/>
    <w:rsid w:val="001F65B3"/>
    <w:rsid w:val="00201160"/>
    <w:rsid w:val="002015B9"/>
    <w:rsid w:val="00203FE9"/>
    <w:rsid w:val="0020407F"/>
    <w:rsid w:val="00204655"/>
    <w:rsid w:val="002051BA"/>
    <w:rsid w:val="0020579F"/>
    <w:rsid w:val="00206E7C"/>
    <w:rsid w:val="00207F4B"/>
    <w:rsid w:val="002104B4"/>
    <w:rsid w:val="00210FA7"/>
    <w:rsid w:val="002115DB"/>
    <w:rsid w:val="002118AF"/>
    <w:rsid w:val="002121CD"/>
    <w:rsid w:val="002125E4"/>
    <w:rsid w:val="002138C3"/>
    <w:rsid w:val="00216B51"/>
    <w:rsid w:val="00216DA6"/>
    <w:rsid w:val="002214EB"/>
    <w:rsid w:val="00225AAF"/>
    <w:rsid w:val="00227CC0"/>
    <w:rsid w:val="002308F9"/>
    <w:rsid w:val="00230B39"/>
    <w:rsid w:val="00231350"/>
    <w:rsid w:val="002326FA"/>
    <w:rsid w:val="00234F04"/>
    <w:rsid w:val="002357A0"/>
    <w:rsid w:val="00235D78"/>
    <w:rsid w:val="0023604D"/>
    <w:rsid w:val="0023638D"/>
    <w:rsid w:val="002425FE"/>
    <w:rsid w:val="002435FC"/>
    <w:rsid w:val="00244D19"/>
    <w:rsid w:val="00245CB5"/>
    <w:rsid w:val="00250766"/>
    <w:rsid w:val="00251F70"/>
    <w:rsid w:val="002524BC"/>
    <w:rsid w:val="0025305A"/>
    <w:rsid w:val="00253D21"/>
    <w:rsid w:val="00260119"/>
    <w:rsid w:val="00261431"/>
    <w:rsid w:val="00261F75"/>
    <w:rsid w:val="0026225E"/>
    <w:rsid w:val="002622E0"/>
    <w:rsid w:val="0026521B"/>
    <w:rsid w:val="002663F1"/>
    <w:rsid w:val="00266D31"/>
    <w:rsid w:val="00267829"/>
    <w:rsid w:val="00271D68"/>
    <w:rsid w:val="00271F40"/>
    <w:rsid w:val="002733CE"/>
    <w:rsid w:val="00275240"/>
    <w:rsid w:val="00276F62"/>
    <w:rsid w:val="002824D4"/>
    <w:rsid w:val="002828BC"/>
    <w:rsid w:val="00282901"/>
    <w:rsid w:val="00286D4D"/>
    <w:rsid w:val="00286FEA"/>
    <w:rsid w:val="00287B32"/>
    <w:rsid w:val="00287E57"/>
    <w:rsid w:val="00291429"/>
    <w:rsid w:val="00291703"/>
    <w:rsid w:val="00291D29"/>
    <w:rsid w:val="002940DC"/>
    <w:rsid w:val="00294963"/>
    <w:rsid w:val="00296AA2"/>
    <w:rsid w:val="00297FF8"/>
    <w:rsid w:val="002A1902"/>
    <w:rsid w:val="002A1D91"/>
    <w:rsid w:val="002A20EE"/>
    <w:rsid w:val="002A28D0"/>
    <w:rsid w:val="002A3550"/>
    <w:rsid w:val="002A3B3F"/>
    <w:rsid w:val="002A57D8"/>
    <w:rsid w:val="002A60B6"/>
    <w:rsid w:val="002A6BBF"/>
    <w:rsid w:val="002A6F49"/>
    <w:rsid w:val="002A762E"/>
    <w:rsid w:val="002A7C79"/>
    <w:rsid w:val="002B0124"/>
    <w:rsid w:val="002B01F4"/>
    <w:rsid w:val="002B060F"/>
    <w:rsid w:val="002B210A"/>
    <w:rsid w:val="002B59E2"/>
    <w:rsid w:val="002B5CA2"/>
    <w:rsid w:val="002B5D03"/>
    <w:rsid w:val="002B6E51"/>
    <w:rsid w:val="002C1B57"/>
    <w:rsid w:val="002C25C4"/>
    <w:rsid w:val="002C2AED"/>
    <w:rsid w:val="002C2FFE"/>
    <w:rsid w:val="002C3CFD"/>
    <w:rsid w:val="002C425D"/>
    <w:rsid w:val="002C5896"/>
    <w:rsid w:val="002C7E79"/>
    <w:rsid w:val="002D004C"/>
    <w:rsid w:val="002D0391"/>
    <w:rsid w:val="002D1100"/>
    <w:rsid w:val="002D225A"/>
    <w:rsid w:val="002D31AC"/>
    <w:rsid w:val="002D37DA"/>
    <w:rsid w:val="002D3D66"/>
    <w:rsid w:val="002D40CF"/>
    <w:rsid w:val="002D4851"/>
    <w:rsid w:val="002D76DA"/>
    <w:rsid w:val="002E1F78"/>
    <w:rsid w:val="002E2DCC"/>
    <w:rsid w:val="002E3318"/>
    <w:rsid w:val="002E36D2"/>
    <w:rsid w:val="002E4FC6"/>
    <w:rsid w:val="002E6488"/>
    <w:rsid w:val="002E7BCE"/>
    <w:rsid w:val="002F16DF"/>
    <w:rsid w:val="002F1E14"/>
    <w:rsid w:val="002F3C60"/>
    <w:rsid w:val="002F548E"/>
    <w:rsid w:val="002F7A4F"/>
    <w:rsid w:val="003004DF"/>
    <w:rsid w:val="00301006"/>
    <w:rsid w:val="00302109"/>
    <w:rsid w:val="00302A80"/>
    <w:rsid w:val="00303342"/>
    <w:rsid w:val="00304612"/>
    <w:rsid w:val="00304F47"/>
    <w:rsid w:val="00305016"/>
    <w:rsid w:val="00305CDF"/>
    <w:rsid w:val="00306E55"/>
    <w:rsid w:val="00307304"/>
    <w:rsid w:val="0030798A"/>
    <w:rsid w:val="00307B18"/>
    <w:rsid w:val="00311B43"/>
    <w:rsid w:val="00311EB5"/>
    <w:rsid w:val="0031480D"/>
    <w:rsid w:val="0031536C"/>
    <w:rsid w:val="00322219"/>
    <w:rsid w:val="0032391B"/>
    <w:rsid w:val="00324934"/>
    <w:rsid w:val="00326CBA"/>
    <w:rsid w:val="00326F4C"/>
    <w:rsid w:val="003318B9"/>
    <w:rsid w:val="00331C44"/>
    <w:rsid w:val="00334BED"/>
    <w:rsid w:val="00335905"/>
    <w:rsid w:val="00335E75"/>
    <w:rsid w:val="00340582"/>
    <w:rsid w:val="00340A3F"/>
    <w:rsid w:val="003422BA"/>
    <w:rsid w:val="0034417E"/>
    <w:rsid w:val="003446E0"/>
    <w:rsid w:val="003457C0"/>
    <w:rsid w:val="00346B90"/>
    <w:rsid w:val="00347160"/>
    <w:rsid w:val="00350D3F"/>
    <w:rsid w:val="00353A2E"/>
    <w:rsid w:val="003570E6"/>
    <w:rsid w:val="0036027E"/>
    <w:rsid w:val="003602DB"/>
    <w:rsid w:val="003617A5"/>
    <w:rsid w:val="003625AA"/>
    <w:rsid w:val="003641B2"/>
    <w:rsid w:val="00365969"/>
    <w:rsid w:val="00365B8D"/>
    <w:rsid w:val="00365C1B"/>
    <w:rsid w:val="00365D3E"/>
    <w:rsid w:val="00365D3F"/>
    <w:rsid w:val="00366D00"/>
    <w:rsid w:val="0037018B"/>
    <w:rsid w:val="00370C12"/>
    <w:rsid w:val="00370F54"/>
    <w:rsid w:val="00372024"/>
    <w:rsid w:val="00374601"/>
    <w:rsid w:val="00374909"/>
    <w:rsid w:val="003817A0"/>
    <w:rsid w:val="003845B2"/>
    <w:rsid w:val="00385EB7"/>
    <w:rsid w:val="00391719"/>
    <w:rsid w:val="00391B5E"/>
    <w:rsid w:val="00392028"/>
    <w:rsid w:val="00392857"/>
    <w:rsid w:val="00393005"/>
    <w:rsid w:val="003957CB"/>
    <w:rsid w:val="003A1BB5"/>
    <w:rsid w:val="003A2E92"/>
    <w:rsid w:val="003A5A56"/>
    <w:rsid w:val="003A5D13"/>
    <w:rsid w:val="003A619B"/>
    <w:rsid w:val="003A6794"/>
    <w:rsid w:val="003B057F"/>
    <w:rsid w:val="003B0C22"/>
    <w:rsid w:val="003B1741"/>
    <w:rsid w:val="003B282D"/>
    <w:rsid w:val="003B2987"/>
    <w:rsid w:val="003B336F"/>
    <w:rsid w:val="003B485B"/>
    <w:rsid w:val="003B4F7E"/>
    <w:rsid w:val="003B5F2D"/>
    <w:rsid w:val="003B685F"/>
    <w:rsid w:val="003C0492"/>
    <w:rsid w:val="003C08C0"/>
    <w:rsid w:val="003C0918"/>
    <w:rsid w:val="003C6F33"/>
    <w:rsid w:val="003C789E"/>
    <w:rsid w:val="003C7D53"/>
    <w:rsid w:val="003D0B03"/>
    <w:rsid w:val="003D3100"/>
    <w:rsid w:val="003D323B"/>
    <w:rsid w:val="003D3B98"/>
    <w:rsid w:val="003D45C0"/>
    <w:rsid w:val="003D68E3"/>
    <w:rsid w:val="003D7DDC"/>
    <w:rsid w:val="003E0BB6"/>
    <w:rsid w:val="003E3F3C"/>
    <w:rsid w:val="003E46F5"/>
    <w:rsid w:val="003E538D"/>
    <w:rsid w:val="003E6270"/>
    <w:rsid w:val="003E64DF"/>
    <w:rsid w:val="003F1CA6"/>
    <w:rsid w:val="003F32D3"/>
    <w:rsid w:val="003F38E9"/>
    <w:rsid w:val="003F67F4"/>
    <w:rsid w:val="003F6F34"/>
    <w:rsid w:val="003F7B07"/>
    <w:rsid w:val="00402B9A"/>
    <w:rsid w:val="00403457"/>
    <w:rsid w:val="004034BF"/>
    <w:rsid w:val="004037D7"/>
    <w:rsid w:val="00404291"/>
    <w:rsid w:val="00405B1A"/>
    <w:rsid w:val="0040671D"/>
    <w:rsid w:val="00406BAB"/>
    <w:rsid w:val="00406C90"/>
    <w:rsid w:val="00407653"/>
    <w:rsid w:val="00407761"/>
    <w:rsid w:val="004079D8"/>
    <w:rsid w:val="00407C20"/>
    <w:rsid w:val="00410A41"/>
    <w:rsid w:val="00412F33"/>
    <w:rsid w:val="004139AE"/>
    <w:rsid w:val="00415BB7"/>
    <w:rsid w:val="004164D1"/>
    <w:rsid w:val="004202FE"/>
    <w:rsid w:val="00420859"/>
    <w:rsid w:val="00421575"/>
    <w:rsid w:val="00422D1F"/>
    <w:rsid w:val="0042513F"/>
    <w:rsid w:val="0043078A"/>
    <w:rsid w:val="00431204"/>
    <w:rsid w:val="00433535"/>
    <w:rsid w:val="00434FB2"/>
    <w:rsid w:val="00435430"/>
    <w:rsid w:val="0043603C"/>
    <w:rsid w:val="0043655D"/>
    <w:rsid w:val="00437892"/>
    <w:rsid w:val="004436B8"/>
    <w:rsid w:val="00446348"/>
    <w:rsid w:val="004464BF"/>
    <w:rsid w:val="004467A5"/>
    <w:rsid w:val="004469DC"/>
    <w:rsid w:val="00447B0F"/>
    <w:rsid w:val="0045087F"/>
    <w:rsid w:val="00451018"/>
    <w:rsid w:val="004516EE"/>
    <w:rsid w:val="00451ECA"/>
    <w:rsid w:val="00452662"/>
    <w:rsid w:val="00453993"/>
    <w:rsid w:val="00453F78"/>
    <w:rsid w:val="0045431A"/>
    <w:rsid w:val="00457A54"/>
    <w:rsid w:val="00457BDF"/>
    <w:rsid w:val="00457EDD"/>
    <w:rsid w:val="00460970"/>
    <w:rsid w:val="004614B4"/>
    <w:rsid w:val="0046228D"/>
    <w:rsid w:val="00463416"/>
    <w:rsid w:val="004667A7"/>
    <w:rsid w:val="00467BEF"/>
    <w:rsid w:val="0047101B"/>
    <w:rsid w:val="00471A32"/>
    <w:rsid w:val="00471C60"/>
    <w:rsid w:val="00472315"/>
    <w:rsid w:val="00474D14"/>
    <w:rsid w:val="0047519D"/>
    <w:rsid w:val="00476BA7"/>
    <w:rsid w:val="00480F47"/>
    <w:rsid w:val="00481432"/>
    <w:rsid w:val="00482B95"/>
    <w:rsid w:val="00482C45"/>
    <w:rsid w:val="00483540"/>
    <w:rsid w:val="00484EF0"/>
    <w:rsid w:val="004850CB"/>
    <w:rsid w:val="00485456"/>
    <w:rsid w:val="00486931"/>
    <w:rsid w:val="00492CB8"/>
    <w:rsid w:val="004933CF"/>
    <w:rsid w:val="004968FB"/>
    <w:rsid w:val="00497D00"/>
    <w:rsid w:val="004A467F"/>
    <w:rsid w:val="004A60D1"/>
    <w:rsid w:val="004A7A24"/>
    <w:rsid w:val="004B1949"/>
    <w:rsid w:val="004B1E25"/>
    <w:rsid w:val="004B2A70"/>
    <w:rsid w:val="004B3D2A"/>
    <w:rsid w:val="004B6243"/>
    <w:rsid w:val="004B63C3"/>
    <w:rsid w:val="004B75B1"/>
    <w:rsid w:val="004C3C3A"/>
    <w:rsid w:val="004C66AB"/>
    <w:rsid w:val="004C7DD9"/>
    <w:rsid w:val="004D164F"/>
    <w:rsid w:val="004D2886"/>
    <w:rsid w:val="004D3208"/>
    <w:rsid w:val="004D6C3C"/>
    <w:rsid w:val="004D77CD"/>
    <w:rsid w:val="004D7859"/>
    <w:rsid w:val="004E0C26"/>
    <w:rsid w:val="004E1C9D"/>
    <w:rsid w:val="004E20E4"/>
    <w:rsid w:val="004E2477"/>
    <w:rsid w:val="004E2560"/>
    <w:rsid w:val="004E6EF0"/>
    <w:rsid w:val="004F115B"/>
    <w:rsid w:val="004F2446"/>
    <w:rsid w:val="004F2C26"/>
    <w:rsid w:val="004F4E47"/>
    <w:rsid w:val="004F6C01"/>
    <w:rsid w:val="004F792C"/>
    <w:rsid w:val="004F79DC"/>
    <w:rsid w:val="004F7A1F"/>
    <w:rsid w:val="004F7B2A"/>
    <w:rsid w:val="004F7B7A"/>
    <w:rsid w:val="005019F7"/>
    <w:rsid w:val="00503DD1"/>
    <w:rsid w:val="00504337"/>
    <w:rsid w:val="00504707"/>
    <w:rsid w:val="005051AA"/>
    <w:rsid w:val="00505F81"/>
    <w:rsid w:val="00506AC1"/>
    <w:rsid w:val="00510ABA"/>
    <w:rsid w:val="00510AF4"/>
    <w:rsid w:val="00511879"/>
    <w:rsid w:val="00511D4A"/>
    <w:rsid w:val="00512F3E"/>
    <w:rsid w:val="00514902"/>
    <w:rsid w:val="0051518A"/>
    <w:rsid w:val="00517D72"/>
    <w:rsid w:val="00520090"/>
    <w:rsid w:val="00521574"/>
    <w:rsid w:val="005224EB"/>
    <w:rsid w:val="0052297F"/>
    <w:rsid w:val="00523FBA"/>
    <w:rsid w:val="005245AF"/>
    <w:rsid w:val="005261BA"/>
    <w:rsid w:val="00526B53"/>
    <w:rsid w:val="00526ED3"/>
    <w:rsid w:val="00527625"/>
    <w:rsid w:val="0053031D"/>
    <w:rsid w:val="005308A6"/>
    <w:rsid w:val="00530B2F"/>
    <w:rsid w:val="0053224F"/>
    <w:rsid w:val="0053287A"/>
    <w:rsid w:val="00532ED5"/>
    <w:rsid w:val="0053337C"/>
    <w:rsid w:val="0053481D"/>
    <w:rsid w:val="00536655"/>
    <w:rsid w:val="005368A0"/>
    <w:rsid w:val="00537E86"/>
    <w:rsid w:val="005406EB"/>
    <w:rsid w:val="005407EB"/>
    <w:rsid w:val="00542705"/>
    <w:rsid w:val="00542EBC"/>
    <w:rsid w:val="00542F1E"/>
    <w:rsid w:val="00546B70"/>
    <w:rsid w:val="00547D71"/>
    <w:rsid w:val="005513E1"/>
    <w:rsid w:val="0055148A"/>
    <w:rsid w:val="005524C2"/>
    <w:rsid w:val="0055448A"/>
    <w:rsid w:val="00555065"/>
    <w:rsid w:val="005578AA"/>
    <w:rsid w:val="0055795E"/>
    <w:rsid w:val="00560C81"/>
    <w:rsid w:val="005612E9"/>
    <w:rsid w:val="00561D9A"/>
    <w:rsid w:val="00563BD3"/>
    <w:rsid w:val="00563FD5"/>
    <w:rsid w:val="00564C39"/>
    <w:rsid w:val="00567A28"/>
    <w:rsid w:val="00570018"/>
    <w:rsid w:val="0057097C"/>
    <w:rsid w:val="00572914"/>
    <w:rsid w:val="005729BF"/>
    <w:rsid w:val="00572F21"/>
    <w:rsid w:val="00573703"/>
    <w:rsid w:val="00575668"/>
    <w:rsid w:val="00576984"/>
    <w:rsid w:val="00576DBF"/>
    <w:rsid w:val="00577C96"/>
    <w:rsid w:val="00580AF5"/>
    <w:rsid w:val="00580EB4"/>
    <w:rsid w:val="005822BC"/>
    <w:rsid w:val="00582546"/>
    <w:rsid w:val="00582730"/>
    <w:rsid w:val="00582EC4"/>
    <w:rsid w:val="00582EDB"/>
    <w:rsid w:val="005831DC"/>
    <w:rsid w:val="00583CD6"/>
    <w:rsid w:val="005841C0"/>
    <w:rsid w:val="00584575"/>
    <w:rsid w:val="005848C7"/>
    <w:rsid w:val="0058527B"/>
    <w:rsid w:val="0058791E"/>
    <w:rsid w:val="00587BF1"/>
    <w:rsid w:val="00591106"/>
    <w:rsid w:val="00592629"/>
    <w:rsid w:val="0059473E"/>
    <w:rsid w:val="00595BBD"/>
    <w:rsid w:val="00596FB6"/>
    <w:rsid w:val="005A1FE1"/>
    <w:rsid w:val="005A2114"/>
    <w:rsid w:val="005A24C6"/>
    <w:rsid w:val="005A2D5B"/>
    <w:rsid w:val="005A2F7F"/>
    <w:rsid w:val="005A36C1"/>
    <w:rsid w:val="005A3EBA"/>
    <w:rsid w:val="005A5D59"/>
    <w:rsid w:val="005A627B"/>
    <w:rsid w:val="005B086E"/>
    <w:rsid w:val="005B106C"/>
    <w:rsid w:val="005B33A4"/>
    <w:rsid w:val="005B4528"/>
    <w:rsid w:val="005B54D9"/>
    <w:rsid w:val="005B6578"/>
    <w:rsid w:val="005B675D"/>
    <w:rsid w:val="005B67EE"/>
    <w:rsid w:val="005B6E0D"/>
    <w:rsid w:val="005B7185"/>
    <w:rsid w:val="005B78F1"/>
    <w:rsid w:val="005C0AFA"/>
    <w:rsid w:val="005C2692"/>
    <w:rsid w:val="005C31BE"/>
    <w:rsid w:val="005C3A3A"/>
    <w:rsid w:val="005C53FD"/>
    <w:rsid w:val="005D0128"/>
    <w:rsid w:val="005D149F"/>
    <w:rsid w:val="005D18E7"/>
    <w:rsid w:val="005D6CBA"/>
    <w:rsid w:val="005D70D6"/>
    <w:rsid w:val="005E0887"/>
    <w:rsid w:val="005E2191"/>
    <w:rsid w:val="005E2883"/>
    <w:rsid w:val="005E7EBC"/>
    <w:rsid w:val="005F0617"/>
    <w:rsid w:val="005F0C1C"/>
    <w:rsid w:val="005F10B0"/>
    <w:rsid w:val="005F24E1"/>
    <w:rsid w:val="005F2A0F"/>
    <w:rsid w:val="005F31A2"/>
    <w:rsid w:val="005F557F"/>
    <w:rsid w:val="005F6798"/>
    <w:rsid w:val="005F68A1"/>
    <w:rsid w:val="005F6B08"/>
    <w:rsid w:val="005F7101"/>
    <w:rsid w:val="005F7D92"/>
    <w:rsid w:val="0060175C"/>
    <w:rsid w:val="006024DE"/>
    <w:rsid w:val="00602608"/>
    <w:rsid w:val="006033E5"/>
    <w:rsid w:val="006049BB"/>
    <w:rsid w:val="006051A2"/>
    <w:rsid w:val="00605AAB"/>
    <w:rsid w:val="00607377"/>
    <w:rsid w:val="006104B4"/>
    <w:rsid w:val="00612E0E"/>
    <w:rsid w:val="006131FC"/>
    <w:rsid w:val="006134C7"/>
    <w:rsid w:val="0061373B"/>
    <w:rsid w:val="006145A4"/>
    <w:rsid w:val="00620F98"/>
    <w:rsid w:val="0062272F"/>
    <w:rsid w:val="006229D1"/>
    <w:rsid w:val="006262C8"/>
    <w:rsid w:val="00630D63"/>
    <w:rsid w:val="006315BE"/>
    <w:rsid w:val="00632384"/>
    <w:rsid w:val="00633093"/>
    <w:rsid w:val="00635253"/>
    <w:rsid w:val="00635D8D"/>
    <w:rsid w:val="00640B79"/>
    <w:rsid w:val="00641B2F"/>
    <w:rsid w:val="00643C60"/>
    <w:rsid w:val="0064460E"/>
    <w:rsid w:val="00645566"/>
    <w:rsid w:val="0064657A"/>
    <w:rsid w:val="006475C8"/>
    <w:rsid w:val="00647B40"/>
    <w:rsid w:val="006509A0"/>
    <w:rsid w:val="00650A6D"/>
    <w:rsid w:val="00650FDC"/>
    <w:rsid w:val="006519E7"/>
    <w:rsid w:val="00651C8B"/>
    <w:rsid w:val="00651D4B"/>
    <w:rsid w:val="006522BD"/>
    <w:rsid w:val="006528A4"/>
    <w:rsid w:val="006547D6"/>
    <w:rsid w:val="00656791"/>
    <w:rsid w:val="006602F7"/>
    <w:rsid w:val="0066103D"/>
    <w:rsid w:val="006615D1"/>
    <w:rsid w:val="00662396"/>
    <w:rsid w:val="00662C44"/>
    <w:rsid w:val="00662C84"/>
    <w:rsid w:val="006643A9"/>
    <w:rsid w:val="006643AC"/>
    <w:rsid w:val="0066505B"/>
    <w:rsid w:val="00666622"/>
    <w:rsid w:val="006714D8"/>
    <w:rsid w:val="006726CA"/>
    <w:rsid w:val="00672F1A"/>
    <w:rsid w:val="006730C6"/>
    <w:rsid w:val="006754C5"/>
    <w:rsid w:val="0067763C"/>
    <w:rsid w:val="006800A9"/>
    <w:rsid w:val="006805E7"/>
    <w:rsid w:val="00681D5E"/>
    <w:rsid w:val="00682C39"/>
    <w:rsid w:val="00683058"/>
    <w:rsid w:val="00684DBA"/>
    <w:rsid w:val="0068583C"/>
    <w:rsid w:val="0069143F"/>
    <w:rsid w:val="006917F5"/>
    <w:rsid w:val="00693362"/>
    <w:rsid w:val="0069413A"/>
    <w:rsid w:val="0069593E"/>
    <w:rsid w:val="00695E23"/>
    <w:rsid w:val="00697470"/>
    <w:rsid w:val="006A2A00"/>
    <w:rsid w:val="006A2FA9"/>
    <w:rsid w:val="006A3653"/>
    <w:rsid w:val="006A3DAC"/>
    <w:rsid w:val="006A48CF"/>
    <w:rsid w:val="006B103E"/>
    <w:rsid w:val="006B29A4"/>
    <w:rsid w:val="006B3DA2"/>
    <w:rsid w:val="006B48DC"/>
    <w:rsid w:val="006B570D"/>
    <w:rsid w:val="006B596A"/>
    <w:rsid w:val="006B5DF3"/>
    <w:rsid w:val="006B61BF"/>
    <w:rsid w:val="006B682B"/>
    <w:rsid w:val="006B723C"/>
    <w:rsid w:val="006C1FAA"/>
    <w:rsid w:val="006C32E1"/>
    <w:rsid w:val="006C491B"/>
    <w:rsid w:val="006C53B8"/>
    <w:rsid w:val="006C7224"/>
    <w:rsid w:val="006D17FF"/>
    <w:rsid w:val="006D337B"/>
    <w:rsid w:val="006D3745"/>
    <w:rsid w:val="006D5A26"/>
    <w:rsid w:val="006D7885"/>
    <w:rsid w:val="006D7A75"/>
    <w:rsid w:val="006E07E7"/>
    <w:rsid w:val="006E0FB3"/>
    <w:rsid w:val="006E18B4"/>
    <w:rsid w:val="006E2F5B"/>
    <w:rsid w:val="006E3AD3"/>
    <w:rsid w:val="006E57BD"/>
    <w:rsid w:val="006E60EA"/>
    <w:rsid w:val="006E6670"/>
    <w:rsid w:val="006F0EFF"/>
    <w:rsid w:val="006F1685"/>
    <w:rsid w:val="006F1BFC"/>
    <w:rsid w:val="006F2038"/>
    <w:rsid w:val="006F32B5"/>
    <w:rsid w:val="006F33F9"/>
    <w:rsid w:val="006F3551"/>
    <w:rsid w:val="006F3592"/>
    <w:rsid w:val="006F35C3"/>
    <w:rsid w:val="006F4CB0"/>
    <w:rsid w:val="006F4ECD"/>
    <w:rsid w:val="006F4F20"/>
    <w:rsid w:val="006F546F"/>
    <w:rsid w:val="006F61AF"/>
    <w:rsid w:val="006F633D"/>
    <w:rsid w:val="006F65FC"/>
    <w:rsid w:val="006F6A8F"/>
    <w:rsid w:val="00700390"/>
    <w:rsid w:val="00703289"/>
    <w:rsid w:val="00703566"/>
    <w:rsid w:val="00705D7D"/>
    <w:rsid w:val="00705F93"/>
    <w:rsid w:val="00707CA6"/>
    <w:rsid w:val="00707F23"/>
    <w:rsid w:val="007106E5"/>
    <w:rsid w:val="00710B46"/>
    <w:rsid w:val="00711DBD"/>
    <w:rsid w:val="0071237A"/>
    <w:rsid w:val="00712488"/>
    <w:rsid w:val="007124FC"/>
    <w:rsid w:val="00712D5E"/>
    <w:rsid w:val="00715F2C"/>
    <w:rsid w:val="007171DC"/>
    <w:rsid w:val="007172F1"/>
    <w:rsid w:val="007202BA"/>
    <w:rsid w:val="00721235"/>
    <w:rsid w:val="00721CFC"/>
    <w:rsid w:val="00721FA9"/>
    <w:rsid w:val="007229F3"/>
    <w:rsid w:val="007231B3"/>
    <w:rsid w:val="00723745"/>
    <w:rsid w:val="00724C7A"/>
    <w:rsid w:val="00725ECC"/>
    <w:rsid w:val="00730863"/>
    <w:rsid w:val="0073255E"/>
    <w:rsid w:val="00732BB7"/>
    <w:rsid w:val="00734053"/>
    <w:rsid w:val="0073421E"/>
    <w:rsid w:val="00735876"/>
    <w:rsid w:val="00735AF7"/>
    <w:rsid w:val="00736A65"/>
    <w:rsid w:val="00737143"/>
    <w:rsid w:val="00737E32"/>
    <w:rsid w:val="007420CD"/>
    <w:rsid w:val="00743481"/>
    <w:rsid w:val="007443AD"/>
    <w:rsid w:val="00744D62"/>
    <w:rsid w:val="007453AA"/>
    <w:rsid w:val="007458E4"/>
    <w:rsid w:val="00746504"/>
    <w:rsid w:val="00747075"/>
    <w:rsid w:val="00747775"/>
    <w:rsid w:val="00747FF6"/>
    <w:rsid w:val="0075033F"/>
    <w:rsid w:val="00750915"/>
    <w:rsid w:val="00753179"/>
    <w:rsid w:val="00754BB1"/>
    <w:rsid w:val="00754EB9"/>
    <w:rsid w:val="007551FC"/>
    <w:rsid w:val="0075535D"/>
    <w:rsid w:val="00756DBE"/>
    <w:rsid w:val="00756F84"/>
    <w:rsid w:val="00757859"/>
    <w:rsid w:val="00757B1B"/>
    <w:rsid w:val="00757BCF"/>
    <w:rsid w:val="0076226A"/>
    <w:rsid w:val="00762D57"/>
    <w:rsid w:val="00763126"/>
    <w:rsid w:val="00763F63"/>
    <w:rsid w:val="0076494A"/>
    <w:rsid w:val="0076541A"/>
    <w:rsid w:val="007662D8"/>
    <w:rsid w:val="00766993"/>
    <w:rsid w:val="007722C6"/>
    <w:rsid w:val="007727A2"/>
    <w:rsid w:val="00773029"/>
    <w:rsid w:val="0077531E"/>
    <w:rsid w:val="00776A44"/>
    <w:rsid w:val="00777123"/>
    <w:rsid w:val="0077730E"/>
    <w:rsid w:val="007773FA"/>
    <w:rsid w:val="0077794A"/>
    <w:rsid w:val="00780041"/>
    <w:rsid w:val="00780080"/>
    <w:rsid w:val="00781444"/>
    <w:rsid w:val="007823DC"/>
    <w:rsid w:val="0078262D"/>
    <w:rsid w:val="00785439"/>
    <w:rsid w:val="007856AE"/>
    <w:rsid w:val="00786F6D"/>
    <w:rsid w:val="007876E6"/>
    <w:rsid w:val="00787AED"/>
    <w:rsid w:val="00787B20"/>
    <w:rsid w:val="00787DE7"/>
    <w:rsid w:val="00787F18"/>
    <w:rsid w:val="00790952"/>
    <w:rsid w:val="007910DA"/>
    <w:rsid w:val="00792164"/>
    <w:rsid w:val="00794BB0"/>
    <w:rsid w:val="007957ED"/>
    <w:rsid w:val="00795ED5"/>
    <w:rsid w:val="007A178C"/>
    <w:rsid w:val="007A25CB"/>
    <w:rsid w:val="007A467D"/>
    <w:rsid w:val="007A5194"/>
    <w:rsid w:val="007A54EC"/>
    <w:rsid w:val="007A6B7A"/>
    <w:rsid w:val="007A7609"/>
    <w:rsid w:val="007B261E"/>
    <w:rsid w:val="007B30F7"/>
    <w:rsid w:val="007B50E4"/>
    <w:rsid w:val="007B5390"/>
    <w:rsid w:val="007B67B0"/>
    <w:rsid w:val="007B748F"/>
    <w:rsid w:val="007B7A07"/>
    <w:rsid w:val="007C3E6A"/>
    <w:rsid w:val="007C4208"/>
    <w:rsid w:val="007C5CF6"/>
    <w:rsid w:val="007C6B00"/>
    <w:rsid w:val="007C7B9B"/>
    <w:rsid w:val="007C7BB8"/>
    <w:rsid w:val="007D4269"/>
    <w:rsid w:val="007D4DF9"/>
    <w:rsid w:val="007D7923"/>
    <w:rsid w:val="007D7CB0"/>
    <w:rsid w:val="007E0201"/>
    <w:rsid w:val="007E07D4"/>
    <w:rsid w:val="007E0B64"/>
    <w:rsid w:val="007E10DD"/>
    <w:rsid w:val="007E407E"/>
    <w:rsid w:val="007E445A"/>
    <w:rsid w:val="007E5E5E"/>
    <w:rsid w:val="007F1140"/>
    <w:rsid w:val="007F2658"/>
    <w:rsid w:val="007F2D28"/>
    <w:rsid w:val="007F5A4D"/>
    <w:rsid w:val="007F5EAF"/>
    <w:rsid w:val="007F7262"/>
    <w:rsid w:val="00800DAB"/>
    <w:rsid w:val="00801D78"/>
    <w:rsid w:val="0080235F"/>
    <w:rsid w:val="00803623"/>
    <w:rsid w:val="00804D72"/>
    <w:rsid w:val="00805C8A"/>
    <w:rsid w:val="00806429"/>
    <w:rsid w:val="0080718D"/>
    <w:rsid w:val="00807B9C"/>
    <w:rsid w:val="00807F77"/>
    <w:rsid w:val="008103E2"/>
    <w:rsid w:val="00812157"/>
    <w:rsid w:val="00812A33"/>
    <w:rsid w:val="00813B36"/>
    <w:rsid w:val="008140C0"/>
    <w:rsid w:val="00815776"/>
    <w:rsid w:val="0081578B"/>
    <w:rsid w:val="00816232"/>
    <w:rsid w:val="00816DBD"/>
    <w:rsid w:val="00816E5D"/>
    <w:rsid w:val="008175E7"/>
    <w:rsid w:val="00820784"/>
    <w:rsid w:val="00822460"/>
    <w:rsid w:val="00822AEB"/>
    <w:rsid w:val="00822C1C"/>
    <w:rsid w:val="008264B5"/>
    <w:rsid w:val="00827E9A"/>
    <w:rsid w:val="00831B4E"/>
    <w:rsid w:val="00835BA4"/>
    <w:rsid w:val="00835C8A"/>
    <w:rsid w:val="00840E86"/>
    <w:rsid w:val="008413BC"/>
    <w:rsid w:val="00844297"/>
    <w:rsid w:val="0084443D"/>
    <w:rsid w:val="008450D8"/>
    <w:rsid w:val="00845C62"/>
    <w:rsid w:val="00846BA5"/>
    <w:rsid w:val="00847CDF"/>
    <w:rsid w:val="00847F4C"/>
    <w:rsid w:val="00847FDD"/>
    <w:rsid w:val="008500D7"/>
    <w:rsid w:val="00850621"/>
    <w:rsid w:val="00852700"/>
    <w:rsid w:val="00853750"/>
    <w:rsid w:val="00853FC4"/>
    <w:rsid w:val="008546FE"/>
    <w:rsid w:val="00854BFA"/>
    <w:rsid w:val="00855605"/>
    <w:rsid w:val="0085591D"/>
    <w:rsid w:val="00857EA7"/>
    <w:rsid w:val="00865189"/>
    <w:rsid w:val="008653E2"/>
    <w:rsid w:val="0087469A"/>
    <w:rsid w:val="0087486E"/>
    <w:rsid w:val="00875067"/>
    <w:rsid w:val="00876899"/>
    <w:rsid w:val="00876E7F"/>
    <w:rsid w:val="00880896"/>
    <w:rsid w:val="00880EA5"/>
    <w:rsid w:val="00882711"/>
    <w:rsid w:val="008857CA"/>
    <w:rsid w:val="008858CC"/>
    <w:rsid w:val="0088634A"/>
    <w:rsid w:val="008864C7"/>
    <w:rsid w:val="008866E1"/>
    <w:rsid w:val="00886D04"/>
    <w:rsid w:val="00890877"/>
    <w:rsid w:val="00890DB8"/>
    <w:rsid w:val="00892BE9"/>
    <w:rsid w:val="00892F58"/>
    <w:rsid w:val="00893D70"/>
    <w:rsid w:val="00894A84"/>
    <w:rsid w:val="0089610A"/>
    <w:rsid w:val="00897135"/>
    <w:rsid w:val="008A19A5"/>
    <w:rsid w:val="008A318A"/>
    <w:rsid w:val="008A48CB"/>
    <w:rsid w:val="008A51DA"/>
    <w:rsid w:val="008A5F9D"/>
    <w:rsid w:val="008B2940"/>
    <w:rsid w:val="008B4852"/>
    <w:rsid w:val="008B66AC"/>
    <w:rsid w:val="008B6F84"/>
    <w:rsid w:val="008C00F1"/>
    <w:rsid w:val="008C0A39"/>
    <w:rsid w:val="008C1ABF"/>
    <w:rsid w:val="008C5637"/>
    <w:rsid w:val="008C5850"/>
    <w:rsid w:val="008C6F59"/>
    <w:rsid w:val="008C70C3"/>
    <w:rsid w:val="008D2A32"/>
    <w:rsid w:val="008D339D"/>
    <w:rsid w:val="008D4836"/>
    <w:rsid w:val="008D6BA4"/>
    <w:rsid w:val="008E0E20"/>
    <w:rsid w:val="008E2711"/>
    <w:rsid w:val="008E58D3"/>
    <w:rsid w:val="008F3EC2"/>
    <w:rsid w:val="008F5EF6"/>
    <w:rsid w:val="008F6F9B"/>
    <w:rsid w:val="008F7502"/>
    <w:rsid w:val="008F7E4D"/>
    <w:rsid w:val="008F7F39"/>
    <w:rsid w:val="0090122D"/>
    <w:rsid w:val="00901771"/>
    <w:rsid w:val="0090256F"/>
    <w:rsid w:val="009026BD"/>
    <w:rsid w:val="00902D9D"/>
    <w:rsid w:val="00903C3C"/>
    <w:rsid w:val="00904274"/>
    <w:rsid w:val="00904895"/>
    <w:rsid w:val="009048DA"/>
    <w:rsid w:val="00905E09"/>
    <w:rsid w:val="00907551"/>
    <w:rsid w:val="00910574"/>
    <w:rsid w:val="00911032"/>
    <w:rsid w:val="00913680"/>
    <w:rsid w:val="009139D3"/>
    <w:rsid w:val="009142CA"/>
    <w:rsid w:val="0091695B"/>
    <w:rsid w:val="00916CA1"/>
    <w:rsid w:val="00917D8F"/>
    <w:rsid w:val="00920178"/>
    <w:rsid w:val="0092104F"/>
    <w:rsid w:val="00922EAC"/>
    <w:rsid w:val="00923334"/>
    <w:rsid w:val="00925D70"/>
    <w:rsid w:val="00927861"/>
    <w:rsid w:val="00931978"/>
    <w:rsid w:val="009400CD"/>
    <w:rsid w:val="00942412"/>
    <w:rsid w:val="0094337B"/>
    <w:rsid w:val="00943547"/>
    <w:rsid w:val="00943E3B"/>
    <w:rsid w:val="00943EC2"/>
    <w:rsid w:val="00944465"/>
    <w:rsid w:val="00946433"/>
    <w:rsid w:val="009468BC"/>
    <w:rsid w:val="0095123C"/>
    <w:rsid w:val="009513BA"/>
    <w:rsid w:val="00951665"/>
    <w:rsid w:val="00952B40"/>
    <w:rsid w:val="009533FA"/>
    <w:rsid w:val="00953460"/>
    <w:rsid w:val="009552A3"/>
    <w:rsid w:val="009555BF"/>
    <w:rsid w:val="00961B72"/>
    <w:rsid w:val="00961C52"/>
    <w:rsid w:val="00961DFF"/>
    <w:rsid w:val="00962E66"/>
    <w:rsid w:val="00963F41"/>
    <w:rsid w:val="00963FE1"/>
    <w:rsid w:val="009708E3"/>
    <w:rsid w:val="009716A8"/>
    <w:rsid w:val="00971E0D"/>
    <w:rsid w:val="009730E4"/>
    <w:rsid w:val="00973914"/>
    <w:rsid w:val="00973EF7"/>
    <w:rsid w:val="00975610"/>
    <w:rsid w:val="00977014"/>
    <w:rsid w:val="00977365"/>
    <w:rsid w:val="00977FBD"/>
    <w:rsid w:val="009804EC"/>
    <w:rsid w:val="009805E6"/>
    <w:rsid w:val="0098101A"/>
    <w:rsid w:val="009810F3"/>
    <w:rsid w:val="00982FA5"/>
    <w:rsid w:val="00983E48"/>
    <w:rsid w:val="00985156"/>
    <w:rsid w:val="00986A29"/>
    <w:rsid w:val="009871C0"/>
    <w:rsid w:val="00990623"/>
    <w:rsid w:val="0099106B"/>
    <w:rsid w:val="00991BB4"/>
    <w:rsid w:val="00993306"/>
    <w:rsid w:val="00994B81"/>
    <w:rsid w:val="009955B0"/>
    <w:rsid w:val="0099665D"/>
    <w:rsid w:val="009967E5"/>
    <w:rsid w:val="009967FD"/>
    <w:rsid w:val="00996CA3"/>
    <w:rsid w:val="009971F0"/>
    <w:rsid w:val="00997622"/>
    <w:rsid w:val="009A0004"/>
    <w:rsid w:val="009A1586"/>
    <w:rsid w:val="009A23FA"/>
    <w:rsid w:val="009A2CF7"/>
    <w:rsid w:val="009A30BF"/>
    <w:rsid w:val="009A48F9"/>
    <w:rsid w:val="009A70CD"/>
    <w:rsid w:val="009A7F90"/>
    <w:rsid w:val="009B071B"/>
    <w:rsid w:val="009B1F40"/>
    <w:rsid w:val="009B2045"/>
    <w:rsid w:val="009B349B"/>
    <w:rsid w:val="009B3AB2"/>
    <w:rsid w:val="009B54D6"/>
    <w:rsid w:val="009B7AFA"/>
    <w:rsid w:val="009C1A50"/>
    <w:rsid w:val="009C23E2"/>
    <w:rsid w:val="009C2B84"/>
    <w:rsid w:val="009C38B1"/>
    <w:rsid w:val="009C45F4"/>
    <w:rsid w:val="009C4B5D"/>
    <w:rsid w:val="009C52EA"/>
    <w:rsid w:val="009C590A"/>
    <w:rsid w:val="009C705E"/>
    <w:rsid w:val="009C7AB2"/>
    <w:rsid w:val="009D024D"/>
    <w:rsid w:val="009D050D"/>
    <w:rsid w:val="009D29B2"/>
    <w:rsid w:val="009D6BB2"/>
    <w:rsid w:val="009D76B3"/>
    <w:rsid w:val="009D7D98"/>
    <w:rsid w:val="009E0966"/>
    <w:rsid w:val="009E3990"/>
    <w:rsid w:val="009E39D2"/>
    <w:rsid w:val="009E4F7D"/>
    <w:rsid w:val="009E7119"/>
    <w:rsid w:val="009E7B11"/>
    <w:rsid w:val="009F00E5"/>
    <w:rsid w:val="009F1B89"/>
    <w:rsid w:val="009F2782"/>
    <w:rsid w:val="009F7AE1"/>
    <w:rsid w:val="00A022DE"/>
    <w:rsid w:val="00A023AA"/>
    <w:rsid w:val="00A03D96"/>
    <w:rsid w:val="00A03FCE"/>
    <w:rsid w:val="00A048D1"/>
    <w:rsid w:val="00A05164"/>
    <w:rsid w:val="00A05401"/>
    <w:rsid w:val="00A06ED1"/>
    <w:rsid w:val="00A10B0B"/>
    <w:rsid w:val="00A126C2"/>
    <w:rsid w:val="00A12813"/>
    <w:rsid w:val="00A13421"/>
    <w:rsid w:val="00A15564"/>
    <w:rsid w:val="00A1564A"/>
    <w:rsid w:val="00A15FA5"/>
    <w:rsid w:val="00A170EA"/>
    <w:rsid w:val="00A17E97"/>
    <w:rsid w:val="00A204E4"/>
    <w:rsid w:val="00A24CC1"/>
    <w:rsid w:val="00A27B7A"/>
    <w:rsid w:val="00A27C15"/>
    <w:rsid w:val="00A30612"/>
    <w:rsid w:val="00A30FD7"/>
    <w:rsid w:val="00A3218B"/>
    <w:rsid w:val="00A332FE"/>
    <w:rsid w:val="00A338EA"/>
    <w:rsid w:val="00A3455D"/>
    <w:rsid w:val="00A36A26"/>
    <w:rsid w:val="00A36C1C"/>
    <w:rsid w:val="00A374CE"/>
    <w:rsid w:val="00A37F47"/>
    <w:rsid w:val="00A4030E"/>
    <w:rsid w:val="00A41018"/>
    <w:rsid w:val="00A418E1"/>
    <w:rsid w:val="00A42C9A"/>
    <w:rsid w:val="00A43EBB"/>
    <w:rsid w:val="00A448B8"/>
    <w:rsid w:val="00A44A86"/>
    <w:rsid w:val="00A45BB6"/>
    <w:rsid w:val="00A46C87"/>
    <w:rsid w:val="00A46E22"/>
    <w:rsid w:val="00A47197"/>
    <w:rsid w:val="00A472C8"/>
    <w:rsid w:val="00A51823"/>
    <w:rsid w:val="00A521A3"/>
    <w:rsid w:val="00A5362B"/>
    <w:rsid w:val="00A53B1D"/>
    <w:rsid w:val="00A53F7C"/>
    <w:rsid w:val="00A54C54"/>
    <w:rsid w:val="00A561E1"/>
    <w:rsid w:val="00A5668C"/>
    <w:rsid w:val="00A56AF4"/>
    <w:rsid w:val="00A61061"/>
    <w:rsid w:val="00A61582"/>
    <w:rsid w:val="00A61601"/>
    <w:rsid w:val="00A618D2"/>
    <w:rsid w:val="00A62226"/>
    <w:rsid w:val="00A627F3"/>
    <w:rsid w:val="00A6604D"/>
    <w:rsid w:val="00A6675E"/>
    <w:rsid w:val="00A674F9"/>
    <w:rsid w:val="00A676D0"/>
    <w:rsid w:val="00A67F09"/>
    <w:rsid w:val="00A70A8B"/>
    <w:rsid w:val="00A71670"/>
    <w:rsid w:val="00A7325A"/>
    <w:rsid w:val="00A745C1"/>
    <w:rsid w:val="00A751F9"/>
    <w:rsid w:val="00A763AB"/>
    <w:rsid w:val="00A77597"/>
    <w:rsid w:val="00A77998"/>
    <w:rsid w:val="00A77C7A"/>
    <w:rsid w:val="00A802E9"/>
    <w:rsid w:val="00A80A3A"/>
    <w:rsid w:val="00A820F3"/>
    <w:rsid w:val="00A82314"/>
    <w:rsid w:val="00A8395E"/>
    <w:rsid w:val="00A83B83"/>
    <w:rsid w:val="00A8433E"/>
    <w:rsid w:val="00A87479"/>
    <w:rsid w:val="00A87C59"/>
    <w:rsid w:val="00A90053"/>
    <w:rsid w:val="00A956BD"/>
    <w:rsid w:val="00A965FE"/>
    <w:rsid w:val="00A96B0B"/>
    <w:rsid w:val="00A9719A"/>
    <w:rsid w:val="00A97A01"/>
    <w:rsid w:val="00A97FAF"/>
    <w:rsid w:val="00AA15EB"/>
    <w:rsid w:val="00AA1D90"/>
    <w:rsid w:val="00AA2B62"/>
    <w:rsid w:val="00AA3440"/>
    <w:rsid w:val="00AA35B5"/>
    <w:rsid w:val="00AA3A95"/>
    <w:rsid w:val="00AA4308"/>
    <w:rsid w:val="00AA4A79"/>
    <w:rsid w:val="00AA72EB"/>
    <w:rsid w:val="00AA7912"/>
    <w:rsid w:val="00AB06B8"/>
    <w:rsid w:val="00AB0889"/>
    <w:rsid w:val="00AB11DD"/>
    <w:rsid w:val="00AB5D9C"/>
    <w:rsid w:val="00AB5DEE"/>
    <w:rsid w:val="00AB607D"/>
    <w:rsid w:val="00AB730B"/>
    <w:rsid w:val="00AB7583"/>
    <w:rsid w:val="00AC0B3C"/>
    <w:rsid w:val="00AC1AE0"/>
    <w:rsid w:val="00AC1E44"/>
    <w:rsid w:val="00AC1F64"/>
    <w:rsid w:val="00AC25C9"/>
    <w:rsid w:val="00AC29DC"/>
    <w:rsid w:val="00AC3208"/>
    <w:rsid w:val="00AC326B"/>
    <w:rsid w:val="00AC3F28"/>
    <w:rsid w:val="00AC41E5"/>
    <w:rsid w:val="00AC469D"/>
    <w:rsid w:val="00AC4C99"/>
    <w:rsid w:val="00AC50E4"/>
    <w:rsid w:val="00AC6830"/>
    <w:rsid w:val="00AC74E3"/>
    <w:rsid w:val="00AC7FCB"/>
    <w:rsid w:val="00AD113E"/>
    <w:rsid w:val="00AD31D7"/>
    <w:rsid w:val="00AD6F9A"/>
    <w:rsid w:val="00AD7BC4"/>
    <w:rsid w:val="00AE0F7D"/>
    <w:rsid w:val="00AE198F"/>
    <w:rsid w:val="00AE1B83"/>
    <w:rsid w:val="00AE1D1F"/>
    <w:rsid w:val="00AF0058"/>
    <w:rsid w:val="00AF0E08"/>
    <w:rsid w:val="00AF0FCD"/>
    <w:rsid w:val="00AF10D9"/>
    <w:rsid w:val="00AF1A29"/>
    <w:rsid w:val="00AF25DD"/>
    <w:rsid w:val="00AF2B71"/>
    <w:rsid w:val="00AF38E9"/>
    <w:rsid w:val="00B00D0C"/>
    <w:rsid w:val="00B00EEF"/>
    <w:rsid w:val="00B013CD"/>
    <w:rsid w:val="00B01F1E"/>
    <w:rsid w:val="00B04DEF"/>
    <w:rsid w:val="00B05E6E"/>
    <w:rsid w:val="00B106BF"/>
    <w:rsid w:val="00B11AAC"/>
    <w:rsid w:val="00B11D04"/>
    <w:rsid w:val="00B12226"/>
    <w:rsid w:val="00B13539"/>
    <w:rsid w:val="00B14D84"/>
    <w:rsid w:val="00B14F99"/>
    <w:rsid w:val="00B17DDA"/>
    <w:rsid w:val="00B21ACB"/>
    <w:rsid w:val="00B25759"/>
    <w:rsid w:val="00B2692E"/>
    <w:rsid w:val="00B26D7A"/>
    <w:rsid w:val="00B2790B"/>
    <w:rsid w:val="00B27E1E"/>
    <w:rsid w:val="00B31291"/>
    <w:rsid w:val="00B325CF"/>
    <w:rsid w:val="00B331C8"/>
    <w:rsid w:val="00B3324B"/>
    <w:rsid w:val="00B34C2B"/>
    <w:rsid w:val="00B35D11"/>
    <w:rsid w:val="00B36B49"/>
    <w:rsid w:val="00B40CCB"/>
    <w:rsid w:val="00B42FFC"/>
    <w:rsid w:val="00B435D9"/>
    <w:rsid w:val="00B44242"/>
    <w:rsid w:val="00B4456A"/>
    <w:rsid w:val="00B51613"/>
    <w:rsid w:val="00B51B09"/>
    <w:rsid w:val="00B51B9C"/>
    <w:rsid w:val="00B5209D"/>
    <w:rsid w:val="00B535BF"/>
    <w:rsid w:val="00B54E47"/>
    <w:rsid w:val="00B57527"/>
    <w:rsid w:val="00B57B25"/>
    <w:rsid w:val="00B608B9"/>
    <w:rsid w:val="00B60D15"/>
    <w:rsid w:val="00B61E70"/>
    <w:rsid w:val="00B63277"/>
    <w:rsid w:val="00B636FE"/>
    <w:rsid w:val="00B664F6"/>
    <w:rsid w:val="00B665E2"/>
    <w:rsid w:val="00B67773"/>
    <w:rsid w:val="00B72489"/>
    <w:rsid w:val="00B738C1"/>
    <w:rsid w:val="00B76AAD"/>
    <w:rsid w:val="00B804EB"/>
    <w:rsid w:val="00B811AE"/>
    <w:rsid w:val="00B82B6C"/>
    <w:rsid w:val="00B83FFA"/>
    <w:rsid w:val="00B845E7"/>
    <w:rsid w:val="00B90E27"/>
    <w:rsid w:val="00B91598"/>
    <w:rsid w:val="00B9196E"/>
    <w:rsid w:val="00B9225E"/>
    <w:rsid w:val="00B92502"/>
    <w:rsid w:val="00B93361"/>
    <w:rsid w:val="00B96109"/>
    <w:rsid w:val="00B96575"/>
    <w:rsid w:val="00BA1AB3"/>
    <w:rsid w:val="00BA2422"/>
    <w:rsid w:val="00BA2477"/>
    <w:rsid w:val="00BA322A"/>
    <w:rsid w:val="00BA4272"/>
    <w:rsid w:val="00BA505D"/>
    <w:rsid w:val="00BA6E86"/>
    <w:rsid w:val="00BA7671"/>
    <w:rsid w:val="00BB16A3"/>
    <w:rsid w:val="00BB2B4C"/>
    <w:rsid w:val="00BB40FC"/>
    <w:rsid w:val="00BB4C76"/>
    <w:rsid w:val="00BB5C4F"/>
    <w:rsid w:val="00BB7147"/>
    <w:rsid w:val="00BC03F3"/>
    <w:rsid w:val="00BC0AAB"/>
    <w:rsid w:val="00BC18F8"/>
    <w:rsid w:val="00BC5F41"/>
    <w:rsid w:val="00BC6A57"/>
    <w:rsid w:val="00BC728F"/>
    <w:rsid w:val="00BD0558"/>
    <w:rsid w:val="00BD0E2A"/>
    <w:rsid w:val="00BD10A8"/>
    <w:rsid w:val="00BD2134"/>
    <w:rsid w:val="00BD40E5"/>
    <w:rsid w:val="00BD4D6E"/>
    <w:rsid w:val="00BD5E77"/>
    <w:rsid w:val="00BD6367"/>
    <w:rsid w:val="00BD7060"/>
    <w:rsid w:val="00BE0D0D"/>
    <w:rsid w:val="00BE18A3"/>
    <w:rsid w:val="00BE54E8"/>
    <w:rsid w:val="00BE56B7"/>
    <w:rsid w:val="00BE630E"/>
    <w:rsid w:val="00BF07A4"/>
    <w:rsid w:val="00BF112D"/>
    <w:rsid w:val="00BF2B47"/>
    <w:rsid w:val="00BF44A4"/>
    <w:rsid w:val="00BF5857"/>
    <w:rsid w:val="00C02C9B"/>
    <w:rsid w:val="00C03400"/>
    <w:rsid w:val="00C03E42"/>
    <w:rsid w:val="00C0672C"/>
    <w:rsid w:val="00C07924"/>
    <w:rsid w:val="00C108B2"/>
    <w:rsid w:val="00C10BF4"/>
    <w:rsid w:val="00C12D12"/>
    <w:rsid w:val="00C165B1"/>
    <w:rsid w:val="00C177B9"/>
    <w:rsid w:val="00C17900"/>
    <w:rsid w:val="00C17DEA"/>
    <w:rsid w:val="00C200B9"/>
    <w:rsid w:val="00C2574D"/>
    <w:rsid w:val="00C27910"/>
    <w:rsid w:val="00C30D78"/>
    <w:rsid w:val="00C30F80"/>
    <w:rsid w:val="00C31C41"/>
    <w:rsid w:val="00C34BA0"/>
    <w:rsid w:val="00C34F83"/>
    <w:rsid w:val="00C35739"/>
    <w:rsid w:val="00C374F3"/>
    <w:rsid w:val="00C37CE2"/>
    <w:rsid w:val="00C40837"/>
    <w:rsid w:val="00C408CD"/>
    <w:rsid w:val="00C40CBA"/>
    <w:rsid w:val="00C40FC4"/>
    <w:rsid w:val="00C42528"/>
    <w:rsid w:val="00C45AA0"/>
    <w:rsid w:val="00C4693A"/>
    <w:rsid w:val="00C46F6B"/>
    <w:rsid w:val="00C5501E"/>
    <w:rsid w:val="00C55EFC"/>
    <w:rsid w:val="00C56B69"/>
    <w:rsid w:val="00C5708C"/>
    <w:rsid w:val="00C57F73"/>
    <w:rsid w:val="00C603B0"/>
    <w:rsid w:val="00C61A53"/>
    <w:rsid w:val="00C62F46"/>
    <w:rsid w:val="00C631F8"/>
    <w:rsid w:val="00C632D1"/>
    <w:rsid w:val="00C64646"/>
    <w:rsid w:val="00C65E71"/>
    <w:rsid w:val="00C6636C"/>
    <w:rsid w:val="00C665F4"/>
    <w:rsid w:val="00C66E5D"/>
    <w:rsid w:val="00C66E84"/>
    <w:rsid w:val="00C67F0A"/>
    <w:rsid w:val="00C70006"/>
    <w:rsid w:val="00C711F6"/>
    <w:rsid w:val="00C71FB8"/>
    <w:rsid w:val="00C7217C"/>
    <w:rsid w:val="00C723AC"/>
    <w:rsid w:val="00C732C8"/>
    <w:rsid w:val="00C749B9"/>
    <w:rsid w:val="00C75F26"/>
    <w:rsid w:val="00C77B11"/>
    <w:rsid w:val="00C81DB9"/>
    <w:rsid w:val="00C81E4B"/>
    <w:rsid w:val="00C83AD1"/>
    <w:rsid w:val="00C86772"/>
    <w:rsid w:val="00C9012E"/>
    <w:rsid w:val="00C90CC0"/>
    <w:rsid w:val="00C921C8"/>
    <w:rsid w:val="00C930B4"/>
    <w:rsid w:val="00C93C62"/>
    <w:rsid w:val="00C94439"/>
    <w:rsid w:val="00C967C2"/>
    <w:rsid w:val="00CA0CC6"/>
    <w:rsid w:val="00CA2010"/>
    <w:rsid w:val="00CA29C1"/>
    <w:rsid w:val="00CA3585"/>
    <w:rsid w:val="00CA35F2"/>
    <w:rsid w:val="00CA36F1"/>
    <w:rsid w:val="00CA39BE"/>
    <w:rsid w:val="00CA4137"/>
    <w:rsid w:val="00CA527F"/>
    <w:rsid w:val="00CA58B2"/>
    <w:rsid w:val="00CA6AA3"/>
    <w:rsid w:val="00CA6E12"/>
    <w:rsid w:val="00CB023A"/>
    <w:rsid w:val="00CB1134"/>
    <w:rsid w:val="00CB12B7"/>
    <w:rsid w:val="00CB20F9"/>
    <w:rsid w:val="00CB5BB4"/>
    <w:rsid w:val="00CC2513"/>
    <w:rsid w:val="00CC4675"/>
    <w:rsid w:val="00CC4CAD"/>
    <w:rsid w:val="00CD06D8"/>
    <w:rsid w:val="00CD1DAB"/>
    <w:rsid w:val="00CD3C32"/>
    <w:rsid w:val="00CD495E"/>
    <w:rsid w:val="00CD62C2"/>
    <w:rsid w:val="00CE02BD"/>
    <w:rsid w:val="00CE0BEF"/>
    <w:rsid w:val="00CE118C"/>
    <w:rsid w:val="00CE1A6C"/>
    <w:rsid w:val="00CE26CE"/>
    <w:rsid w:val="00CE5F58"/>
    <w:rsid w:val="00CE7090"/>
    <w:rsid w:val="00CF0EFB"/>
    <w:rsid w:val="00CF1912"/>
    <w:rsid w:val="00CF2212"/>
    <w:rsid w:val="00CF560D"/>
    <w:rsid w:val="00D00D38"/>
    <w:rsid w:val="00D03D59"/>
    <w:rsid w:val="00D0523C"/>
    <w:rsid w:val="00D05D50"/>
    <w:rsid w:val="00D06096"/>
    <w:rsid w:val="00D111EB"/>
    <w:rsid w:val="00D12E82"/>
    <w:rsid w:val="00D139FF"/>
    <w:rsid w:val="00D142D4"/>
    <w:rsid w:val="00D1436D"/>
    <w:rsid w:val="00D14717"/>
    <w:rsid w:val="00D15E17"/>
    <w:rsid w:val="00D161C4"/>
    <w:rsid w:val="00D16CED"/>
    <w:rsid w:val="00D17A96"/>
    <w:rsid w:val="00D17B59"/>
    <w:rsid w:val="00D20DF9"/>
    <w:rsid w:val="00D20EE7"/>
    <w:rsid w:val="00D224B0"/>
    <w:rsid w:val="00D2257E"/>
    <w:rsid w:val="00D22AD9"/>
    <w:rsid w:val="00D26470"/>
    <w:rsid w:val="00D27BB4"/>
    <w:rsid w:val="00D31D93"/>
    <w:rsid w:val="00D32CCC"/>
    <w:rsid w:val="00D34C26"/>
    <w:rsid w:val="00D34D8A"/>
    <w:rsid w:val="00D352C0"/>
    <w:rsid w:val="00D3557A"/>
    <w:rsid w:val="00D366D4"/>
    <w:rsid w:val="00D36A73"/>
    <w:rsid w:val="00D36D89"/>
    <w:rsid w:val="00D36E90"/>
    <w:rsid w:val="00D40E4A"/>
    <w:rsid w:val="00D4241F"/>
    <w:rsid w:val="00D43F2C"/>
    <w:rsid w:val="00D449EA"/>
    <w:rsid w:val="00D45104"/>
    <w:rsid w:val="00D465B8"/>
    <w:rsid w:val="00D46EA3"/>
    <w:rsid w:val="00D50849"/>
    <w:rsid w:val="00D50CAC"/>
    <w:rsid w:val="00D52082"/>
    <w:rsid w:val="00D53029"/>
    <w:rsid w:val="00D54933"/>
    <w:rsid w:val="00D550D8"/>
    <w:rsid w:val="00D56B90"/>
    <w:rsid w:val="00D57219"/>
    <w:rsid w:val="00D600F0"/>
    <w:rsid w:val="00D602D7"/>
    <w:rsid w:val="00D619CE"/>
    <w:rsid w:val="00D62415"/>
    <w:rsid w:val="00D62656"/>
    <w:rsid w:val="00D632F3"/>
    <w:rsid w:val="00D65035"/>
    <w:rsid w:val="00D6591B"/>
    <w:rsid w:val="00D660E4"/>
    <w:rsid w:val="00D66E90"/>
    <w:rsid w:val="00D674BE"/>
    <w:rsid w:val="00D70623"/>
    <w:rsid w:val="00D714F8"/>
    <w:rsid w:val="00D7285A"/>
    <w:rsid w:val="00D736B0"/>
    <w:rsid w:val="00D76EEA"/>
    <w:rsid w:val="00D77648"/>
    <w:rsid w:val="00D776AD"/>
    <w:rsid w:val="00D803BC"/>
    <w:rsid w:val="00D807AE"/>
    <w:rsid w:val="00D859CB"/>
    <w:rsid w:val="00D85B2E"/>
    <w:rsid w:val="00D869D2"/>
    <w:rsid w:val="00D86AF6"/>
    <w:rsid w:val="00D86BC6"/>
    <w:rsid w:val="00D86BD3"/>
    <w:rsid w:val="00D877AB"/>
    <w:rsid w:val="00D94160"/>
    <w:rsid w:val="00D941D8"/>
    <w:rsid w:val="00D949B5"/>
    <w:rsid w:val="00D976B5"/>
    <w:rsid w:val="00D97999"/>
    <w:rsid w:val="00DA0258"/>
    <w:rsid w:val="00DA02CA"/>
    <w:rsid w:val="00DA0D9D"/>
    <w:rsid w:val="00DA160C"/>
    <w:rsid w:val="00DA3AD7"/>
    <w:rsid w:val="00DA3DAF"/>
    <w:rsid w:val="00DB1FF1"/>
    <w:rsid w:val="00DB25CB"/>
    <w:rsid w:val="00DB2698"/>
    <w:rsid w:val="00DB3D41"/>
    <w:rsid w:val="00DB3EAA"/>
    <w:rsid w:val="00DB3EF4"/>
    <w:rsid w:val="00DB4BE3"/>
    <w:rsid w:val="00DB5197"/>
    <w:rsid w:val="00DB5B50"/>
    <w:rsid w:val="00DB5F3C"/>
    <w:rsid w:val="00DC0F96"/>
    <w:rsid w:val="00DC1C7E"/>
    <w:rsid w:val="00DC2B9C"/>
    <w:rsid w:val="00DC33EC"/>
    <w:rsid w:val="00DC52E4"/>
    <w:rsid w:val="00DC6C8F"/>
    <w:rsid w:val="00DC7014"/>
    <w:rsid w:val="00DC71FB"/>
    <w:rsid w:val="00DD0949"/>
    <w:rsid w:val="00DD1507"/>
    <w:rsid w:val="00DD208E"/>
    <w:rsid w:val="00DD2D33"/>
    <w:rsid w:val="00DD52E5"/>
    <w:rsid w:val="00DD64D1"/>
    <w:rsid w:val="00DD7403"/>
    <w:rsid w:val="00DD7EAA"/>
    <w:rsid w:val="00DE05D1"/>
    <w:rsid w:val="00DE0770"/>
    <w:rsid w:val="00DE0FF2"/>
    <w:rsid w:val="00DE3042"/>
    <w:rsid w:val="00DE32FD"/>
    <w:rsid w:val="00DE385D"/>
    <w:rsid w:val="00DE4139"/>
    <w:rsid w:val="00DE48FB"/>
    <w:rsid w:val="00DE4D12"/>
    <w:rsid w:val="00DE543B"/>
    <w:rsid w:val="00DE5F66"/>
    <w:rsid w:val="00DE70A1"/>
    <w:rsid w:val="00DE7519"/>
    <w:rsid w:val="00DE7B5F"/>
    <w:rsid w:val="00DE7EF7"/>
    <w:rsid w:val="00DF0864"/>
    <w:rsid w:val="00DF26E0"/>
    <w:rsid w:val="00DF29FE"/>
    <w:rsid w:val="00DF2B2B"/>
    <w:rsid w:val="00DF40E8"/>
    <w:rsid w:val="00DF43CF"/>
    <w:rsid w:val="00DF63B8"/>
    <w:rsid w:val="00DF6DA1"/>
    <w:rsid w:val="00DF71BB"/>
    <w:rsid w:val="00E004BC"/>
    <w:rsid w:val="00E00D3E"/>
    <w:rsid w:val="00E01755"/>
    <w:rsid w:val="00E02F40"/>
    <w:rsid w:val="00E0502B"/>
    <w:rsid w:val="00E05051"/>
    <w:rsid w:val="00E05583"/>
    <w:rsid w:val="00E0586C"/>
    <w:rsid w:val="00E05A13"/>
    <w:rsid w:val="00E10A32"/>
    <w:rsid w:val="00E120EF"/>
    <w:rsid w:val="00E12A1C"/>
    <w:rsid w:val="00E12FEB"/>
    <w:rsid w:val="00E135D8"/>
    <w:rsid w:val="00E13D63"/>
    <w:rsid w:val="00E14AA6"/>
    <w:rsid w:val="00E14DFD"/>
    <w:rsid w:val="00E161FD"/>
    <w:rsid w:val="00E16507"/>
    <w:rsid w:val="00E16BFB"/>
    <w:rsid w:val="00E175BC"/>
    <w:rsid w:val="00E203C9"/>
    <w:rsid w:val="00E210AE"/>
    <w:rsid w:val="00E21264"/>
    <w:rsid w:val="00E21CA9"/>
    <w:rsid w:val="00E230F2"/>
    <w:rsid w:val="00E2328D"/>
    <w:rsid w:val="00E233C9"/>
    <w:rsid w:val="00E23B39"/>
    <w:rsid w:val="00E25C37"/>
    <w:rsid w:val="00E27B12"/>
    <w:rsid w:val="00E304E4"/>
    <w:rsid w:val="00E30E1E"/>
    <w:rsid w:val="00E3290D"/>
    <w:rsid w:val="00E33616"/>
    <w:rsid w:val="00E3365D"/>
    <w:rsid w:val="00E337AB"/>
    <w:rsid w:val="00E3429F"/>
    <w:rsid w:val="00E34FFD"/>
    <w:rsid w:val="00E36A7B"/>
    <w:rsid w:val="00E37B14"/>
    <w:rsid w:val="00E4025A"/>
    <w:rsid w:val="00E4269D"/>
    <w:rsid w:val="00E42BE0"/>
    <w:rsid w:val="00E42CB2"/>
    <w:rsid w:val="00E43AFA"/>
    <w:rsid w:val="00E4417D"/>
    <w:rsid w:val="00E448E7"/>
    <w:rsid w:val="00E449D2"/>
    <w:rsid w:val="00E4509A"/>
    <w:rsid w:val="00E47AF1"/>
    <w:rsid w:val="00E50CAC"/>
    <w:rsid w:val="00E50D91"/>
    <w:rsid w:val="00E518DF"/>
    <w:rsid w:val="00E52D6E"/>
    <w:rsid w:val="00E5368B"/>
    <w:rsid w:val="00E562C5"/>
    <w:rsid w:val="00E60137"/>
    <w:rsid w:val="00E6386B"/>
    <w:rsid w:val="00E64595"/>
    <w:rsid w:val="00E66598"/>
    <w:rsid w:val="00E66C8A"/>
    <w:rsid w:val="00E671D8"/>
    <w:rsid w:val="00E676DD"/>
    <w:rsid w:val="00E71327"/>
    <w:rsid w:val="00E72BC2"/>
    <w:rsid w:val="00E74FD1"/>
    <w:rsid w:val="00E76164"/>
    <w:rsid w:val="00E76651"/>
    <w:rsid w:val="00E80743"/>
    <w:rsid w:val="00E81583"/>
    <w:rsid w:val="00E8166F"/>
    <w:rsid w:val="00E818F8"/>
    <w:rsid w:val="00E81EAB"/>
    <w:rsid w:val="00E838A2"/>
    <w:rsid w:val="00E8687A"/>
    <w:rsid w:val="00E87739"/>
    <w:rsid w:val="00E90157"/>
    <w:rsid w:val="00E90442"/>
    <w:rsid w:val="00E925AF"/>
    <w:rsid w:val="00E93186"/>
    <w:rsid w:val="00E93CD5"/>
    <w:rsid w:val="00E96337"/>
    <w:rsid w:val="00E975D6"/>
    <w:rsid w:val="00EA048F"/>
    <w:rsid w:val="00EA26C7"/>
    <w:rsid w:val="00EA6907"/>
    <w:rsid w:val="00EA7461"/>
    <w:rsid w:val="00EA7C00"/>
    <w:rsid w:val="00EB15C9"/>
    <w:rsid w:val="00EB1BEA"/>
    <w:rsid w:val="00EB3C1A"/>
    <w:rsid w:val="00EB50B5"/>
    <w:rsid w:val="00EB5D1B"/>
    <w:rsid w:val="00EC1063"/>
    <w:rsid w:val="00EC19DB"/>
    <w:rsid w:val="00EC1BAA"/>
    <w:rsid w:val="00EC2C62"/>
    <w:rsid w:val="00EC308C"/>
    <w:rsid w:val="00EC4C43"/>
    <w:rsid w:val="00EC563E"/>
    <w:rsid w:val="00ED0953"/>
    <w:rsid w:val="00ED11C6"/>
    <w:rsid w:val="00ED129E"/>
    <w:rsid w:val="00ED18D4"/>
    <w:rsid w:val="00ED1BA3"/>
    <w:rsid w:val="00ED2A82"/>
    <w:rsid w:val="00ED2A8B"/>
    <w:rsid w:val="00ED39C1"/>
    <w:rsid w:val="00ED6888"/>
    <w:rsid w:val="00ED717C"/>
    <w:rsid w:val="00ED73BE"/>
    <w:rsid w:val="00ED7D14"/>
    <w:rsid w:val="00EE054F"/>
    <w:rsid w:val="00EE194F"/>
    <w:rsid w:val="00EE1D17"/>
    <w:rsid w:val="00EE24A1"/>
    <w:rsid w:val="00EE3A46"/>
    <w:rsid w:val="00EE411C"/>
    <w:rsid w:val="00EE5CEE"/>
    <w:rsid w:val="00EE6084"/>
    <w:rsid w:val="00EE6786"/>
    <w:rsid w:val="00EE78AB"/>
    <w:rsid w:val="00EF0472"/>
    <w:rsid w:val="00EF0788"/>
    <w:rsid w:val="00EF1AB2"/>
    <w:rsid w:val="00EF312A"/>
    <w:rsid w:val="00EF319F"/>
    <w:rsid w:val="00EF32A1"/>
    <w:rsid w:val="00EF33B4"/>
    <w:rsid w:val="00EF4F48"/>
    <w:rsid w:val="00EF510A"/>
    <w:rsid w:val="00EF632E"/>
    <w:rsid w:val="00EF7225"/>
    <w:rsid w:val="00EF7367"/>
    <w:rsid w:val="00F00174"/>
    <w:rsid w:val="00F01115"/>
    <w:rsid w:val="00F046F7"/>
    <w:rsid w:val="00F046FE"/>
    <w:rsid w:val="00F04E9E"/>
    <w:rsid w:val="00F0733F"/>
    <w:rsid w:val="00F10723"/>
    <w:rsid w:val="00F10DC4"/>
    <w:rsid w:val="00F11BA6"/>
    <w:rsid w:val="00F11E5E"/>
    <w:rsid w:val="00F150E3"/>
    <w:rsid w:val="00F15FFA"/>
    <w:rsid w:val="00F16858"/>
    <w:rsid w:val="00F207FA"/>
    <w:rsid w:val="00F20FA2"/>
    <w:rsid w:val="00F21C66"/>
    <w:rsid w:val="00F22616"/>
    <w:rsid w:val="00F24E7B"/>
    <w:rsid w:val="00F2510D"/>
    <w:rsid w:val="00F256C0"/>
    <w:rsid w:val="00F25CE0"/>
    <w:rsid w:val="00F2683B"/>
    <w:rsid w:val="00F2712E"/>
    <w:rsid w:val="00F27484"/>
    <w:rsid w:val="00F27F77"/>
    <w:rsid w:val="00F30211"/>
    <w:rsid w:val="00F30E12"/>
    <w:rsid w:val="00F31FF6"/>
    <w:rsid w:val="00F323BD"/>
    <w:rsid w:val="00F324BD"/>
    <w:rsid w:val="00F33C9C"/>
    <w:rsid w:val="00F34F4C"/>
    <w:rsid w:val="00F3591F"/>
    <w:rsid w:val="00F3632A"/>
    <w:rsid w:val="00F37FEC"/>
    <w:rsid w:val="00F40C52"/>
    <w:rsid w:val="00F417F3"/>
    <w:rsid w:val="00F43A11"/>
    <w:rsid w:val="00F4473E"/>
    <w:rsid w:val="00F4764A"/>
    <w:rsid w:val="00F47AAD"/>
    <w:rsid w:val="00F50BE6"/>
    <w:rsid w:val="00F50D3E"/>
    <w:rsid w:val="00F51267"/>
    <w:rsid w:val="00F60194"/>
    <w:rsid w:val="00F613A4"/>
    <w:rsid w:val="00F619F8"/>
    <w:rsid w:val="00F625C4"/>
    <w:rsid w:val="00F636BB"/>
    <w:rsid w:val="00F64677"/>
    <w:rsid w:val="00F64DB5"/>
    <w:rsid w:val="00F64E29"/>
    <w:rsid w:val="00F65253"/>
    <w:rsid w:val="00F65459"/>
    <w:rsid w:val="00F70718"/>
    <w:rsid w:val="00F70D82"/>
    <w:rsid w:val="00F713CA"/>
    <w:rsid w:val="00F7150D"/>
    <w:rsid w:val="00F71A1C"/>
    <w:rsid w:val="00F725CA"/>
    <w:rsid w:val="00F72E53"/>
    <w:rsid w:val="00F739A7"/>
    <w:rsid w:val="00F74901"/>
    <w:rsid w:val="00F75D13"/>
    <w:rsid w:val="00F8009D"/>
    <w:rsid w:val="00F80FF3"/>
    <w:rsid w:val="00F820C3"/>
    <w:rsid w:val="00F82344"/>
    <w:rsid w:val="00F834CD"/>
    <w:rsid w:val="00F846B6"/>
    <w:rsid w:val="00F85CFF"/>
    <w:rsid w:val="00F86351"/>
    <w:rsid w:val="00F8658C"/>
    <w:rsid w:val="00F9011F"/>
    <w:rsid w:val="00F9058B"/>
    <w:rsid w:val="00F90C98"/>
    <w:rsid w:val="00F92352"/>
    <w:rsid w:val="00F941C9"/>
    <w:rsid w:val="00F94993"/>
    <w:rsid w:val="00F94DDC"/>
    <w:rsid w:val="00F956B2"/>
    <w:rsid w:val="00FA0B99"/>
    <w:rsid w:val="00FA2AB9"/>
    <w:rsid w:val="00FA2E06"/>
    <w:rsid w:val="00FA523A"/>
    <w:rsid w:val="00FA70AE"/>
    <w:rsid w:val="00FB1528"/>
    <w:rsid w:val="00FB2BE7"/>
    <w:rsid w:val="00FB2BFA"/>
    <w:rsid w:val="00FB2FB1"/>
    <w:rsid w:val="00FB4F41"/>
    <w:rsid w:val="00FB570C"/>
    <w:rsid w:val="00FB5C55"/>
    <w:rsid w:val="00FB76D0"/>
    <w:rsid w:val="00FB7D54"/>
    <w:rsid w:val="00FC0161"/>
    <w:rsid w:val="00FC0660"/>
    <w:rsid w:val="00FC0D55"/>
    <w:rsid w:val="00FC0D64"/>
    <w:rsid w:val="00FC1425"/>
    <w:rsid w:val="00FC1C12"/>
    <w:rsid w:val="00FC29B8"/>
    <w:rsid w:val="00FC2A09"/>
    <w:rsid w:val="00FC30FF"/>
    <w:rsid w:val="00FC68F4"/>
    <w:rsid w:val="00FC7FBB"/>
    <w:rsid w:val="00FD05A7"/>
    <w:rsid w:val="00FD1351"/>
    <w:rsid w:val="00FD13A7"/>
    <w:rsid w:val="00FD238A"/>
    <w:rsid w:val="00FD3E8A"/>
    <w:rsid w:val="00FD3F67"/>
    <w:rsid w:val="00FD7EE9"/>
    <w:rsid w:val="00FE0572"/>
    <w:rsid w:val="00FE0A16"/>
    <w:rsid w:val="00FE1519"/>
    <w:rsid w:val="00FE34A0"/>
    <w:rsid w:val="00FE3F34"/>
    <w:rsid w:val="00FE4B2A"/>
    <w:rsid w:val="00FE4F69"/>
    <w:rsid w:val="00FE55CE"/>
    <w:rsid w:val="00FE60C3"/>
    <w:rsid w:val="00FE71DF"/>
    <w:rsid w:val="00FF18A7"/>
    <w:rsid w:val="00FF4763"/>
    <w:rsid w:val="00FF4853"/>
    <w:rsid w:val="00FF5663"/>
    <w:rsid w:val="00FF5B3D"/>
    <w:rsid w:val="00FF6877"/>
    <w:rsid w:val="00FF7B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D2F"/>
    <w:rPr>
      <w:sz w:val="24"/>
      <w:szCs w:val="24"/>
    </w:rPr>
  </w:style>
  <w:style w:type="paragraph" w:styleId="1">
    <w:name w:val="heading 1"/>
    <w:basedOn w:val="a"/>
    <w:next w:val="a"/>
    <w:link w:val="1Char"/>
    <w:qFormat/>
    <w:rsid w:val="005B6E0D"/>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993306"/>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AB5DEE"/>
    <w:pPr>
      <w:keepNext/>
      <w:spacing w:before="240" w:after="60"/>
      <w:outlineLvl w:val="2"/>
    </w:pPr>
    <w:rPr>
      <w:rFonts w:ascii="Arial" w:hAnsi="Arial" w:cs="Arial"/>
      <w:b/>
      <w:bCs/>
      <w:sz w:val="26"/>
      <w:szCs w:val="26"/>
    </w:rPr>
  </w:style>
  <w:style w:type="paragraph" w:styleId="4">
    <w:name w:val="heading 4"/>
    <w:basedOn w:val="a"/>
    <w:next w:val="a"/>
    <w:link w:val="4Char"/>
    <w:qFormat/>
    <w:rsid w:val="000A3D2F"/>
    <w:pPr>
      <w:keepNext/>
      <w:jc w:val="both"/>
      <w:outlineLvl w:val="3"/>
    </w:pPr>
    <w:rPr>
      <w:b/>
      <w:color w:val="000080"/>
      <w:sz w:val="40"/>
      <w:szCs w:val="22"/>
    </w:rPr>
  </w:style>
  <w:style w:type="paragraph" w:styleId="5">
    <w:name w:val="heading 5"/>
    <w:basedOn w:val="a"/>
    <w:next w:val="a"/>
    <w:link w:val="5Char"/>
    <w:qFormat/>
    <w:rsid w:val="000A3D2F"/>
    <w:pPr>
      <w:keepNext/>
      <w:shd w:val="clear" w:color="auto" w:fill="A6A6A6"/>
      <w:jc w:val="both"/>
      <w:outlineLvl w:val="4"/>
    </w:pPr>
    <w:rPr>
      <w:b/>
      <w:color w:val="FFFFFF"/>
      <w:sz w:val="26"/>
      <w:szCs w:val="22"/>
    </w:rPr>
  </w:style>
  <w:style w:type="paragraph" w:styleId="6">
    <w:name w:val="heading 6"/>
    <w:basedOn w:val="a"/>
    <w:next w:val="a"/>
    <w:link w:val="6Char"/>
    <w:qFormat/>
    <w:rsid w:val="00FB2BFA"/>
    <w:pPr>
      <w:keepNext/>
      <w:autoSpaceDE w:val="0"/>
      <w:autoSpaceDN w:val="0"/>
      <w:adjustRightInd w:val="0"/>
      <w:jc w:val="center"/>
      <w:outlineLvl w:val="5"/>
    </w:pPr>
    <w:rPr>
      <w:rFonts w:ascii="Arial Narrow" w:hAnsi="Arial Narrow" w:cs="TimesNewRoman,Bold"/>
      <w:b/>
      <w:bCs/>
      <w:sz w:val="16"/>
      <w:szCs w:val="16"/>
    </w:rPr>
  </w:style>
  <w:style w:type="paragraph" w:styleId="7">
    <w:name w:val="heading 7"/>
    <w:basedOn w:val="a"/>
    <w:next w:val="a"/>
    <w:link w:val="7Char"/>
    <w:qFormat/>
    <w:rsid w:val="00FB4F41"/>
    <w:pPr>
      <w:spacing w:before="240" w:after="60"/>
      <w:outlineLvl w:val="6"/>
    </w:pPr>
  </w:style>
  <w:style w:type="paragraph" w:styleId="8">
    <w:name w:val="heading 8"/>
    <w:basedOn w:val="a"/>
    <w:next w:val="a"/>
    <w:link w:val="8Char"/>
    <w:qFormat/>
    <w:rsid w:val="00FB76D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40E4A"/>
    <w:pPr>
      <w:tabs>
        <w:tab w:val="center" w:pos="4153"/>
        <w:tab w:val="right" w:pos="8306"/>
      </w:tabs>
    </w:pPr>
  </w:style>
  <w:style w:type="paragraph" w:styleId="a4">
    <w:name w:val="footer"/>
    <w:basedOn w:val="a"/>
    <w:link w:val="Char0"/>
    <w:rsid w:val="00D40E4A"/>
    <w:pPr>
      <w:tabs>
        <w:tab w:val="center" w:pos="4153"/>
        <w:tab w:val="right" w:pos="8306"/>
      </w:tabs>
    </w:pPr>
  </w:style>
  <w:style w:type="character" w:styleId="a5">
    <w:name w:val="page number"/>
    <w:basedOn w:val="a0"/>
    <w:rsid w:val="00D40E4A"/>
  </w:style>
  <w:style w:type="paragraph" w:styleId="a6">
    <w:name w:val="Balloon Text"/>
    <w:basedOn w:val="a"/>
    <w:link w:val="Char1"/>
    <w:semiHidden/>
    <w:rsid w:val="001561CD"/>
    <w:rPr>
      <w:rFonts w:ascii="Tahoma" w:hAnsi="Tahoma" w:cs="Tahoma"/>
      <w:sz w:val="16"/>
      <w:szCs w:val="16"/>
    </w:rPr>
  </w:style>
  <w:style w:type="table" w:styleId="a7">
    <w:name w:val="Table Grid"/>
    <w:basedOn w:val="a1"/>
    <w:rsid w:val="00CA4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Char2"/>
    <w:rsid w:val="00051FCC"/>
    <w:pPr>
      <w:tabs>
        <w:tab w:val="left" w:pos="1080"/>
        <w:tab w:val="left" w:pos="1260"/>
      </w:tabs>
      <w:ind w:left="1260" w:hanging="900"/>
    </w:pPr>
    <w:rPr>
      <w:rFonts w:ascii="Arial Narrow" w:hAnsi="Arial Narrow"/>
      <w:sz w:val="16"/>
      <w:szCs w:val="16"/>
    </w:rPr>
  </w:style>
  <w:style w:type="paragraph" w:styleId="a9">
    <w:name w:val="Body Text"/>
    <w:basedOn w:val="a"/>
    <w:link w:val="Char3"/>
    <w:rsid w:val="000D6D97"/>
    <w:pPr>
      <w:spacing w:after="120"/>
    </w:pPr>
  </w:style>
  <w:style w:type="paragraph" w:styleId="aa">
    <w:name w:val="footnote text"/>
    <w:basedOn w:val="a"/>
    <w:link w:val="Char4"/>
    <w:semiHidden/>
    <w:rsid w:val="006F4ECD"/>
    <w:rPr>
      <w:sz w:val="20"/>
      <w:szCs w:val="20"/>
      <w:lang w:val="en-GB" w:eastAsia="en-US"/>
    </w:rPr>
  </w:style>
  <w:style w:type="character" w:styleId="ab">
    <w:name w:val="footnote reference"/>
    <w:basedOn w:val="a0"/>
    <w:semiHidden/>
    <w:rsid w:val="006F4ECD"/>
    <w:rPr>
      <w:vertAlign w:val="superscript"/>
    </w:rPr>
  </w:style>
  <w:style w:type="paragraph" w:styleId="30">
    <w:name w:val="Body Text Indent 3"/>
    <w:basedOn w:val="a"/>
    <w:link w:val="3Char0"/>
    <w:rsid w:val="008546FE"/>
    <w:pPr>
      <w:spacing w:after="120"/>
      <w:ind w:left="283"/>
    </w:pPr>
    <w:rPr>
      <w:sz w:val="16"/>
      <w:szCs w:val="16"/>
    </w:rPr>
  </w:style>
  <w:style w:type="character" w:styleId="ac">
    <w:name w:val="annotation reference"/>
    <w:basedOn w:val="a0"/>
    <w:semiHidden/>
    <w:rsid w:val="008413BC"/>
    <w:rPr>
      <w:sz w:val="16"/>
      <w:szCs w:val="16"/>
    </w:rPr>
  </w:style>
  <w:style w:type="paragraph" w:styleId="ad">
    <w:name w:val="annotation text"/>
    <w:basedOn w:val="a"/>
    <w:link w:val="Char5"/>
    <w:semiHidden/>
    <w:rsid w:val="008413BC"/>
    <w:rPr>
      <w:sz w:val="20"/>
      <w:szCs w:val="20"/>
    </w:rPr>
  </w:style>
  <w:style w:type="paragraph" w:styleId="ae">
    <w:name w:val="annotation subject"/>
    <w:basedOn w:val="ad"/>
    <w:next w:val="ad"/>
    <w:link w:val="Char6"/>
    <w:semiHidden/>
    <w:rsid w:val="008413BC"/>
    <w:rPr>
      <w:b/>
      <w:bCs/>
    </w:rPr>
  </w:style>
  <w:style w:type="character" w:customStyle="1" w:styleId="1Char">
    <w:name w:val="Επικεφαλίδα 1 Char"/>
    <w:basedOn w:val="a0"/>
    <w:link w:val="1"/>
    <w:rsid w:val="000D0A85"/>
    <w:rPr>
      <w:rFonts w:ascii="Arial" w:hAnsi="Arial" w:cs="Arial"/>
      <w:b/>
      <w:bCs/>
      <w:kern w:val="32"/>
      <w:sz w:val="32"/>
      <w:szCs w:val="32"/>
    </w:rPr>
  </w:style>
  <w:style w:type="character" w:customStyle="1" w:styleId="2Char">
    <w:name w:val="Επικεφαλίδα 2 Char"/>
    <w:basedOn w:val="a0"/>
    <w:link w:val="2"/>
    <w:rsid w:val="000D0A85"/>
    <w:rPr>
      <w:rFonts w:ascii="Arial" w:hAnsi="Arial" w:cs="Arial"/>
      <w:b/>
      <w:bCs/>
      <w:i/>
      <w:iCs/>
      <w:sz w:val="28"/>
      <w:szCs w:val="28"/>
    </w:rPr>
  </w:style>
  <w:style w:type="character" w:customStyle="1" w:styleId="3Char">
    <w:name w:val="Επικεφαλίδα 3 Char"/>
    <w:basedOn w:val="a0"/>
    <w:link w:val="3"/>
    <w:rsid w:val="000D0A85"/>
    <w:rPr>
      <w:rFonts w:ascii="Arial" w:hAnsi="Arial" w:cs="Arial"/>
      <w:b/>
      <w:bCs/>
      <w:sz w:val="26"/>
      <w:szCs w:val="26"/>
    </w:rPr>
  </w:style>
  <w:style w:type="character" w:customStyle="1" w:styleId="4Char">
    <w:name w:val="Επικεφαλίδα 4 Char"/>
    <w:basedOn w:val="a0"/>
    <w:link w:val="4"/>
    <w:rsid w:val="000D0A85"/>
    <w:rPr>
      <w:b/>
      <w:color w:val="000080"/>
      <w:sz w:val="40"/>
      <w:szCs w:val="22"/>
    </w:rPr>
  </w:style>
  <w:style w:type="character" w:customStyle="1" w:styleId="5Char">
    <w:name w:val="Επικεφαλίδα 5 Char"/>
    <w:basedOn w:val="a0"/>
    <w:link w:val="5"/>
    <w:rsid w:val="000D0A85"/>
    <w:rPr>
      <w:b/>
      <w:color w:val="FFFFFF"/>
      <w:sz w:val="26"/>
      <w:szCs w:val="22"/>
      <w:shd w:val="clear" w:color="auto" w:fill="A6A6A6"/>
    </w:rPr>
  </w:style>
  <w:style w:type="character" w:customStyle="1" w:styleId="6Char">
    <w:name w:val="Επικεφαλίδα 6 Char"/>
    <w:basedOn w:val="a0"/>
    <w:link w:val="6"/>
    <w:rsid w:val="000D0A85"/>
    <w:rPr>
      <w:rFonts w:ascii="Arial Narrow" w:hAnsi="Arial Narrow" w:cs="TimesNewRoman,Bold"/>
      <w:b/>
      <w:bCs/>
      <w:sz w:val="16"/>
      <w:szCs w:val="16"/>
    </w:rPr>
  </w:style>
  <w:style w:type="character" w:customStyle="1" w:styleId="7Char">
    <w:name w:val="Επικεφαλίδα 7 Char"/>
    <w:basedOn w:val="a0"/>
    <w:link w:val="7"/>
    <w:rsid w:val="000D0A85"/>
    <w:rPr>
      <w:sz w:val="24"/>
      <w:szCs w:val="24"/>
    </w:rPr>
  </w:style>
  <w:style w:type="character" w:customStyle="1" w:styleId="8Char">
    <w:name w:val="Επικεφαλίδα 8 Char"/>
    <w:basedOn w:val="a0"/>
    <w:link w:val="8"/>
    <w:rsid w:val="000D0A85"/>
    <w:rPr>
      <w:i/>
      <w:iCs/>
      <w:sz w:val="24"/>
      <w:szCs w:val="24"/>
    </w:rPr>
  </w:style>
  <w:style w:type="character" w:customStyle="1" w:styleId="Char">
    <w:name w:val="Κεφαλίδα Char"/>
    <w:basedOn w:val="a0"/>
    <w:link w:val="a3"/>
    <w:rsid w:val="000D0A85"/>
    <w:rPr>
      <w:sz w:val="24"/>
      <w:szCs w:val="24"/>
    </w:rPr>
  </w:style>
  <w:style w:type="character" w:customStyle="1" w:styleId="Char0">
    <w:name w:val="Υποσέλιδο Char"/>
    <w:basedOn w:val="a0"/>
    <w:link w:val="a4"/>
    <w:rsid w:val="000D0A85"/>
    <w:rPr>
      <w:sz w:val="24"/>
      <w:szCs w:val="24"/>
    </w:rPr>
  </w:style>
  <w:style w:type="character" w:customStyle="1" w:styleId="Char1">
    <w:name w:val="Κείμενο πλαισίου Char"/>
    <w:basedOn w:val="a0"/>
    <w:link w:val="a6"/>
    <w:semiHidden/>
    <w:rsid w:val="000D0A85"/>
    <w:rPr>
      <w:rFonts w:ascii="Tahoma" w:hAnsi="Tahoma" w:cs="Tahoma"/>
      <w:sz w:val="16"/>
      <w:szCs w:val="16"/>
    </w:rPr>
  </w:style>
  <w:style w:type="character" w:customStyle="1" w:styleId="Char2">
    <w:name w:val="Σώμα κείμενου με εσοχή Char"/>
    <w:basedOn w:val="a0"/>
    <w:link w:val="a8"/>
    <w:rsid w:val="000D0A85"/>
    <w:rPr>
      <w:rFonts w:ascii="Arial Narrow" w:hAnsi="Arial Narrow"/>
      <w:sz w:val="16"/>
      <w:szCs w:val="16"/>
    </w:rPr>
  </w:style>
  <w:style w:type="character" w:customStyle="1" w:styleId="Char3">
    <w:name w:val="Σώμα κειμένου Char"/>
    <w:basedOn w:val="a0"/>
    <w:link w:val="a9"/>
    <w:rsid w:val="000D0A85"/>
    <w:rPr>
      <w:sz w:val="24"/>
      <w:szCs w:val="24"/>
    </w:rPr>
  </w:style>
  <w:style w:type="character" w:customStyle="1" w:styleId="Char4">
    <w:name w:val="Κείμενο υποσημείωσης Char"/>
    <w:basedOn w:val="a0"/>
    <w:link w:val="aa"/>
    <w:semiHidden/>
    <w:rsid w:val="000D0A85"/>
    <w:rPr>
      <w:lang w:val="en-GB" w:eastAsia="en-US"/>
    </w:rPr>
  </w:style>
  <w:style w:type="character" w:customStyle="1" w:styleId="3Char0">
    <w:name w:val="Σώμα κείμενου με εσοχή 3 Char"/>
    <w:basedOn w:val="a0"/>
    <w:link w:val="30"/>
    <w:rsid w:val="000D0A85"/>
    <w:rPr>
      <w:sz w:val="16"/>
      <w:szCs w:val="16"/>
    </w:rPr>
  </w:style>
  <w:style w:type="character" w:customStyle="1" w:styleId="Char5">
    <w:name w:val="Κείμενο σχολίου Char"/>
    <w:basedOn w:val="a0"/>
    <w:link w:val="ad"/>
    <w:semiHidden/>
    <w:rsid w:val="000D0A85"/>
  </w:style>
  <w:style w:type="character" w:customStyle="1" w:styleId="Char6">
    <w:name w:val="Θέμα σχολίου Char"/>
    <w:basedOn w:val="Char5"/>
    <w:link w:val="ae"/>
    <w:semiHidden/>
    <w:rsid w:val="000D0A85"/>
    <w:rPr>
      <w:b/>
      <w:bCs/>
    </w:rPr>
  </w:style>
  <w:style w:type="paragraph" w:styleId="af">
    <w:name w:val="List Paragraph"/>
    <w:basedOn w:val="a"/>
    <w:uiPriority w:val="34"/>
    <w:qFormat/>
    <w:rsid w:val="00B14D84"/>
    <w:pPr>
      <w:ind w:left="720"/>
      <w:contextualSpacing/>
    </w:pPr>
  </w:style>
</w:styles>
</file>

<file path=word/webSettings.xml><?xml version="1.0" encoding="utf-8"?>
<w:webSettings xmlns:r="http://schemas.openxmlformats.org/officeDocument/2006/relationships" xmlns:w="http://schemas.openxmlformats.org/wordprocessingml/2006/main">
  <w:divs>
    <w:div w:id="179634313">
      <w:bodyDiv w:val="1"/>
      <w:marLeft w:val="0"/>
      <w:marRight w:val="0"/>
      <w:marTop w:val="0"/>
      <w:marBottom w:val="0"/>
      <w:divBdr>
        <w:top w:val="none" w:sz="0" w:space="0" w:color="auto"/>
        <w:left w:val="none" w:sz="0" w:space="0" w:color="auto"/>
        <w:bottom w:val="none" w:sz="0" w:space="0" w:color="auto"/>
        <w:right w:val="none" w:sz="0" w:space="0" w:color="auto"/>
      </w:divBdr>
    </w:div>
    <w:div w:id="183635223">
      <w:bodyDiv w:val="1"/>
      <w:marLeft w:val="0"/>
      <w:marRight w:val="0"/>
      <w:marTop w:val="0"/>
      <w:marBottom w:val="0"/>
      <w:divBdr>
        <w:top w:val="none" w:sz="0" w:space="0" w:color="auto"/>
        <w:left w:val="none" w:sz="0" w:space="0" w:color="auto"/>
        <w:bottom w:val="none" w:sz="0" w:space="0" w:color="auto"/>
        <w:right w:val="none" w:sz="0" w:space="0" w:color="auto"/>
      </w:divBdr>
    </w:div>
    <w:div w:id="207765354">
      <w:bodyDiv w:val="1"/>
      <w:marLeft w:val="0"/>
      <w:marRight w:val="0"/>
      <w:marTop w:val="0"/>
      <w:marBottom w:val="0"/>
      <w:divBdr>
        <w:top w:val="none" w:sz="0" w:space="0" w:color="auto"/>
        <w:left w:val="none" w:sz="0" w:space="0" w:color="auto"/>
        <w:bottom w:val="none" w:sz="0" w:space="0" w:color="auto"/>
        <w:right w:val="none" w:sz="0" w:space="0" w:color="auto"/>
      </w:divBdr>
    </w:div>
    <w:div w:id="427703205">
      <w:bodyDiv w:val="1"/>
      <w:marLeft w:val="0"/>
      <w:marRight w:val="0"/>
      <w:marTop w:val="0"/>
      <w:marBottom w:val="0"/>
      <w:divBdr>
        <w:top w:val="none" w:sz="0" w:space="0" w:color="auto"/>
        <w:left w:val="none" w:sz="0" w:space="0" w:color="auto"/>
        <w:bottom w:val="none" w:sz="0" w:space="0" w:color="auto"/>
        <w:right w:val="none" w:sz="0" w:space="0" w:color="auto"/>
      </w:divBdr>
    </w:div>
    <w:div w:id="532233174">
      <w:bodyDiv w:val="1"/>
      <w:marLeft w:val="0"/>
      <w:marRight w:val="0"/>
      <w:marTop w:val="0"/>
      <w:marBottom w:val="0"/>
      <w:divBdr>
        <w:top w:val="none" w:sz="0" w:space="0" w:color="auto"/>
        <w:left w:val="none" w:sz="0" w:space="0" w:color="auto"/>
        <w:bottom w:val="none" w:sz="0" w:space="0" w:color="auto"/>
        <w:right w:val="none" w:sz="0" w:space="0" w:color="auto"/>
      </w:divBdr>
    </w:div>
    <w:div w:id="610867561">
      <w:bodyDiv w:val="1"/>
      <w:marLeft w:val="0"/>
      <w:marRight w:val="0"/>
      <w:marTop w:val="0"/>
      <w:marBottom w:val="0"/>
      <w:divBdr>
        <w:top w:val="none" w:sz="0" w:space="0" w:color="auto"/>
        <w:left w:val="none" w:sz="0" w:space="0" w:color="auto"/>
        <w:bottom w:val="none" w:sz="0" w:space="0" w:color="auto"/>
        <w:right w:val="none" w:sz="0" w:space="0" w:color="auto"/>
      </w:divBdr>
    </w:div>
    <w:div w:id="644241699">
      <w:bodyDiv w:val="1"/>
      <w:marLeft w:val="0"/>
      <w:marRight w:val="0"/>
      <w:marTop w:val="0"/>
      <w:marBottom w:val="0"/>
      <w:divBdr>
        <w:top w:val="none" w:sz="0" w:space="0" w:color="auto"/>
        <w:left w:val="none" w:sz="0" w:space="0" w:color="auto"/>
        <w:bottom w:val="none" w:sz="0" w:space="0" w:color="auto"/>
        <w:right w:val="none" w:sz="0" w:space="0" w:color="auto"/>
      </w:divBdr>
    </w:div>
    <w:div w:id="773788644">
      <w:bodyDiv w:val="1"/>
      <w:marLeft w:val="0"/>
      <w:marRight w:val="0"/>
      <w:marTop w:val="0"/>
      <w:marBottom w:val="0"/>
      <w:divBdr>
        <w:top w:val="none" w:sz="0" w:space="0" w:color="auto"/>
        <w:left w:val="none" w:sz="0" w:space="0" w:color="auto"/>
        <w:bottom w:val="none" w:sz="0" w:space="0" w:color="auto"/>
        <w:right w:val="none" w:sz="0" w:space="0" w:color="auto"/>
      </w:divBdr>
    </w:div>
    <w:div w:id="809833804">
      <w:bodyDiv w:val="1"/>
      <w:marLeft w:val="0"/>
      <w:marRight w:val="0"/>
      <w:marTop w:val="0"/>
      <w:marBottom w:val="0"/>
      <w:divBdr>
        <w:top w:val="none" w:sz="0" w:space="0" w:color="auto"/>
        <w:left w:val="none" w:sz="0" w:space="0" w:color="auto"/>
        <w:bottom w:val="none" w:sz="0" w:space="0" w:color="auto"/>
        <w:right w:val="none" w:sz="0" w:space="0" w:color="auto"/>
      </w:divBdr>
    </w:div>
    <w:div w:id="936643766">
      <w:bodyDiv w:val="1"/>
      <w:marLeft w:val="0"/>
      <w:marRight w:val="0"/>
      <w:marTop w:val="0"/>
      <w:marBottom w:val="0"/>
      <w:divBdr>
        <w:top w:val="none" w:sz="0" w:space="0" w:color="auto"/>
        <w:left w:val="none" w:sz="0" w:space="0" w:color="auto"/>
        <w:bottom w:val="none" w:sz="0" w:space="0" w:color="auto"/>
        <w:right w:val="none" w:sz="0" w:space="0" w:color="auto"/>
      </w:divBdr>
    </w:div>
    <w:div w:id="970284907">
      <w:bodyDiv w:val="1"/>
      <w:marLeft w:val="0"/>
      <w:marRight w:val="0"/>
      <w:marTop w:val="0"/>
      <w:marBottom w:val="0"/>
      <w:divBdr>
        <w:top w:val="none" w:sz="0" w:space="0" w:color="auto"/>
        <w:left w:val="none" w:sz="0" w:space="0" w:color="auto"/>
        <w:bottom w:val="none" w:sz="0" w:space="0" w:color="auto"/>
        <w:right w:val="none" w:sz="0" w:space="0" w:color="auto"/>
      </w:divBdr>
    </w:div>
    <w:div w:id="1258367766">
      <w:bodyDiv w:val="1"/>
      <w:marLeft w:val="0"/>
      <w:marRight w:val="0"/>
      <w:marTop w:val="0"/>
      <w:marBottom w:val="0"/>
      <w:divBdr>
        <w:top w:val="none" w:sz="0" w:space="0" w:color="auto"/>
        <w:left w:val="none" w:sz="0" w:space="0" w:color="auto"/>
        <w:bottom w:val="none" w:sz="0" w:space="0" w:color="auto"/>
        <w:right w:val="none" w:sz="0" w:space="0" w:color="auto"/>
      </w:divBdr>
    </w:div>
    <w:div w:id="1264460739">
      <w:bodyDiv w:val="1"/>
      <w:marLeft w:val="0"/>
      <w:marRight w:val="0"/>
      <w:marTop w:val="0"/>
      <w:marBottom w:val="0"/>
      <w:divBdr>
        <w:top w:val="none" w:sz="0" w:space="0" w:color="auto"/>
        <w:left w:val="none" w:sz="0" w:space="0" w:color="auto"/>
        <w:bottom w:val="none" w:sz="0" w:space="0" w:color="auto"/>
        <w:right w:val="none" w:sz="0" w:space="0" w:color="auto"/>
      </w:divBdr>
    </w:div>
    <w:div w:id="1297686385">
      <w:bodyDiv w:val="1"/>
      <w:marLeft w:val="0"/>
      <w:marRight w:val="0"/>
      <w:marTop w:val="0"/>
      <w:marBottom w:val="0"/>
      <w:divBdr>
        <w:top w:val="none" w:sz="0" w:space="0" w:color="auto"/>
        <w:left w:val="none" w:sz="0" w:space="0" w:color="auto"/>
        <w:bottom w:val="none" w:sz="0" w:space="0" w:color="auto"/>
        <w:right w:val="none" w:sz="0" w:space="0" w:color="auto"/>
      </w:divBdr>
    </w:div>
    <w:div w:id="1604072080">
      <w:bodyDiv w:val="1"/>
      <w:marLeft w:val="0"/>
      <w:marRight w:val="0"/>
      <w:marTop w:val="0"/>
      <w:marBottom w:val="0"/>
      <w:divBdr>
        <w:top w:val="none" w:sz="0" w:space="0" w:color="auto"/>
        <w:left w:val="none" w:sz="0" w:space="0" w:color="auto"/>
        <w:bottom w:val="none" w:sz="0" w:space="0" w:color="auto"/>
        <w:right w:val="none" w:sz="0" w:space="0" w:color="auto"/>
      </w:divBdr>
    </w:div>
    <w:div w:id="1651250697">
      <w:bodyDiv w:val="1"/>
      <w:marLeft w:val="0"/>
      <w:marRight w:val="0"/>
      <w:marTop w:val="0"/>
      <w:marBottom w:val="0"/>
      <w:divBdr>
        <w:top w:val="none" w:sz="0" w:space="0" w:color="auto"/>
        <w:left w:val="none" w:sz="0" w:space="0" w:color="auto"/>
        <w:bottom w:val="none" w:sz="0" w:space="0" w:color="auto"/>
        <w:right w:val="none" w:sz="0" w:space="0" w:color="auto"/>
      </w:divBdr>
    </w:div>
    <w:div w:id="1721441617">
      <w:bodyDiv w:val="1"/>
      <w:marLeft w:val="0"/>
      <w:marRight w:val="0"/>
      <w:marTop w:val="0"/>
      <w:marBottom w:val="0"/>
      <w:divBdr>
        <w:top w:val="none" w:sz="0" w:space="0" w:color="auto"/>
        <w:left w:val="none" w:sz="0" w:space="0" w:color="auto"/>
        <w:bottom w:val="none" w:sz="0" w:space="0" w:color="auto"/>
        <w:right w:val="none" w:sz="0" w:space="0" w:color="auto"/>
      </w:divBdr>
    </w:div>
    <w:div w:id="1782188048">
      <w:bodyDiv w:val="1"/>
      <w:marLeft w:val="0"/>
      <w:marRight w:val="0"/>
      <w:marTop w:val="0"/>
      <w:marBottom w:val="0"/>
      <w:divBdr>
        <w:top w:val="none" w:sz="0" w:space="0" w:color="auto"/>
        <w:left w:val="none" w:sz="0" w:space="0" w:color="auto"/>
        <w:bottom w:val="none" w:sz="0" w:space="0" w:color="auto"/>
        <w:right w:val="none" w:sz="0" w:space="0" w:color="auto"/>
      </w:divBdr>
    </w:div>
    <w:div w:id="1789082422">
      <w:bodyDiv w:val="1"/>
      <w:marLeft w:val="0"/>
      <w:marRight w:val="0"/>
      <w:marTop w:val="0"/>
      <w:marBottom w:val="0"/>
      <w:divBdr>
        <w:top w:val="none" w:sz="0" w:space="0" w:color="auto"/>
        <w:left w:val="none" w:sz="0" w:space="0" w:color="auto"/>
        <w:bottom w:val="none" w:sz="0" w:space="0" w:color="auto"/>
        <w:right w:val="none" w:sz="0" w:space="0" w:color="auto"/>
      </w:divBdr>
    </w:div>
    <w:div w:id="1826582240">
      <w:bodyDiv w:val="1"/>
      <w:marLeft w:val="0"/>
      <w:marRight w:val="0"/>
      <w:marTop w:val="0"/>
      <w:marBottom w:val="0"/>
      <w:divBdr>
        <w:top w:val="none" w:sz="0" w:space="0" w:color="auto"/>
        <w:left w:val="none" w:sz="0" w:space="0" w:color="auto"/>
        <w:bottom w:val="none" w:sz="0" w:space="0" w:color="auto"/>
        <w:right w:val="none" w:sz="0" w:space="0" w:color="auto"/>
      </w:divBdr>
    </w:div>
    <w:div w:id="212318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EIS_20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pxristoforidou\Desktop\NEO_PC_D20_UO1\OLA_EPIFANEIA\OLD\&#932;&#945;%20&#941;&#947;&#947;&#961;&#945;&#966;&#940;%20&#956;&#959;&#965;\2019\&#917;&#921;&#931;&#919;&#915;&#919;&#932;&#921;&#922;&#919;_2019\17_11\DHMXREOS\&#916;&#953;&#945;&#947;&#961;&#940;&#956;&#956;&#945;&#964;&#945;%20&#954;&#945;&#953;%20&#960;&#943;&#957;&#945;&#954;&#949;&#962;%20&#917;&#953;&#963;&#951;&#947;&#951;&#964;&#953;&#954;&#942;&#962;_2019_16.11_&#925;&#941;&#945;.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xristoforidou\Desktop\NEO_PC_D20_UO1\OLA_EPIFANEIA\OLD\&#932;&#945;%20&#941;&#947;&#947;&#961;&#945;&#966;&#940;%20&#956;&#959;&#965;\2016\&#917;&#921;&#931;&#919;&#915;&#919;&#932;&#921;&#922;&#919;%20&#917;&#922;&#920;&#917;&#931;&#919;%202016\&#915;&#961;&#940;&#966;&#951;&#956;&#945;%20&#963;&#964;&#959;%20Microsoft%20Office%20Word_eggyhse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6.9358540227501861E-2"/>
          <c:y val="8.7480925349447597E-2"/>
          <c:w val="0.90957428322190659"/>
          <c:h val="0.71548230889742881"/>
        </c:manualLayout>
      </c:layout>
      <c:barChart>
        <c:barDir val="col"/>
        <c:grouping val="stacked"/>
        <c:ser>
          <c:idx val="0"/>
          <c:order val="0"/>
          <c:tx>
            <c:strRef>
              <c:f>'Diagramma 4-1'!$B$1</c:f>
              <c:strCache>
                <c:ptCount val="1"/>
                <c:pt idx="0">
                  <c:v>Έντοκα</c:v>
                </c:pt>
              </c:strCache>
            </c:strRef>
          </c:tx>
          <c:spPr>
            <a:solidFill>
              <a:srgbClr val="F79646">
                <a:lumMod val="75000"/>
              </a:srgbClr>
            </a:solidFill>
            <a:ln w="12700">
              <a:noFill/>
              <a:prstDash val="solid"/>
            </a:ln>
          </c:spPr>
          <c:cat>
            <c:strRef>
              <c:f>'Diagramma 4-1'!$A$2:$A$44</c:f>
              <c:strCache>
                <c:ptCount val="43"/>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strCache>
            </c:strRef>
          </c:cat>
          <c:val>
            <c:numRef>
              <c:f>'Diagramma 4-1'!$B$2:$B$3</c:f>
              <c:numCache>
                <c:formatCode>#,##0.0</c:formatCode>
                <c:ptCount val="2"/>
                <c:pt idx="0">
                  <c:v>7839.2</c:v>
                </c:pt>
                <c:pt idx="1">
                  <c:v>7444.1</c:v>
                </c:pt>
              </c:numCache>
            </c:numRef>
          </c:val>
        </c:ser>
        <c:ser>
          <c:idx val="3"/>
          <c:order val="1"/>
          <c:tx>
            <c:strRef>
              <c:f>'Diagramma 4-1'!$C$1</c:f>
              <c:strCache>
                <c:ptCount val="1"/>
                <c:pt idx="0">
                  <c:v>Repos</c:v>
                </c:pt>
              </c:strCache>
            </c:strRef>
          </c:tx>
          <c:spPr>
            <a:solidFill>
              <a:srgbClr val="FFFF00"/>
            </a:solidFill>
          </c:spPr>
          <c:cat>
            <c:strRef>
              <c:f>'Diagramma 4-1'!$A$2:$A$44</c:f>
              <c:strCache>
                <c:ptCount val="43"/>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strCache>
            </c:strRef>
          </c:cat>
          <c:val>
            <c:numRef>
              <c:f>'Diagramma 4-1'!$C$2</c:f>
              <c:numCache>
                <c:formatCode>#,##0.0</c:formatCode>
                <c:ptCount val="1"/>
                <c:pt idx="0">
                  <c:v>21212.5</c:v>
                </c:pt>
              </c:numCache>
            </c:numRef>
          </c:val>
        </c:ser>
        <c:ser>
          <c:idx val="1"/>
          <c:order val="2"/>
          <c:tx>
            <c:strRef>
              <c:f>'Diagramma 4-1'!$D$1</c:f>
              <c:strCache>
                <c:ptCount val="1"/>
                <c:pt idx="0">
                  <c:v>Ομόλογα</c:v>
                </c:pt>
              </c:strCache>
            </c:strRef>
          </c:tx>
          <c:spPr>
            <a:solidFill>
              <a:srgbClr val="9BBB59">
                <a:lumMod val="60000"/>
                <a:lumOff val="40000"/>
              </a:srgbClr>
            </a:solidFill>
          </c:spPr>
          <c:cat>
            <c:strRef>
              <c:f>'Diagramma 4-1'!$A$2:$A$44</c:f>
              <c:strCache>
                <c:ptCount val="43"/>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strCache>
            </c:strRef>
          </c:cat>
          <c:val>
            <c:numRef>
              <c:f>'Diagramma 4-1'!$D$2:$D$44</c:f>
              <c:numCache>
                <c:formatCode>#,##0.0</c:formatCode>
                <c:ptCount val="43"/>
                <c:pt idx="0">
                  <c:v>0</c:v>
                </c:pt>
                <c:pt idx="1">
                  <c:v>8778.2999999999811</c:v>
                </c:pt>
                <c:pt idx="2">
                  <c:v>1366.4</c:v>
                </c:pt>
                <c:pt idx="3">
                  <c:v>0</c:v>
                </c:pt>
                <c:pt idx="4">
                  <c:v>4312.2</c:v>
                </c:pt>
                <c:pt idx="5">
                  <c:v>4906.4000000000005</c:v>
                </c:pt>
                <c:pt idx="6">
                  <c:v>1750.9</c:v>
                </c:pt>
                <c:pt idx="7">
                  <c:v>3484.9</c:v>
                </c:pt>
                <c:pt idx="8">
                  <c:v>1149</c:v>
                </c:pt>
                <c:pt idx="9">
                  <c:v>160.6</c:v>
                </c:pt>
                <c:pt idx="10">
                  <c:v>6346</c:v>
                </c:pt>
                <c:pt idx="11">
                  <c:v>164.8</c:v>
                </c:pt>
                <c:pt idx="12">
                  <c:v>254.1</c:v>
                </c:pt>
                <c:pt idx="13">
                  <c:v>129</c:v>
                </c:pt>
                <c:pt idx="14">
                  <c:v>126.2</c:v>
                </c:pt>
                <c:pt idx="15">
                  <c:v>6238.1</c:v>
                </c:pt>
                <c:pt idx="16">
                  <c:v>468.3</c:v>
                </c:pt>
                <c:pt idx="17">
                  <c:v>144.4</c:v>
                </c:pt>
                <c:pt idx="18">
                  <c:v>166.2</c:v>
                </c:pt>
                <c:pt idx="19">
                  <c:v>5083.7</c:v>
                </c:pt>
                <c:pt idx="20">
                  <c:v>146.9</c:v>
                </c:pt>
                <c:pt idx="21">
                  <c:v>135.1</c:v>
                </c:pt>
                <c:pt idx="22">
                  <c:v>141.9</c:v>
                </c:pt>
                <c:pt idx="23">
                  <c:v>136.80000000000001</c:v>
                </c:pt>
                <c:pt idx="24">
                  <c:v>4767.4000000000005</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1181.7</c:v>
                </c:pt>
                <c:pt idx="40" formatCode="General">
                  <c:v>0</c:v>
                </c:pt>
                <c:pt idx="41">
                  <c:v>0</c:v>
                </c:pt>
                <c:pt idx="42">
                  <c:v>0</c:v>
                </c:pt>
              </c:numCache>
            </c:numRef>
          </c:val>
        </c:ser>
        <c:ser>
          <c:idx val="2"/>
          <c:order val="3"/>
          <c:tx>
            <c:strRef>
              <c:f>'Diagramma 4-1'!$E$1</c:f>
              <c:strCache>
                <c:ptCount val="1"/>
                <c:pt idx="0">
                  <c:v>Δάνεια</c:v>
                </c:pt>
              </c:strCache>
            </c:strRef>
          </c:tx>
          <c:spPr>
            <a:solidFill>
              <a:srgbClr val="002060"/>
            </a:solidFill>
          </c:spPr>
          <c:cat>
            <c:strRef>
              <c:f>'Diagramma 4-1'!$A$2:$A$44</c:f>
              <c:strCache>
                <c:ptCount val="43"/>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strCache>
            </c:strRef>
          </c:cat>
          <c:val>
            <c:numRef>
              <c:f>'Diagramma 4-1'!$E$2:$E$44</c:f>
              <c:numCache>
                <c:formatCode>#,##0.0</c:formatCode>
                <c:ptCount val="43"/>
                <c:pt idx="0">
                  <c:v>482.7</c:v>
                </c:pt>
                <c:pt idx="1">
                  <c:v>2960.9</c:v>
                </c:pt>
                <c:pt idx="2">
                  <c:v>3674</c:v>
                </c:pt>
                <c:pt idx="3">
                  <c:v>5089.9000000000005</c:v>
                </c:pt>
                <c:pt idx="4">
                  <c:v>5535.3</c:v>
                </c:pt>
                <c:pt idx="5">
                  <c:v>7302.2</c:v>
                </c:pt>
                <c:pt idx="6">
                  <c:v>5924.5</c:v>
                </c:pt>
                <c:pt idx="7">
                  <c:v>5546.8</c:v>
                </c:pt>
                <c:pt idx="8">
                  <c:v>5553.6</c:v>
                </c:pt>
                <c:pt idx="9">
                  <c:v>6523.6</c:v>
                </c:pt>
                <c:pt idx="10">
                  <c:v>5970.2</c:v>
                </c:pt>
                <c:pt idx="11">
                  <c:v>5432.5</c:v>
                </c:pt>
                <c:pt idx="12">
                  <c:v>6000.6</c:v>
                </c:pt>
                <c:pt idx="13">
                  <c:v>5745.2</c:v>
                </c:pt>
                <c:pt idx="14">
                  <c:v>6050.6</c:v>
                </c:pt>
                <c:pt idx="15">
                  <c:v>5740.7</c:v>
                </c:pt>
                <c:pt idx="16">
                  <c:v>6454.5</c:v>
                </c:pt>
                <c:pt idx="17">
                  <c:v>6476.9</c:v>
                </c:pt>
                <c:pt idx="18">
                  <c:v>6490</c:v>
                </c:pt>
                <c:pt idx="19">
                  <c:v>6511.4</c:v>
                </c:pt>
                <c:pt idx="20">
                  <c:v>5926.4</c:v>
                </c:pt>
                <c:pt idx="21">
                  <c:v>5943.8</c:v>
                </c:pt>
                <c:pt idx="22">
                  <c:v>5254.9</c:v>
                </c:pt>
                <c:pt idx="23">
                  <c:v>3908.3</c:v>
                </c:pt>
                <c:pt idx="24">
                  <c:v>3348.7</c:v>
                </c:pt>
                <c:pt idx="25">
                  <c:v>5443.6</c:v>
                </c:pt>
                <c:pt idx="26">
                  <c:v>5464.5</c:v>
                </c:pt>
                <c:pt idx="27">
                  <c:v>6068.7</c:v>
                </c:pt>
                <c:pt idx="28">
                  <c:v>6489.6</c:v>
                </c:pt>
                <c:pt idx="29">
                  <c:v>7760.5</c:v>
                </c:pt>
                <c:pt idx="30">
                  <c:v>7581.1</c:v>
                </c:pt>
                <c:pt idx="31">
                  <c:v>8651.9</c:v>
                </c:pt>
                <c:pt idx="32">
                  <c:v>9176.2999999999811</c:v>
                </c:pt>
                <c:pt idx="33">
                  <c:v>10365.1</c:v>
                </c:pt>
                <c:pt idx="34">
                  <c:v>10529.7</c:v>
                </c:pt>
                <c:pt idx="35">
                  <c:v>10861</c:v>
                </c:pt>
                <c:pt idx="36">
                  <c:v>11220.3</c:v>
                </c:pt>
                <c:pt idx="37">
                  <c:v>10518.4</c:v>
                </c:pt>
                <c:pt idx="38">
                  <c:v>10544.4</c:v>
                </c:pt>
                <c:pt idx="39">
                  <c:v>3332.8</c:v>
                </c:pt>
                <c:pt idx="40">
                  <c:v>3358.7</c:v>
                </c:pt>
                <c:pt idx="41">
                  <c:v>3377</c:v>
                </c:pt>
                <c:pt idx="42">
                  <c:v>3407.4</c:v>
                </c:pt>
              </c:numCache>
            </c:numRef>
          </c:val>
        </c:ser>
        <c:gapWidth val="20"/>
        <c:overlap val="100"/>
        <c:axId val="160201344"/>
        <c:axId val="160215424"/>
      </c:barChart>
      <c:catAx>
        <c:axId val="160201344"/>
        <c:scaling>
          <c:orientation val="minMax"/>
        </c:scaling>
        <c:axPos val="b"/>
        <c:numFmt formatCode="@" sourceLinked="1"/>
        <c:tickLblPos val="nextTo"/>
        <c:spPr>
          <a:ln w="3175">
            <a:solidFill>
              <a:srgbClr val="000000"/>
            </a:solidFill>
            <a:prstDash val="solid"/>
          </a:ln>
        </c:spPr>
        <c:txPr>
          <a:bodyPr rot="0" vert="horz"/>
          <a:lstStyle/>
          <a:p>
            <a:pPr>
              <a:defRPr/>
            </a:pPr>
            <a:endParaRPr lang="el-GR"/>
          </a:p>
        </c:txPr>
        <c:crossAx val="160215424"/>
        <c:crosses val="autoZero"/>
        <c:auto val="1"/>
        <c:lblAlgn val="ctr"/>
        <c:lblOffset val="100"/>
        <c:tickLblSkip val="1"/>
        <c:tickMarkSkip val="1"/>
      </c:catAx>
      <c:valAx>
        <c:axId val="160215424"/>
        <c:scaling>
          <c:orientation val="minMax"/>
          <c:max val="30000"/>
          <c:min val="0"/>
        </c:scaling>
        <c:axPos val="l"/>
        <c:numFmt formatCode="#,##0" sourceLinked="0"/>
        <c:tickLblPos val="nextTo"/>
        <c:spPr>
          <a:ln w="3175">
            <a:solidFill>
              <a:srgbClr val="000000"/>
            </a:solidFill>
            <a:prstDash val="solid"/>
          </a:ln>
        </c:spPr>
        <c:txPr>
          <a:bodyPr rot="0" vert="horz"/>
          <a:lstStyle/>
          <a:p>
            <a:pPr>
              <a:defRPr/>
            </a:pPr>
            <a:endParaRPr lang="el-GR"/>
          </a:p>
        </c:txPr>
        <c:crossAx val="160201344"/>
        <c:crosses val="autoZero"/>
        <c:crossBetween val="between"/>
        <c:majorUnit val="2000"/>
      </c:valAx>
      <c:spPr>
        <a:solidFill>
          <a:srgbClr val="FFFFFF"/>
        </a:solidFill>
        <a:ln w="25400">
          <a:noFill/>
        </a:ln>
      </c:spPr>
    </c:plotArea>
    <c:legend>
      <c:legendPos val="b"/>
      <c:spPr>
        <a:solidFill>
          <a:srgbClr val="FFFFFF"/>
        </a:solidFill>
        <a:ln w="25400">
          <a:noFill/>
        </a:ln>
      </c:spPr>
    </c:legend>
    <c:plotVisOnly val="1"/>
    <c:dispBlanksAs val="gap"/>
  </c:chart>
  <c:spPr>
    <a:solidFill>
      <a:srgbClr val="FFFFFF"/>
    </a:solidFill>
    <a:ln w="9525">
      <a:noFill/>
    </a:ln>
  </c:spPr>
  <c:txPr>
    <a:bodyPr/>
    <a:lstStyle/>
    <a:p>
      <a:pPr>
        <a:defRPr sz="700" b="1" i="0" u="none" strike="noStrike" baseline="0">
          <a:solidFill>
            <a:srgbClr val="000000"/>
          </a:solidFill>
          <a:latin typeface="Arial Narrow" pitchFamily="34" charset="0"/>
          <a:ea typeface="Times New Roman"/>
          <a:cs typeface="Times New Roman"/>
        </a:defRPr>
      </a:pPr>
      <a:endParaRPr lang="el-G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view3D>
      <c:perspective val="0"/>
    </c:view3D>
    <c:plotArea>
      <c:layout>
        <c:manualLayout>
          <c:layoutTarget val="inner"/>
          <c:xMode val="edge"/>
          <c:yMode val="edge"/>
          <c:x val="9.5495663526998065E-2"/>
          <c:y val="0.22741502207159744"/>
          <c:w val="0.7261274037996267"/>
          <c:h val="0.49844388399254447"/>
        </c:manualLayout>
      </c:layout>
      <c:pie3DChart>
        <c:varyColors val="1"/>
        <c:ser>
          <c:idx val="0"/>
          <c:order val="0"/>
          <c:spPr>
            <a:solidFill>
              <a:srgbClr val="9999FF"/>
            </a:solidFill>
            <a:ln w="12700">
              <a:solidFill>
                <a:srgbClr val="000000"/>
              </a:solidFill>
              <a:prstDash val="solid"/>
            </a:ln>
          </c:spPr>
          <c:explosion val="3"/>
          <c:dPt>
            <c:idx val="1"/>
            <c:spPr>
              <a:solidFill>
                <a:srgbClr val="993366"/>
              </a:solidFill>
              <a:ln w="12700">
                <a:solidFill>
                  <a:srgbClr val="000000"/>
                </a:solidFill>
                <a:prstDash val="solid"/>
              </a:ln>
            </c:spPr>
          </c:dPt>
          <c:dPt>
            <c:idx val="2"/>
            <c:spPr>
              <a:solidFill>
                <a:srgbClr val="00FF00"/>
              </a:solidFill>
              <a:ln w="12700">
                <a:solidFill>
                  <a:srgbClr val="000000"/>
                </a:solidFill>
                <a:prstDash val="solid"/>
              </a:ln>
            </c:spPr>
          </c:dPt>
          <c:dPt>
            <c:idx val="3"/>
            <c:spPr>
              <a:solidFill>
                <a:srgbClr val="FF00FF"/>
              </a:solidFill>
              <a:ln w="12700">
                <a:solidFill>
                  <a:srgbClr val="000000"/>
                </a:solidFill>
                <a:prstDash val="solid"/>
              </a:ln>
            </c:spPr>
          </c:dPt>
          <c:dPt>
            <c:idx val="4"/>
            <c:spPr>
              <a:solidFill>
                <a:srgbClr val="00FFFF"/>
              </a:solidFill>
              <a:ln w="12700">
                <a:solidFill>
                  <a:srgbClr val="000000"/>
                </a:solidFill>
                <a:prstDash val="solid"/>
              </a:ln>
            </c:spPr>
          </c:dPt>
          <c:dPt>
            <c:idx val="5"/>
            <c:spPr>
              <a:solidFill>
                <a:srgbClr val="FFCC00"/>
              </a:solidFill>
              <a:ln w="12700">
                <a:solidFill>
                  <a:srgbClr val="000000"/>
                </a:solidFill>
                <a:prstDash val="solid"/>
              </a:ln>
            </c:spPr>
          </c:dPt>
          <c:dPt>
            <c:idx val="6"/>
            <c:spPr>
              <a:solidFill>
                <a:srgbClr val="FF6600"/>
              </a:solidFill>
              <a:ln w="12700">
                <a:solidFill>
                  <a:srgbClr val="000000"/>
                </a:solidFill>
                <a:prstDash val="solid"/>
              </a:ln>
            </c:spPr>
          </c:dPt>
          <c:dPt>
            <c:idx val="7"/>
            <c:spPr>
              <a:solidFill>
                <a:srgbClr val="FFFF00"/>
              </a:solidFill>
              <a:ln w="12700">
                <a:solidFill>
                  <a:srgbClr val="000000"/>
                </a:solidFill>
                <a:prstDash val="solid"/>
              </a:ln>
            </c:spPr>
          </c:dPt>
          <c:dLbls>
            <c:dLbl>
              <c:idx val="0"/>
              <c:layout>
                <c:manualLayout>
                  <c:x val="-0.13041199699504041"/>
                  <c:y val="-0.1711860012279596"/>
                </c:manualLayout>
              </c:layout>
              <c:dLblPos val="bestFit"/>
              <c:showCatName val="1"/>
              <c:showPercent val="1"/>
            </c:dLbl>
            <c:dLbl>
              <c:idx val="1"/>
              <c:layout>
                <c:manualLayout>
                  <c:x val="-3.4545192783309336E-2"/>
                  <c:y val="-0.22974467966628839"/>
                </c:manualLayout>
              </c:layout>
              <c:dLblPos val="bestFit"/>
              <c:showCatName val="1"/>
              <c:showPercent val="1"/>
            </c:dLbl>
            <c:dLbl>
              <c:idx val="2"/>
              <c:layout>
                <c:manualLayout>
                  <c:x val="4.8138847508926294E-3"/>
                  <c:y val="-0.12128731572104888"/>
                </c:manualLayout>
              </c:layout>
              <c:dLblPos val="bestFit"/>
              <c:showCatName val="1"/>
              <c:showPercent val="1"/>
            </c:dLbl>
            <c:dLbl>
              <c:idx val="3"/>
              <c:layout>
                <c:manualLayout>
                  <c:x val="6.5473977914923499E-3"/>
                  <c:y val="-2.2255909600085052E-2"/>
                </c:manualLayout>
              </c:layout>
              <c:dLblPos val="bestFit"/>
              <c:showCatName val="1"/>
              <c:showPercent val="1"/>
            </c:dLbl>
            <c:dLbl>
              <c:idx val="4"/>
              <c:layout>
                <c:manualLayout>
                  <c:x val="-5.1256295665744476E-3"/>
                  <c:y val="9.9200497134120047E-2"/>
                </c:manualLayout>
              </c:layout>
              <c:dLblPos val="bestFit"/>
              <c:showCatName val="1"/>
              <c:showPercent val="1"/>
            </c:dLbl>
            <c:dLbl>
              <c:idx val="5"/>
              <c:layout>
                <c:manualLayout>
                  <c:x val="0.1009010784436212"/>
                  <c:y val="0.13081321161108081"/>
                </c:manualLayout>
              </c:layout>
              <c:tx>
                <c:rich>
                  <a:bodyPr/>
                  <a:lstStyle/>
                  <a:p>
                    <a:r>
                      <a:rPr lang="el-GR" sz="700" b="0" i="0" u="none" strike="noStrike" baseline="0">
                        <a:solidFill>
                          <a:srgbClr val="000000"/>
                        </a:solidFill>
                        <a:latin typeface="Arial Narrow" pitchFamily="34" charset="0"/>
                        <a:cs typeface="Arial"/>
                      </a:rPr>
                      <a:t>Δ</a:t>
                    </a:r>
                    <a:r>
                      <a:rPr lang="el-GR" sz="800" b="0" i="0" u="none" strike="noStrike" baseline="0">
                        <a:solidFill>
                          <a:srgbClr val="000000"/>
                        </a:solidFill>
                        <a:latin typeface="Arial Narrow" pitchFamily="34" charset="0"/>
                        <a:cs typeface="Arial"/>
                      </a:rPr>
                      <a:t>άνεια Μηχ/σμού Στήριξης</a:t>
                    </a:r>
                  </a:p>
                  <a:p>
                    <a:r>
                      <a:rPr lang="el-GR" sz="800" b="0" i="0" u="none" strike="noStrike" baseline="0">
                        <a:solidFill>
                          <a:srgbClr val="000000"/>
                        </a:solidFill>
                        <a:latin typeface="Arial Narrow" pitchFamily="34" charset="0"/>
                        <a:cs typeface="Arial"/>
                      </a:rPr>
                      <a:t>71,2%</a:t>
                    </a:r>
                  </a:p>
                </c:rich>
              </c:tx>
              <c:dLblPos val="bestFit"/>
            </c:dLbl>
            <c:dLbl>
              <c:idx val="6"/>
              <c:layout>
                <c:manualLayout>
                  <c:x val="-8.8287674288379872E-2"/>
                  <c:y val="-7.3017739948847596E-2"/>
                </c:manualLayout>
              </c:layout>
              <c:dLblPos val="bestFit"/>
              <c:showCatName val="1"/>
              <c:showPercent val="1"/>
            </c:dLbl>
            <c:dLbl>
              <c:idx val="7"/>
              <c:layout>
                <c:manualLayout>
                  <c:x val="1.8374216736421457E-2"/>
                  <c:y val="-9.5634541009477672E-2"/>
                </c:manualLayout>
              </c:layout>
              <c:dLblPos val="bestFit"/>
              <c:showCatName val="1"/>
              <c:showPercent val="1"/>
            </c:dLbl>
            <c:numFmt formatCode="0.0%" sourceLinked="0"/>
            <c:spPr>
              <a:noFill/>
              <a:ln w="25400">
                <a:noFill/>
              </a:ln>
            </c:spPr>
            <c:txPr>
              <a:bodyPr/>
              <a:lstStyle/>
              <a:p>
                <a:pPr>
                  <a:defRPr sz="700" b="0" i="0" u="none" strike="noStrike" baseline="0">
                    <a:solidFill>
                      <a:srgbClr val="000000"/>
                    </a:solidFill>
                    <a:latin typeface="Arial Narrow" pitchFamily="34" charset="0"/>
                    <a:ea typeface="Arial"/>
                    <a:cs typeface="Arial"/>
                  </a:defRPr>
                </a:pPr>
                <a:endParaRPr lang="el-GR"/>
              </a:p>
            </c:txPr>
            <c:showCatName val="1"/>
            <c:showPercent val="1"/>
            <c:showLeaderLines val="1"/>
          </c:dLbls>
          <c:cat>
            <c:strRef>
              <c:f>'Diagramma 4-2'!$Q$1:$Q$8</c:f>
              <c:strCache>
                <c:ptCount val="8"/>
                <c:pt idx="0">
                  <c:v>Ομόλογα Εσωτερικού</c:v>
                </c:pt>
                <c:pt idx="1">
                  <c:v>Ομόλογα Εξωτερικού &amp; Τιτλοποιήσεις</c:v>
                </c:pt>
                <c:pt idx="2">
                  <c:v>Έντοκα Γραμμάτια</c:v>
                </c:pt>
                <c:pt idx="3">
                  <c:v>Δαν. Τρ. Ελλάδος &amp; Λοιπά</c:v>
                </c:pt>
                <c:pt idx="4">
                  <c:v>Ειδικά &amp; Διακρατικά Δάνεια</c:v>
                </c:pt>
                <c:pt idx="5">
                  <c:v>Δάνεια Μηχ/σμού Στήριξης</c:v>
                </c:pt>
                <c:pt idx="6">
                  <c:v>Λοιπά Δάνεια Εξωτερικού</c:v>
                </c:pt>
                <c:pt idx="7">
                  <c:v>Repos</c:v>
                </c:pt>
              </c:strCache>
            </c:strRef>
          </c:cat>
          <c:val>
            <c:numRef>
              <c:f>'Diagramma 4-2'!$R$1:$R$8</c:f>
              <c:numCache>
                <c:formatCode>0.00%</c:formatCode>
                <c:ptCount val="8"/>
                <c:pt idx="0">
                  <c:v>0.13981248981838912</c:v>
                </c:pt>
                <c:pt idx="1">
                  <c:v>4.946156827718701E-3</c:v>
                </c:pt>
                <c:pt idx="2">
                  <c:v>4.2925675637719977E-2</c:v>
                </c:pt>
                <c:pt idx="3">
                  <c:v>7.3279518248257165E-3</c:v>
                </c:pt>
                <c:pt idx="4">
                  <c:v>2.1700174702416072E-2</c:v>
                </c:pt>
                <c:pt idx="5">
                  <c:v>0.7120022245066483</c:v>
                </c:pt>
                <c:pt idx="6">
                  <c:v>1.1703938387906785E-2</c:v>
                </c:pt>
                <c:pt idx="7">
                  <c:v>5.9581388294376383E-2</c:v>
                </c:pt>
              </c:numCache>
            </c:numRef>
          </c:val>
        </c:ser>
      </c:pie3DChart>
      <c:spPr>
        <a:noFill/>
        <a:ln w="25400">
          <a:noFill/>
        </a:ln>
      </c:spPr>
    </c:plotArea>
    <c:plotVisOnly val="1"/>
    <c:dispBlanksAs val="zero"/>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9.4474317754146067E-2"/>
          <c:y val="9.3984962406015268E-2"/>
          <c:w val="0.89083104005938663"/>
          <c:h val="0.7518796992481287"/>
        </c:manualLayout>
      </c:layout>
      <c:lineChart>
        <c:grouping val="standard"/>
        <c:ser>
          <c:idx val="0"/>
          <c:order val="0"/>
          <c:tx>
            <c:strRef>
              <c:f>'Diagramma 4.4 '!$D$1</c:f>
              <c:strCache>
                <c:ptCount val="1"/>
              </c:strCache>
            </c:strRef>
          </c:tx>
          <c:spPr>
            <a:ln w="12700">
              <a:solidFill>
                <a:srgbClr val="000080"/>
              </a:solidFill>
              <a:prstDash val="solid"/>
            </a:ln>
          </c:spPr>
          <c:marker>
            <c:symbol val="square"/>
            <c:size val="5"/>
            <c:spPr>
              <a:solidFill>
                <a:srgbClr val="000080"/>
              </a:solidFill>
              <a:ln>
                <a:solidFill>
                  <a:srgbClr val="000080"/>
                </a:solidFill>
                <a:prstDash val="solid"/>
              </a:ln>
            </c:spPr>
          </c:marker>
          <c:cat>
            <c:strRef>
              <c:f>'Diagramma 4.4 '!$A$3:$A$10</c:f>
              <c:strCache>
                <c:ptCount val="8"/>
                <c:pt idx="0">
                  <c:v>3Μ</c:v>
                </c:pt>
                <c:pt idx="1">
                  <c:v>6Μ</c:v>
                </c:pt>
                <c:pt idx="2">
                  <c:v>1Ε</c:v>
                </c:pt>
                <c:pt idx="3">
                  <c:v>5Ε</c:v>
                </c:pt>
                <c:pt idx="4">
                  <c:v>10Ε</c:v>
                </c:pt>
                <c:pt idx="5">
                  <c:v>15Ε</c:v>
                </c:pt>
                <c:pt idx="6">
                  <c:v>20Ε</c:v>
                </c:pt>
                <c:pt idx="7">
                  <c:v>25Ε</c:v>
                </c:pt>
              </c:strCache>
            </c:strRef>
          </c:cat>
          <c:val>
            <c:numRef>
              <c:f>'Diagramma 4.4 '!$B$3:$B$10</c:f>
              <c:numCache>
                <c:formatCode>0.000%</c:formatCode>
                <c:ptCount val="8"/>
                <c:pt idx="0">
                  <c:v>8.2300000000000012E-3</c:v>
                </c:pt>
                <c:pt idx="1">
                  <c:v>8.2800000000000026E-3</c:v>
                </c:pt>
                <c:pt idx="2">
                  <c:v>1.0300000000000005E-2</c:v>
                </c:pt>
                <c:pt idx="3">
                  <c:v>3.3340000000000002E-2</c:v>
                </c:pt>
                <c:pt idx="4">
                  <c:v>4.2959999999999998E-2</c:v>
                </c:pt>
                <c:pt idx="5">
                  <c:v>4.7669999999999997E-2</c:v>
                </c:pt>
                <c:pt idx="6">
                  <c:v>5.0790000000000134E-2</c:v>
                </c:pt>
                <c:pt idx="7">
                  <c:v>5.1490000000000022E-2</c:v>
                </c:pt>
              </c:numCache>
            </c:numRef>
          </c:val>
        </c:ser>
        <c:ser>
          <c:idx val="1"/>
          <c:order val="1"/>
          <c:tx>
            <c:strRef>
              <c:f>'Diagramma 4.4 '!$B$1</c:f>
              <c:strCache>
                <c:ptCount val="1"/>
                <c:pt idx="0">
                  <c:v>22/10/2018</c:v>
                </c:pt>
              </c:strCache>
            </c:strRef>
          </c:tx>
          <c:spPr>
            <a:ln w="12700">
              <a:solidFill>
                <a:srgbClr val="FF00FF"/>
              </a:solidFill>
              <a:prstDash val="solid"/>
            </a:ln>
          </c:spPr>
          <c:marker>
            <c:symbol val="diamond"/>
            <c:size val="5"/>
            <c:spPr>
              <a:solidFill>
                <a:srgbClr val="FF00FF"/>
              </a:solidFill>
              <a:ln>
                <a:solidFill>
                  <a:srgbClr val="FF00FF"/>
                </a:solidFill>
                <a:prstDash val="solid"/>
              </a:ln>
            </c:spPr>
          </c:marker>
          <c:cat>
            <c:strRef>
              <c:f>'Diagramma 4.4 '!$A$3:$A$10</c:f>
              <c:strCache>
                <c:ptCount val="8"/>
                <c:pt idx="0">
                  <c:v>3Μ</c:v>
                </c:pt>
                <c:pt idx="1">
                  <c:v>6Μ</c:v>
                </c:pt>
                <c:pt idx="2">
                  <c:v>1Ε</c:v>
                </c:pt>
                <c:pt idx="3">
                  <c:v>5Ε</c:v>
                </c:pt>
                <c:pt idx="4">
                  <c:v>10Ε</c:v>
                </c:pt>
                <c:pt idx="5">
                  <c:v>15Ε</c:v>
                </c:pt>
                <c:pt idx="6">
                  <c:v>20Ε</c:v>
                </c:pt>
                <c:pt idx="7">
                  <c:v>25Ε</c:v>
                </c:pt>
              </c:strCache>
            </c:strRef>
          </c:cat>
          <c:val>
            <c:numRef>
              <c:f>'Diagramma 4.4 '!#ΑΝΑΦ!</c:f>
              <c:numCache>
                <c:formatCode>General</c:formatCode>
                <c:ptCount val="1"/>
                <c:pt idx="0">
                  <c:v>1</c:v>
                </c:pt>
              </c:numCache>
            </c:numRef>
          </c:val>
        </c:ser>
        <c:marker val="1"/>
        <c:axId val="160367360"/>
        <c:axId val="160368896"/>
      </c:lineChart>
      <c:catAx>
        <c:axId val="160367360"/>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160368896"/>
        <c:crosses val="autoZero"/>
        <c:auto val="1"/>
        <c:lblAlgn val="ctr"/>
        <c:lblOffset val="100"/>
        <c:tickLblSkip val="1"/>
        <c:tickMarkSkip val="1"/>
      </c:catAx>
      <c:valAx>
        <c:axId val="160368896"/>
        <c:scaling>
          <c:orientation val="minMax"/>
          <c:max val="6.0000000000000032E-2"/>
          <c:min val="0"/>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a:pPr>
            <a:endParaRPr lang="el-GR"/>
          </a:p>
        </c:txPr>
        <c:crossAx val="160367360"/>
        <c:crosses val="autoZero"/>
        <c:crossBetween val="between"/>
        <c:majorUnit val="1.0000000000000005E-2"/>
      </c:valAx>
      <c:spPr>
        <a:solidFill>
          <a:srgbClr val="FFFFFF"/>
        </a:solidFill>
        <a:ln w="12700">
          <a:solidFill>
            <a:srgbClr val="FFFFFF"/>
          </a:solidFill>
          <a:prstDash val="solid"/>
        </a:ln>
      </c:spPr>
    </c:plotArea>
    <c:plotVisOnly val="1"/>
    <c:dispBlanksAs val="gap"/>
  </c:chart>
  <c:spPr>
    <a:solidFill>
      <a:srgbClr val="FFFFFF"/>
    </a:solidFill>
    <a:ln w="9525">
      <a:noFill/>
    </a:ln>
  </c:spPr>
  <c:txPr>
    <a:bodyPr/>
    <a:lstStyle/>
    <a:p>
      <a:pPr>
        <a:defRPr sz="800" b="1" i="0" u="none" strike="noStrike" baseline="0">
          <a:solidFill>
            <a:srgbClr val="000000"/>
          </a:solidFill>
          <a:latin typeface="Arial Narrow" pitchFamily="34" charset="0"/>
          <a:ea typeface="Arial"/>
          <a:cs typeface="Arial"/>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4.9281937644335534E-2"/>
          <c:y val="0.10477736483300787"/>
          <c:w val="0.82622034740243877"/>
          <c:h val="0.55594202975812868"/>
        </c:manualLayout>
      </c:layout>
      <c:lineChart>
        <c:grouping val="standard"/>
        <c:ser>
          <c:idx val="0"/>
          <c:order val="0"/>
          <c:tx>
            <c:strRef>
              <c:f>'ΣΤΟΙΧΕΙΑ ΓΙΑ ΠΡΟΥΠ 2018'!$B$2</c:f>
              <c:strCache>
                <c:ptCount val="1"/>
                <c:pt idx="0">
                  <c:v>ΒΕΛΓΙΟ</c:v>
                </c:pt>
              </c:strCache>
            </c:strRef>
          </c:tx>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2018'!$B$3:$B$1549</c:f>
              <c:numCache>
                <c:formatCode>General</c:formatCode>
                <c:ptCount val="270"/>
                <c:pt idx="0">
                  <c:v>0.72000000000000064</c:v>
                </c:pt>
                <c:pt idx="1">
                  <c:v>0.73300000000000065</c:v>
                </c:pt>
                <c:pt idx="2">
                  <c:v>0.73400000000000065</c:v>
                </c:pt>
                <c:pt idx="3">
                  <c:v>0.72600000000000064</c:v>
                </c:pt>
                <c:pt idx="4">
                  <c:v>0.73300000000000065</c:v>
                </c:pt>
                <c:pt idx="5">
                  <c:v>0.71800000000000064</c:v>
                </c:pt>
                <c:pt idx="6">
                  <c:v>0.71800000000000064</c:v>
                </c:pt>
                <c:pt idx="7">
                  <c:v>0.73900000000000265</c:v>
                </c:pt>
                <c:pt idx="8">
                  <c:v>0.71900000000000064</c:v>
                </c:pt>
                <c:pt idx="9">
                  <c:v>0.67900000000000438</c:v>
                </c:pt>
                <c:pt idx="10">
                  <c:v>0.64600000000000379</c:v>
                </c:pt>
                <c:pt idx="11">
                  <c:v>0.63100000000000378</c:v>
                </c:pt>
                <c:pt idx="12">
                  <c:v>0.66100000000000425</c:v>
                </c:pt>
                <c:pt idx="13">
                  <c:v>0.66400000000000425</c:v>
                </c:pt>
                <c:pt idx="14">
                  <c:v>0.70800000000000063</c:v>
                </c:pt>
                <c:pt idx="15">
                  <c:v>0.68600000000000005</c:v>
                </c:pt>
                <c:pt idx="16">
                  <c:v>0.72400000000000064</c:v>
                </c:pt>
                <c:pt idx="17">
                  <c:v>0.72800000000000065</c:v>
                </c:pt>
                <c:pt idx="18">
                  <c:v>0.66800000000000426</c:v>
                </c:pt>
                <c:pt idx="19">
                  <c:v>0.63600000000000378</c:v>
                </c:pt>
                <c:pt idx="20">
                  <c:v>0.61300000000000165</c:v>
                </c:pt>
                <c:pt idx="21">
                  <c:v>0.60400000000000065</c:v>
                </c:pt>
                <c:pt idx="22">
                  <c:v>0.61200000000000065</c:v>
                </c:pt>
                <c:pt idx="23">
                  <c:v>0.60800000000000065</c:v>
                </c:pt>
                <c:pt idx="24">
                  <c:v>0.60400000000000065</c:v>
                </c:pt>
                <c:pt idx="25">
                  <c:v>0.58000000000000007</c:v>
                </c:pt>
                <c:pt idx="26">
                  <c:v>0.54</c:v>
                </c:pt>
                <c:pt idx="27">
                  <c:v>0.56000000000000005</c:v>
                </c:pt>
                <c:pt idx="28">
                  <c:v>0.61800000000000332</c:v>
                </c:pt>
                <c:pt idx="29">
                  <c:v>0.63800000000000379</c:v>
                </c:pt>
                <c:pt idx="30">
                  <c:v>0.62900000000000378</c:v>
                </c:pt>
                <c:pt idx="31">
                  <c:v>0.60800000000000065</c:v>
                </c:pt>
                <c:pt idx="32">
                  <c:v>0.58699999999999997</c:v>
                </c:pt>
                <c:pt idx="33">
                  <c:v>0.58499999999999996</c:v>
                </c:pt>
                <c:pt idx="34">
                  <c:v>0.57600000000000062</c:v>
                </c:pt>
                <c:pt idx="35">
                  <c:v>0.57600000000000062</c:v>
                </c:pt>
                <c:pt idx="36">
                  <c:v>0.56299999999999994</c:v>
                </c:pt>
                <c:pt idx="37">
                  <c:v>0.55700000000000005</c:v>
                </c:pt>
                <c:pt idx="38">
                  <c:v>0.56599999999999995</c:v>
                </c:pt>
                <c:pt idx="39">
                  <c:v>0.58599999999999997</c:v>
                </c:pt>
                <c:pt idx="40">
                  <c:v>0.56100000000000005</c:v>
                </c:pt>
                <c:pt idx="41">
                  <c:v>0.56000000000000005</c:v>
                </c:pt>
                <c:pt idx="42">
                  <c:v>0.59799999999999998</c:v>
                </c:pt>
                <c:pt idx="43">
                  <c:v>0.56899999999999995</c:v>
                </c:pt>
                <c:pt idx="44">
                  <c:v>0.48100000000000032</c:v>
                </c:pt>
                <c:pt idx="45">
                  <c:v>0.52200000000000002</c:v>
                </c:pt>
                <c:pt idx="46">
                  <c:v>0.503</c:v>
                </c:pt>
                <c:pt idx="47">
                  <c:v>0.49200000000000038</c:v>
                </c:pt>
                <c:pt idx="48">
                  <c:v>0.48800000000000032</c:v>
                </c:pt>
                <c:pt idx="49">
                  <c:v>0.505</c:v>
                </c:pt>
                <c:pt idx="50">
                  <c:v>0.49200000000000038</c:v>
                </c:pt>
                <c:pt idx="51">
                  <c:v>0.50900000000000001</c:v>
                </c:pt>
                <c:pt idx="52">
                  <c:v>0.52100000000000002</c:v>
                </c:pt>
                <c:pt idx="53">
                  <c:v>0.51300000000000001</c:v>
                </c:pt>
                <c:pt idx="54">
                  <c:v>0.49600000000000088</c:v>
                </c:pt>
                <c:pt idx="55">
                  <c:v>0.49100000000000038</c:v>
                </c:pt>
                <c:pt idx="56">
                  <c:v>0.56899999999999995</c:v>
                </c:pt>
                <c:pt idx="57">
                  <c:v>0.59699999999999998</c:v>
                </c:pt>
                <c:pt idx="58">
                  <c:v>0.59699999999999998</c:v>
                </c:pt>
                <c:pt idx="59">
                  <c:v>0.60200000000000065</c:v>
                </c:pt>
                <c:pt idx="60">
                  <c:v>0.59</c:v>
                </c:pt>
                <c:pt idx="61">
                  <c:v>0.62200000000000333</c:v>
                </c:pt>
                <c:pt idx="62">
                  <c:v>0.63500000000000378</c:v>
                </c:pt>
                <c:pt idx="63">
                  <c:v>0.68500000000000005</c:v>
                </c:pt>
                <c:pt idx="64">
                  <c:v>0.65500000000000425</c:v>
                </c:pt>
                <c:pt idx="65">
                  <c:v>0.65800000000000425</c:v>
                </c:pt>
                <c:pt idx="66">
                  <c:v>0.65800000000000425</c:v>
                </c:pt>
                <c:pt idx="67">
                  <c:v>0.65100000000000402</c:v>
                </c:pt>
                <c:pt idx="68">
                  <c:v>0.68799999999999994</c:v>
                </c:pt>
                <c:pt idx="69">
                  <c:v>0.68600000000000005</c:v>
                </c:pt>
                <c:pt idx="70">
                  <c:v>0.73100000000000065</c:v>
                </c:pt>
                <c:pt idx="71">
                  <c:v>0.72500000000000064</c:v>
                </c:pt>
                <c:pt idx="72">
                  <c:v>0.72800000000000065</c:v>
                </c:pt>
                <c:pt idx="73">
                  <c:v>0.70300000000000062</c:v>
                </c:pt>
                <c:pt idx="74">
                  <c:v>0.69599999999999995</c:v>
                </c:pt>
                <c:pt idx="75">
                  <c:v>0.70600000000000063</c:v>
                </c:pt>
                <c:pt idx="76">
                  <c:v>0.70400000000000063</c:v>
                </c:pt>
                <c:pt idx="77">
                  <c:v>0.70700000000000063</c:v>
                </c:pt>
                <c:pt idx="78">
                  <c:v>0.70400000000000063</c:v>
                </c:pt>
                <c:pt idx="79">
                  <c:v>0.72000000000000064</c:v>
                </c:pt>
                <c:pt idx="80">
                  <c:v>0.74400000000000333</c:v>
                </c:pt>
                <c:pt idx="81">
                  <c:v>0.7740000000000038</c:v>
                </c:pt>
                <c:pt idx="82">
                  <c:v>0.83400000000000063</c:v>
                </c:pt>
                <c:pt idx="83">
                  <c:v>0.96600000000000064</c:v>
                </c:pt>
                <c:pt idx="84">
                  <c:v>0.97700000000000065</c:v>
                </c:pt>
                <c:pt idx="85">
                  <c:v>0.99199999999999999</c:v>
                </c:pt>
                <c:pt idx="86">
                  <c:v>1.028</c:v>
                </c:pt>
                <c:pt idx="87">
                  <c:v>1.006</c:v>
                </c:pt>
                <c:pt idx="88">
                  <c:v>0.96900000000000064</c:v>
                </c:pt>
                <c:pt idx="89">
                  <c:v>0.997</c:v>
                </c:pt>
                <c:pt idx="90">
                  <c:v>1.01</c:v>
                </c:pt>
                <c:pt idx="91">
                  <c:v>1.002</c:v>
                </c:pt>
                <c:pt idx="92">
                  <c:v>1.0189999999999926</c:v>
                </c:pt>
                <c:pt idx="93">
                  <c:v>1.0249999999999926</c:v>
                </c:pt>
                <c:pt idx="94">
                  <c:v>1.0189999999999926</c:v>
                </c:pt>
                <c:pt idx="95">
                  <c:v>1.0289999999999926</c:v>
                </c:pt>
                <c:pt idx="96">
                  <c:v>0.98199999999999998</c:v>
                </c:pt>
                <c:pt idx="97">
                  <c:v>1.02</c:v>
                </c:pt>
                <c:pt idx="98">
                  <c:v>1.0349999999999926</c:v>
                </c:pt>
                <c:pt idx="99">
                  <c:v>1.026</c:v>
                </c:pt>
                <c:pt idx="100">
                  <c:v>1.0049999999999926</c:v>
                </c:pt>
                <c:pt idx="101">
                  <c:v>0.95100000000000062</c:v>
                </c:pt>
                <c:pt idx="102">
                  <c:v>0.95300000000000062</c:v>
                </c:pt>
                <c:pt idx="103">
                  <c:v>0.96900000000000064</c:v>
                </c:pt>
                <c:pt idx="104">
                  <c:v>0.94199999999999995</c:v>
                </c:pt>
                <c:pt idx="105">
                  <c:v>0.93500000000000005</c:v>
                </c:pt>
                <c:pt idx="106">
                  <c:v>0.95000000000000062</c:v>
                </c:pt>
                <c:pt idx="107">
                  <c:v>0.94099999999999995</c:v>
                </c:pt>
                <c:pt idx="108">
                  <c:v>0.95900000000000063</c:v>
                </c:pt>
                <c:pt idx="109">
                  <c:v>0.93300000000000005</c:v>
                </c:pt>
                <c:pt idx="110">
                  <c:v>0.90300000000000002</c:v>
                </c:pt>
                <c:pt idx="111">
                  <c:v>0.93</c:v>
                </c:pt>
                <c:pt idx="112">
                  <c:v>0.91300000000000003</c:v>
                </c:pt>
                <c:pt idx="113">
                  <c:v>0.90500000000000003</c:v>
                </c:pt>
                <c:pt idx="114">
                  <c:v>0.87700000000000367</c:v>
                </c:pt>
                <c:pt idx="115">
                  <c:v>0.86100000000000065</c:v>
                </c:pt>
                <c:pt idx="116">
                  <c:v>0.85700000000000065</c:v>
                </c:pt>
                <c:pt idx="117">
                  <c:v>0.86200000000000065</c:v>
                </c:pt>
                <c:pt idx="118">
                  <c:v>0.86700000000000332</c:v>
                </c:pt>
                <c:pt idx="119">
                  <c:v>0.87300000000000333</c:v>
                </c:pt>
                <c:pt idx="120">
                  <c:v>0.81599999999999995</c:v>
                </c:pt>
                <c:pt idx="121">
                  <c:v>0.81699999999999995</c:v>
                </c:pt>
                <c:pt idx="122">
                  <c:v>0.80300000000000005</c:v>
                </c:pt>
                <c:pt idx="123">
                  <c:v>0.7730000000000038</c:v>
                </c:pt>
                <c:pt idx="124">
                  <c:v>0.77200000000000379</c:v>
                </c:pt>
                <c:pt idx="125">
                  <c:v>0.76500000000000379</c:v>
                </c:pt>
                <c:pt idx="126">
                  <c:v>0.77600000000000402</c:v>
                </c:pt>
                <c:pt idx="127">
                  <c:v>0.7730000000000038</c:v>
                </c:pt>
                <c:pt idx="128">
                  <c:v>0.80800000000000005</c:v>
                </c:pt>
                <c:pt idx="129">
                  <c:v>0.78600000000000003</c:v>
                </c:pt>
                <c:pt idx="130">
                  <c:v>0.79300000000000004</c:v>
                </c:pt>
                <c:pt idx="131">
                  <c:v>0.81499999999999995</c:v>
                </c:pt>
                <c:pt idx="132">
                  <c:v>0.79500000000000004</c:v>
                </c:pt>
                <c:pt idx="133">
                  <c:v>0.80300000000000005</c:v>
                </c:pt>
                <c:pt idx="134">
                  <c:v>0.78700000000000003</c:v>
                </c:pt>
                <c:pt idx="135">
                  <c:v>0.79</c:v>
                </c:pt>
                <c:pt idx="136">
                  <c:v>0.77100000000000379</c:v>
                </c:pt>
                <c:pt idx="137">
                  <c:v>0.79100000000000004</c:v>
                </c:pt>
                <c:pt idx="138">
                  <c:v>0.85600000000000065</c:v>
                </c:pt>
                <c:pt idx="139">
                  <c:v>0.84500000000000064</c:v>
                </c:pt>
                <c:pt idx="140">
                  <c:v>0.88200000000000001</c:v>
                </c:pt>
                <c:pt idx="141">
                  <c:v>0.87500000000000344</c:v>
                </c:pt>
                <c:pt idx="142">
                  <c:v>0.88300000000000001</c:v>
                </c:pt>
                <c:pt idx="143">
                  <c:v>0.84900000000000064</c:v>
                </c:pt>
                <c:pt idx="144">
                  <c:v>0.82600000000000062</c:v>
                </c:pt>
                <c:pt idx="145">
                  <c:v>0.81599999999999995</c:v>
                </c:pt>
                <c:pt idx="146">
                  <c:v>0.84000000000000064</c:v>
                </c:pt>
                <c:pt idx="147">
                  <c:v>0.8</c:v>
                </c:pt>
                <c:pt idx="148">
                  <c:v>0.81699999999999995</c:v>
                </c:pt>
                <c:pt idx="149">
                  <c:v>0.80100000000000005</c:v>
                </c:pt>
                <c:pt idx="150">
                  <c:v>0.83900000000000063</c:v>
                </c:pt>
                <c:pt idx="151">
                  <c:v>0.82900000000000063</c:v>
                </c:pt>
                <c:pt idx="152">
                  <c:v>0.83100000000000063</c:v>
                </c:pt>
                <c:pt idx="153">
                  <c:v>0.82399999999999995</c:v>
                </c:pt>
                <c:pt idx="154">
                  <c:v>0.86800000000000332</c:v>
                </c:pt>
                <c:pt idx="155">
                  <c:v>0.89900000000000002</c:v>
                </c:pt>
                <c:pt idx="156">
                  <c:v>0.87800000000000378</c:v>
                </c:pt>
                <c:pt idx="157">
                  <c:v>0.90600000000000003</c:v>
                </c:pt>
                <c:pt idx="158">
                  <c:v>0.86700000000000332</c:v>
                </c:pt>
                <c:pt idx="159">
                  <c:v>0.85200000000000065</c:v>
                </c:pt>
                <c:pt idx="160">
                  <c:v>0.88200000000000001</c:v>
                </c:pt>
                <c:pt idx="161">
                  <c:v>0.86700000000000332</c:v>
                </c:pt>
                <c:pt idx="162">
                  <c:v>0.81299999999999994</c:v>
                </c:pt>
                <c:pt idx="163">
                  <c:v>0.76500000000000379</c:v>
                </c:pt>
                <c:pt idx="164">
                  <c:v>0.76300000000000379</c:v>
                </c:pt>
                <c:pt idx="165">
                  <c:v>0.71600000000000064</c:v>
                </c:pt>
                <c:pt idx="166">
                  <c:v>0.76400000000000379</c:v>
                </c:pt>
                <c:pt idx="167">
                  <c:v>0.74100000000000332</c:v>
                </c:pt>
                <c:pt idx="168">
                  <c:v>0.77700000000000413</c:v>
                </c:pt>
                <c:pt idx="169">
                  <c:v>0.78900000000000003</c:v>
                </c:pt>
                <c:pt idx="170">
                  <c:v>0.75900000000000378</c:v>
                </c:pt>
                <c:pt idx="171">
                  <c:v>0.86100000000000065</c:v>
                </c:pt>
                <c:pt idx="172">
                  <c:v>0.88600000000000001</c:v>
                </c:pt>
                <c:pt idx="173">
                  <c:v>0.89500000000000002</c:v>
                </c:pt>
                <c:pt idx="174">
                  <c:v>0.91600000000000004</c:v>
                </c:pt>
                <c:pt idx="175">
                  <c:v>0.88600000000000001</c:v>
                </c:pt>
                <c:pt idx="176">
                  <c:v>0.85100000000000064</c:v>
                </c:pt>
                <c:pt idx="177">
                  <c:v>0.78600000000000003</c:v>
                </c:pt>
                <c:pt idx="178">
                  <c:v>0.74700000000000333</c:v>
                </c:pt>
                <c:pt idx="179">
                  <c:v>0.74500000000000333</c:v>
                </c:pt>
                <c:pt idx="180">
                  <c:v>0.74200000000000332</c:v>
                </c:pt>
                <c:pt idx="181">
                  <c:v>0.74200000000000332</c:v>
                </c:pt>
                <c:pt idx="182">
                  <c:v>0.72700000000000065</c:v>
                </c:pt>
                <c:pt idx="183">
                  <c:v>0.73800000000000165</c:v>
                </c:pt>
                <c:pt idx="184">
                  <c:v>0.74100000000000332</c:v>
                </c:pt>
                <c:pt idx="185">
                  <c:v>0.76100000000000378</c:v>
                </c:pt>
                <c:pt idx="186">
                  <c:v>0.74000000000000332</c:v>
                </c:pt>
                <c:pt idx="187">
                  <c:v>0.73400000000000065</c:v>
                </c:pt>
                <c:pt idx="188">
                  <c:v>0.69000000000000061</c:v>
                </c:pt>
                <c:pt idx="189">
                  <c:v>0.68400000000000005</c:v>
                </c:pt>
                <c:pt idx="190">
                  <c:v>0.66900000000000426</c:v>
                </c:pt>
                <c:pt idx="191">
                  <c:v>0.67800000000000427</c:v>
                </c:pt>
                <c:pt idx="192">
                  <c:v>0.67700000000000427</c:v>
                </c:pt>
                <c:pt idx="193">
                  <c:v>0.67500000000000426</c:v>
                </c:pt>
                <c:pt idx="194">
                  <c:v>0.67800000000000427</c:v>
                </c:pt>
                <c:pt idx="195">
                  <c:v>0.69499999999999995</c:v>
                </c:pt>
                <c:pt idx="196">
                  <c:v>0.68700000000000061</c:v>
                </c:pt>
                <c:pt idx="197">
                  <c:v>0.66000000000000425</c:v>
                </c:pt>
                <c:pt idx="198">
                  <c:v>0.63000000000000378</c:v>
                </c:pt>
                <c:pt idx="199">
                  <c:v>0.66200000000000425</c:v>
                </c:pt>
                <c:pt idx="200">
                  <c:v>0.63700000000000379</c:v>
                </c:pt>
                <c:pt idx="201">
                  <c:v>0.64400000000000379</c:v>
                </c:pt>
                <c:pt idx="202">
                  <c:v>0.64400000000000379</c:v>
                </c:pt>
                <c:pt idx="203">
                  <c:v>0.69399999999999995</c:v>
                </c:pt>
                <c:pt idx="204">
                  <c:v>0.72500000000000064</c:v>
                </c:pt>
                <c:pt idx="205">
                  <c:v>0.70800000000000063</c:v>
                </c:pt>
                <c:pt idx="206">
                  <c:v>0.70300000000000062</c:v>
                </c:pt>
                <c:pt idx="207">
                  <c:v>0.70300000000000062</c:v>
                </c:pt>
                <c:pt idx="208">
                  <c:v>0.70800000000000063</c:v>
                </c:pt>
                <c:pt idx="209">
                  <c:v>0.75300000000000378</c:v>
                </c:pt>
                <c:pt idx="210">
                  <c:v>0.74100000000000332</c:v>
                </c:pt>
                <c:pt idx="211">
                  <c:v>0.78800000000000003</c:v>
                </c:pt>
                <c:pt idx="212">
                  <c:v>0.8</c:v>
                </c:pt>
                <c:pt idx="213">
                  <c:v>0.76500000000000379</c:v>
                </c:pt>
                <c:pt idx="214">
                  <c:v>0.73100000000000065</c:v>
                </c:pt>
                <c:pt idx="215">
                  <c:v>0.74200000000000332</c:v>
                </c:pt>
                <c:pt idx="216">
                  <c:v>0.73700000000000065</c:v>
                </c:pt>
                <c:pt idx="217">
                  <c:v>0.72900000000000065</c:v>
                </c:pt>
                <c:pt idx="218">
                  <c:v>0.68899999999999995</c:v>
                </c:pt>
                <c:pt idx="219">
                  <c:v>0.70500000000000063</c:v>
                </c:pt>
                <c:pt idx="220">
                  <c:v>0.71100000000000063</c:v>
                </c:pt>
                <c:pt idx="221">
                  <c:v>0.70000000000000062</c:v>
                </c:pt>
                <c:pt idx="222">
                  <c:v>0.70700000000000063</c:v>
                </c:pt>
                <c:pt idx="223">
                  <c:v>0.69299999999999995</c:v>
                </c:pt>
                <c:pt idx="224">
                  <c:v>0.67800000000000427</c:v>
                </c:pt>
                <c:pt idx="225">
                  <c:v>0.69699999999999995</c:v>
                </c:pt>
                <c:pt idx="226">
                  <c:v>0.71000000000000063</c:v>
                </c:pt>
                <c:pt idx="227">
                  <c:v>0.69799999999999995</c:v>
                </c:pt>
                <c:pt idx="228">
                  <c:v>0.70300000000000062</c:v>
                </c:pt>
                <c:pt idx="229">
                  <c:v>0.73000000000000065</c:v>
                </c:pt>
                <c:pt idx="230">
                  <c:v>0.73500000000000065</c:v>
                </c:pt>
                <c:pt idx="231">
                  <c:v>0.75000000000000344</c:v>
                </c:pt>
                <c:pt idx="232">
                  <c:v>0.70900000000000063</c:v>
                </c:pt>
                <c:pt idx="233">
                  <c:v>0.70100000000000062</c:v>
                </c:pt>
                <c:pt idx="234">
                  <c:v>0.71100000000000063</c:v>
                </c:pt>
                <c:pt idx="235">
                  <c:v>0.70600000000000063</c:v>
                </c:pt>
                <c:pt idx="236">
                  <c:v>0.73000000000000065</c:v>
                </c:pt>
                <c:pt idx="237">
                  <c:v>0.71100000000000063</c:v>
                </c:pt>
                <c:pt idx="238">
                  <c:v>0.73700000000000065</c:v>
                </c:pt>
                <c:pt idx="239">
                  <c:v>0.73100000000000065</c:v>
                </c:pt>
                <c:pt idx="240">
                  <c:v>0.75900000000000378</c:v>
                </c:pt>
                <c:pt idx="241">
                  <c:v>0.74300000000000332</c:v>
                </c:pt>
                <c:pt idx="242">
                  <c:v>0.75400000000000378</c:v>
                </c:pt>
                <c:pt idx="243">
                  <c:v>0.78200000000000003</c:v>
                </c:pt>
                <c:pt idx="244">
                  <c:v>0.78</c:v>
                </c:pt>
                <c:pt idx="245">
                  <c:v>0.8</c:v>
                </c:pt>
                <c:pt idx="246">
                  <c:v>0.81200000000000061</c:v>
                </c:pt>
                <c:pt idx="247">
                  <c:v>0.80100000000000005</c:v>
                </c:pt>
                <c:pt idx="248">
                  <c:v>0.79200000000000004</c:v>
                </c:pt>
                <c:pt idx="249">
                  <c:v>0.84400000000000064</c:v>
                </c:pt>
                <c:pt idx="250">
                  <c:v>0.87100000000000333</c:v>
                </c:pt>
                <c:pt idx="251">
                  <c:v>0.86100000000000065</c:v>
                </c:pt>
                <c:pt idx="252">
                  <c:v>0.86900000000000333</c:v>
                </c:pt>
                <c:pt idx="253">
                  <c:v>0.83100000000000063</c:v>
                </c:pt>
                <c:pt idx="254">
                  <c:v>0.85000000000000064</c:v>
                </c:pt>
                <c:pt idx="255">
                  <c:v>0.80900000000000005</c:v>
                </c:pt>
                <c:pt idx="256">
                  <c:v>0.84100000000000064</c:v>
                </c:pt>
                <c:pt idx="257">
                  <c:v>0.89200000000000002</c:v>
                </c:pt>
                <c:pt idx="258">
                  <c:v>0.92100000000000004</c:v>
                </c:pt>
                <c:pt idx="259">
                  <c:v>0.89</c:v>
                </c:pt>
                <c:pt idx="260">
                  <c:v>0.90700000000000003</c:v>
                </c:pt>
                <c:pt idx="261">
                  <c:v>0.91500000000000004</c:v>
                </c:pt>
                <c:pt idx="262">
                  <c:v>0.9</c:v>
                </c:pt>
                <c:pt idx="263">
                  <c:v>0.88500000000000001</c:v>
                </c:pt>
                <c:pt idx="264">
                  <c:v>0.88900000000000001</c:v>
                </c:pt>
                <c:pt idx="265">
                  <c:v>0.87000000000000333</c:v>
                </c:pt>
                <c:pt idx="266">
                  <c:v>0.84700000000000064</c:v>
                </c:pt>
                <c:pt idx="267">
                  <c:v>0.84200000000000064</c:v>
                </c:pt>
                <c:pt idx="268">
                  <c:v>0.89400000000000002</c:v>
                </c:pt>
                <c:pt idx="269">
                  <c:v>0.88900000000000001</c:v>
                </c:pt>
              </c:numCache>
            </c:numRef>
          </c:val>
        </c:ser>
        <c:ser>
          <c:idx val="1"/>
          <c:order val="1"/>
          <c:tx>
            <c:strRef>
              <c:f>'ΣΤΟΙΧΕΙΑ ΓΙΑ ΠΡΟΥΠ 2018'!$C$2</c:f>
              <c:strCache>
                <c:ptCount val="1"/>
                <c:pt idx="0">
                  <c:v>ΓΑΛΛΙΑ</c:v>
                </c:pt>
              </c:strCache>
            </c:strRef>
          </c:tx>
          <c:spPr>
            <a:ln>
              <a:solidFill>
                <a:srgbClr val="7030A0"/>
              </a:solidFill>
            </a:ln>
          </c:spPr>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2018'!$C$3:$C$1549</c:f>
              <c:numCache>
                <c:formatCode>General</c:formatCode>
                <c:ptCount val="270"/>
                <c:pt idx="0">
                  <c:v>0.73700000000000065</c:v>
                </c:pt>
                <c:pt idx="1">
                  <c:v>0.75100000000000355</c:v>
                </c:pt>
                <c:pt idx="2">
                  <c:v>0.74700000000000333</c:v>
                </c:pt>
                <c:pt idx="3">
                  <c:v>0.73500000000000065</c:v>
                </c:pt>
                <c:pt idx="4">
                  <c:v>0.73500000000000065</c:v>
                </c:pt>
                <c:pt idx="5">
                  <c:v>0.71800000000000064</c:v>
                </c:pt>
                <c:pt idx="6">
                  <c:v>0.71700000000000064</c:v>
                </c:pt>
                <c:pt idx="7">
                  <c:v>0.88500000000000001</c:v>
                </c:pt>
                <c:pt idx="8">
                  <c:v>0.86300000000000165</c:v>
                </c:pt>
                <c:pt idx="9">
                  <c:v>0.81699999999999995</c:v>
                </c:pt>
                <c:pt idx="10">
                  <c:v>0.78700000000000003</c:v>
                </c:pt>
                <c:pt idx="11">
                  <c:v>0.77700000000000413</c:v>
                </c:pt>
                <c:pt idx="12">
                  <c:v>0.80700000000000005</c:v>
                </c:pt>
                <c:pt idx="13">
                  <c:v>0.81100000000000005</c:v>
                </c:pt>
                <c:pt idx="14">
                  <c:v>0.85800000000000065</c:v>
                </c:pt>
                <c:pt idx="15">
                  <c:v>0.83800000000000063</c:v>
                </c:pt>
                <c:pt idx="16">
                  <c:v>0.87900000000000378</c:v>
                </c:pt>
                <c:pt idx="17">
                  <c:v>0.88300000000000001</c:v>
                </c:pt>
                <c:pt idx="18">
                  <c:v>0.82299999999999995</c:v>
                </c:pt>
                <c:pt idx="19">
                  <c:v>0.79100000000000004</c:v>
                </c:pt>
                <c:pt idx="20">
                  <c:v>0.76300000000000379</c:v>
                </c:pt>
                <c:pt idx="21">
                  <c:v>0.75500000000000378</c:v>
                </c:pt>
                <c:pt idx="22">
                  <c:v>0.76300000000000379</c:v>
                </c:pt>
                <c:pt idx="23">
                  <c:v>0.75900000000000378</c:v>
                </c:pt>
                <c:pt idx="24">
                  <c:v>0.75300000000000378</c:v>
                </c:pt>
                <c:pt idx="25">
                  <c:v>0.72600000000000064</c:v>
                </c:pt>
                <c:pt idx="26">
                  <c:v>0.68799999999999994</c:v>
                </c:pt>
                <c:pt idx="27">
                  <c:v>0.69599999999999995</c:v>
                </c:pt>
                <c:pt idx="28">
                  <c:v>0.74900000000000333</c:v>
                </c:pt>
                <c:pt idx="29">
                  <c:v>0.77900000000000424</c:v>
                </c:pt>
                <c:pt idx="30">
                  <c:v>0.77900000000000424</c:v>
                </c:pt>
                <c:pt idx="31">
                  <c:v>0.76000000000000378</c:v>
                </c:pt>
                <c:pt idx="32">
                  <c:v>0.73200000000000065</c:v>
                </c:pt>
                <c:pt idx="33">
                  <c:v>0.72700000000000065</c:v>
                </c:pt>
                <c:pt idx="34">
                  <c:v>0.70600000000000063</c:v>
                </c:pt>
                <c:pt idx="35">
                  <c:v>0.69599999999999995</c:v>
                </c:pt>
                <c:pt idx="36">
                  <c:v>0.67100000000000426</c:v>
                </c:pt>
                <c:pt idx="37">
                  <c:v>0.66500000000000425</c:v>
                </c:pt>
                <c:pt idx="38">
                  <c:v>0.67900000000000438</c:v>
                </c:pt>
                <c:pt idx="39">
                  <c:v>0.69499999999999995</c:v>
                </c:pt>
                <c:pt idx="40">
                  <c:v>0.67500000000000426</c:v>
                </c:pt>
                <c:pt idx="41">
                  <c:v>0.67100000000000426</c:v>
                </c:pt>
                <c:pt idx="42">
                  <c:v>0.71000000000000063</c:v>
                </c:pt>
                <c:pt idx="43">
                  <c:v>0.68200000000000005</c:v>
                </c:pt>
                <c:pt idx="44">
                  <c:v>0.60700000000000065</c:v>
                </c:pt>
                <c:pt idx="45">
                  <c:v>0.65200000000000413</c:v>
                </c:pt>
                <c:pt idx="46">
                  <c:v>0.62300000000000333</c:v>
                </c:pt>
                <c:pt idx="47">
                  <c:v>0.61100000000000065</c:v>
                </c:pt>
                <c:pt idx="48">
                  <c:v>0.61000000000000065</c:v>
                </c:pt>
                <c:pt idx="49">
                  <c:v>0.63300000000000378</c:v>
                </c:pt>
                <c:pt idx="50">
                  <c:v>0.62300000000000333</c:v>
                </c:pt>
                <c:pt idx="51">
                  <c:v>0.64300000000000379</c:v>
                </c:pt>
                <c:pt idx="52">
                  <c:v>0.65900000000000425</c:v>
                </c:pt>
                <c:pt idx="53">
                  <c:v>0.64600000000000379</c:v>
                </c:pt>
                <c:pt idx="54">
                  <c:v>0.63200000000000378</c:v>
                </c:pt>
                <c:pt idx="55">
                  <c:v>0.63100000000000378</c:v>
                </c:pt>
                <c:pt idx="56">
                  <c:v>0.70600000000000063</c:v>
                </c:pt>
                <c:pt idx="57">
                  <c:v>0.73400000000000065</c:v>
                </c:pt>
                <c:pt idx="58">
                  <c:v>0.73700000000000065</c:v>
                </c:pt>
                <c:pt idx="59">
                  <c:v>0.74200000000000332</c:v>
                </c:pt>
                <c:pt idx="60">
                  <c:v>0.71900000000000064</c:v>
                </c:pt>
                <c:pt idx="61">
                  <c:v>0.76800000000000379</c:v>
                </c:pt>
                <c:pt idx="62">
                  <c:v>0.78500000000000003</c:v>
                </c:pt>
                <c:pt idx="63">
                  <c:v>0.82299999999999995</c:v>
                </c:pt>
                <c:pt idx="64">
                  <c:v>0.79700000000000004</c:v>
                </c:pt>
                <c:pt idx="65">
                  <c:v>0.80100000000000005</c:v>
                </c:pt>
                <c:pt idx="66">
                  <c:v>0.79700000000000004</c:v>
                </c:pt>
                <c:pt idx="67">
                  <c:v>0.78800000000000003</c:v>
                </c:pt>
                <c:pt idx="68">
                  <c:v>0.81799999999999995</c:v>
                </c:pt>
                <c:pt idx="69">
                  <c:v>0.81299999999999994</c:v>
                </c:pt>
                <c:pt idx="70">
                  <c:v>0.86300000000000165</c:v>
                </c:pt>
                <c:pt idx="71">
                  <c:v>0.85200000000000065</c:v>
                </c:pt>
                <c:pt idx="72">
                  <c:v>0.86100000000000065</c:v>
                </c:pt>
                <c:pt idx="73">
                  <c:v>0.83700000000000063</c:v>
                </c:pt>
                <c:pt idx="74">
                  <c:v>0.83800000000000063</c:v>
                </c:pt>
                <c:pt idx="75">
                  <c:v>0.84900000000000064</c:v>
                </c:pt>
                <c:pt idx="76">
                  <c:v>0.84200000000000064</c:v>
                </c:pt>
                <c:pt idx="77">
                  <c:v>0.84300000000000064</c:v>
                </c:pt>
                <c:pt idx="78">
                  <c:v>0.84200000000000064</c:v>
                </c:pt>
                <c:pt idx="79">
                  <c:v>0.85900000000000065</c:v>
                </c:pt>
                <c:pt idx="80">
                  <c:v>0.88400000000000001</c:v>
                </c:pt>
                <c:pt idx="81">
                  <c:v>0.91300000000000003</c:v>
                </c:pt>
                <c:pt idx="82">
                  <c:v>0.97000000000000064</c:v>
                </c:pt>
                <c:pt idx="83">
                  <c:v>0.96300000000000063</c:v>
                </c:pt>
                <c:pt idx="84">
                  <c:v>0.96800000000000064</c:v>
                </c:pt>
                <c:pt idx="85">
                  <c:v>0.97700000000000065</c:v>
                </c:pt>
                <c:pt idx="86">
                  <c:v>1.018</c:v>
                </c:pt>
                <c:pt idx="87">
                  <c:v>0.996</c:v>
                </c:pt>
                <c:pt idx="88">
                  <c:v>0.95600000000000063</c:v>
                </c:pt>
                <c:pt idx="89">
                  <c:v>0.98399999999999999</c:v>
                </c:pt>
                <c:pt idx="90">
                  <c:v>0.996</c:v>
                </c:pt>
                <c:pt idx="91">
                  <c:v>0.98499999999999999</c:v>
                </c:pt>
                <c:pt idx="92">
                  <c:v>0.995</c:v>
                </c:pt>
                <c:pt idx="93">
                  <c:v>0.996</c:v>
                </c:pt>
                <c:pt idx="94">
                  <c:v>0.995</c:v>
                </c:pt>
                <c:pt idx="95">
                  <c:v>1.008</c:v>
                </c:pt>
                <c:pt idx="96">
                  <c:v>0.95300000000000062</c:v>
                </c:pt>
                <c:pt idx="97">
                  <c:v>0.99199999999999999</c:v>
                </c:pt>
                <c:pt idx="98">
                  <c:v>1.002</c:v>
                </c:pt>
                <c:pt idx="99">
                  <c:v>0.98799999999999999</c:v>
                </c:pt>
                <c:pt idx="100">
                  <c:v>0.98099999999999998</c:v>
                </c:pt>
                <c:pt idx="101">
                  <c:v>0.93300000000000005</c:v>
                </c:pt>
                <c:pt idx="102">
                  <c:v>0.93300000000000005</c:v>
                </c:pt>
                <c:pt idx="103">
                  <c:v>0.94899999999999995</c:v>
                </c:pt>
                <c:pt idx="104">
                  <c:v>0.91800000000000004</c:v>
                </c:pt>
                <c:pt idx="105">
                  <c:v>0.90900000000000003</c:v>
                </c:pt>
                <c:pt idx="106">
                  <c:v>0.92</c:v>
                </c:pt>
                <c:pt idx="107">
                  <c:v>0.90700000000000003</c:v>
                </c:pt>
                <c:pt idx="108">
                  <c:v>0.92800000000000005</c:v>
                </c:pt>
                <c:pt idx="109">
                  <c:v>0.89900000000000002</c:v>
                </c:pt>
                <c:pt idx="110">
                  <c:v>0.86400000000000265</c:v>
                </c:pt>
                <c:pt idx="111">
                  <c:v>0.89100000000000001</c:v>
                </c:pt>
                <c:pt idx="112">
                  <c:v>0.87200000000000333</c:v>
                </c:pt>
                <c:pt idx="113">
                  <c:v>0.86200000000000065</c:v>
                </c:pt>
                <c:pt idx="114">
                  <c:v>0.83700000000000063</c:v>
                </c:pt>
                <c:pt idx="115">
                  <c:v>0.82199999999999995</c:v>
                </c:pt>
                <c:pt idx="116">
                  <c:v>0.81699999999999995</c:v>
                </c:pt>
                <c:pt idx="117">
                  <c:v>0.81699999999999995</c:v>
                </c:pt>
                <c:pt idx="118">
                  <c:v>0.82500000000000062</c:v>
                </c:pt>
                <c:pt idx="119">
                  <c:v>0.82900000000000063</c:v>
                </c:pt>
                <c:pt idx="120">
                  <c:v>0.76900000000000379</c:v>
                </c:pt>
                <c:pt idx="121">
                  <c:v>0.75900000000000378</c:v>
                </c:pt>
                <c:pt idx="122">
                  <c:v>0.75700000000000378</c:v>
                </c:pt>
                <c:pt idx="123">
                  <c:v>0.73100000000000065</c:v>
                </c:pt>
                <c:pt idx="124">
                  <c:v>0.73100000000000065</c:v>
                </c:pt>
                <c:pt idx="125">
                  <c:v>0.72100000000000064</c:v>
                </c:pt>
                <c:pt idx="126">
                  <c:v>0.73000000000000065</c:v>
                </c:pt>
                <c:pt idx="127">
                  <c:v>0.72200000000000064</c:v>
                </c:pt>
                <c:pt idx="128">
                  <c:v>0.75600000000000378</c:v>
                </c:pt>
                <c:pt idx="129">
                  <c:v>0.73600000000000065</c:v>
                </c:pt>
                <c:pt idx="130">
                  <c:v>0.73800000000000165</c:v>
                </c:pt>
                <c:pt idx="131">
                  <c:v>0.75500000000000378</c:v>
                </c:pt>
                <c:pt idx="132">
                  <c:v>0.73900000000000265</c:v>
                </c:pt>
                <c:pt idx="133">
                  <c:v>0.75100000000000355</c:v>
                </c:pt>
                <c:pt idx="134">
                  <c:v>0.74100000000000332</c:v>
                </c:pt>
                <c:pt idx="135">
                  <c:v>0.75100000000000355</c:v>
                </c:pt>
                <c:pt idx="136">
                  <c:v>0.73000000000000065</c:v>
                </c:pt>
                <c:pt idx="137">
                  <c:v>0.74900000000000333</c:v>
                </c:pt>
                <c:pt idx="138">
                  <c:v>0.81899999999999995</c:v>
                </c:pt>
                <c:pt idx="139">
                  <c:v>0.81100000000000005</c:v>
                </c:pt>
                <c:pt idx="140">
                  <c:v>0.84700000000000064</c:v>
                </c:pt>
                <c:pt idx="141">
                  <c:v>0.84600000000000064</c:v>
                </c:pt>
                <c:pt idx="142">
                  <c:v>0.85500000000000065</c:v>
                </c:pt>
                <c:pt idx="143">
                  <c:v>0.81699999999999995</c:v>
                </c:pt>
                <c:pt idx="144">
                  <c:v>0.79600000000000004</c:v>
                </c:pt>
                <c:pt idx="145">
                  <c:v>0.78600000000000003</c:v>
                </c:pt>
                <c:pt idx="146">
                  <c:v>0.80300000000000005</c:v>
                </c:pt>
                <c:pt idx="147">
                  <c:v>0.76100000000000378</c:v>
                </c:pt>
                <c:pt idx="148">
                  <c:v>0.78200000000000003</c:v>
                </c:pt>
                <c:pt idx="149">
                  <c:v>0.76800000000000379</c:v>
                </c:pt>
                <c:pt idx="150">
                  <c:v>0.80600000000000005</c:v>
                </c:pt>
                <c:pt idx="151">
                  <c:v>0.79600000000000004</c:v>
                </c:pt>
                <c:pt idx="152">
                  <c:v>0.79700000000000004</c:v>
                </c:pt>
                <c:pt idx="153">
                  <c:v>0.78800000000000003</c:v>
                </c:pt>
                <c:pt idx="154">
                  <c:v>0.83600000000000063</c:v>
                </c:pt>
                <c:pt idx="155">
                  <c:v>0.86300000000000165</c:v>
                </c:pt>
                <c:pt idx="156">
                  <c:v>0.84300000000000064</c:v>
                </c:pt>
                <c:pt idx="157">
                  <c:v>0.87100000000000333</c:v>
                </c:pt>
                <c:pt idx="158">
                  <c:v>0.83200000000000063</c:v>
                </c:pt>
                <c:pt idx="159">
                  <c:v>0.81799999999999995</c:v>
                </c:pt>
                <c:pt idx="160">
                  <c:v>0.83200000000000063</c:v>
                </c:pt>
                <c:pt idx="161">
                  <c:v>0.80700000000000005</c:v>
                </c:pt>
                <c:pt idx="162">
                  <c:v>0.75900000000000378</c:v>
                </c:pt>
                <c:pt idx="163">
                  <c:v>0.71100000000000063</c:v>
                </c:pt>
                <c:pt idx="164">
                  <c:v>0.69899999999999995</c:v>
                </c:pt>
                <c:pt idx="165">
                  <c:v>0.65500000000000425</c:v>
                </c:pt>
                <c:pt idx="166">
                  <c:v>0.69000000000000061</c:v>
                </c:pt>
                <c:pt idx="167">
                  <c:v>0.66800000000000426</c:v>
                </c:pt>
                <c:pt idx="168">
                  <c:v>0.70900000000000063</c:v>
                </c:pt>
                <c:pt idx="169">
                  <c:v>0.72600000000000064</c:v>
                </c:pt>
                <c:pt idx="170">
                  <c:v>0.69599999999999995</c:v>
                </c:pt>
                <c:pt idx="171">
                  <c:v>0.80400000000000005</c:v>
                </c:pt>
                <c:pt idx="172">
                  <c:v>0.82700000000000062</c:v>
                </c:pt>
                <c:pt idx="173">
                  <c:v>0.81799999999999995</c:v>
                </c:pt>
                <c:pt idx="174">
                  <c:v>0.90700000000000003</c:v>
                </c:pt>
                <c:pt idx="175">
                  <c:v>0.88</c:v>
                </c:pt>
                <c:pt idx="176">
                  <c:v>0.84200000000000064</c:v>
                </c:pt>
                <c:pt idx="177">
                  <c:v>0.76700000000000379</c:v>
                </c:pt>
                <c:pt idx="178">
                  <c:v>0.73300000000000065</c:v>
                </c:pt>
                <c:pt idx="179">
                  <c:v>0.72400000000000064</c:v>
                </c:pt>
                <c:pt idx="180">
                  <c:v>0.70300000000000062</c:v>
                </c:pt>
                <c:pt idx="181">
                  <c:v>0.71100000000000063</c:v>
                </c:pt>
                <c:pt idx="182">
                  <c:v>0.70500000000000063</c:v>
                </c:pt>
                <c:pt idx="183">
                  <c:v>0.70900000000000063</c:v>
                </c:pt>
                <c:pt idx="184">
                  <c:v>0.71800000000000064</c:v>
                </c:pt>
                <c:pt idx="185">
                  <c:v>0.73900000000000265</c:v>
                </c:pt>
                <c:pt idx="186">
                  <c:v>0.71400000000000063</c:v>
                </c:pt>
                <c:pt idx="187">
                  <c:v>0.70600000000000063</c:v>
                </c:pt>
                <c:pt idx="188">
                  <c:v>0.66500000000000425</c:v>
                </c:pt>
                <c:pt idx="189">
                  <c:v>0.65700000000000425</c:v>
                </c:pt>
                <c:pt idx="190">
                  <c:v>0.63800000000000379</c:v>
                </c:pt>
                <c:pt idx="191">
                  <c:v>0.64500000000000379</c:v>
                </c:pt>
                <c:pt idx="192">
                  <c:v>0.64400000000000379</c:v>
                </c:pt>
                <c:pt idx="193">
                  <c:v>0.64200000000000379</c:v>
                </c:pt>
                <c:pt idx="194">
                  <c:v>0.64000000000000379</c:v>
                </c:pt>
                <c:pt idx="195">
                  <c:v>0.65600000000000425</c:v>
                </c:pt>
                <c:pt idx="196">
                  <c:v>0.6490000000000038</c:v>
                </c:pt>
                <c:pt idx="197">
                  <c:v>0.63900000000000379</c:v>
                </c:pt>
                <c:pt idx="198">
                  <c:v>0.61800000000000332</c:v>
                </c:pt>
                <c:pt idx="199">
                  <c:v>0.65000000000000391</c:v>
                </c:pt>
                <c:pt idx="200">
                  <c:v>0.62800000000000378</c:v>
                </c:pt>
                <c:pt idx="201">
                  <c:v>0.63000000000000378</c:v>
                </c:pt>
                <c:pt idx="202">
                  <c:v>0.62700000000000367</c:v>
                </c:pt>
                <c:pt idx="203">
                  <c:v>0.68</c:v>
                </c:pt>
                <c:pt idx="204">
                  <c:v>0.71700000000000064</c:v>
                </c:pt>
                <c:pt idx="205">
                  <c:v>0.70400000000000063</c:v>
                </c:pt>
                <c:pt idx="206">
                  <c:v>0.69599999999999995</c:v>
                </c:pt>
                <c:pt idx="207">
                  <c:v>0.70000000000000062</c:v>
                </c:pt>
                <c:pt idx="208">
                  <c:v>0.70300000000000062</c:v>
                </c:pt>
                <c:pt idx="209">
                  <c:v>0.74800000000000333</c:v>
                </c:pt>
                <c:pt idx="210">
                  <c:v>0.73200000000000065</c:v>
                </c:pt>
                <c:pt idx="211">
                  <c:v>0.77800000000000424</c:v>
                </c:pt>
                <c:pt idx="212">
                  <c:v>0.78200000000000003</c:v>
                </c:pt>
                <c:pt idx="213">
                  <c:v>0.74000000000000332</c:v>
                </c:pt>
                <c:pt idx="214">
                  <c:v>0.71500000000000064</c:v>
                </c:pt>
                <c:pt idx="215">
                  <c:v>0.72900000000000065</c:v>
                </c:pt>
                <c:pt idx="216">
                  <c:v>0.73000000000000065</c:v>
                </c:pt>
                <c:pt idx="217">
                  <c:v>0.71200000000000063</c:v>
                </c:pt>
                <c:pt idx="218">
                  <c:v>0.67000000000000426</c:v>
                </c:pt>
                <c:pt idx="219">
                  <c:v>0.68100000000000005</c:v>
                </c:pt>
                <c:pt idx="220">
                  <c:v>0.68200000000000005</c:v>
                </c:pt>
                <c:pt idx="221">
                  <c:v>0.66900000000000426</c:v>
                </c:pt>
                <c:pt idx="222">
                  <c:v>0.67700000000000427</c:v>
                </c:pt>
                <c:pt idx="223">
                  <c:v>0.66700000000000426</c:v>
                </c:pt>
                <c:pt idx="224">
                  <c:v>0.65300000000000424</c:v>
                </c:pt>
                <c:pt idx="225">
                  <c:v>0.67200000000000426</c:v>
                </c:pt>
                <c:pt idx="226">
                  <c:v>0.68700000000000061</c:v>
                </c:pt>
                <c:pt idx="227">
                  <c:v>0.67800000000000427</c:v>
                </c:pt>
                <c:pt idx="228">
                  <c:v>0.68700000000000061</c:v>
                </c:pt>
                <c:pt idx="229">
                  <c:v>0.71300000000000063</c:v>
                </c:pt>
                <c:pt idx="230">
                  <c:v>0.71900000000000064</c:v>
                </c:pt>
                <c:pt idx="231">
                  <c:v>0.73600000000000065</c:v>
                </c:pt>
                <c:pt idx="232">
                  <c:v>0.69299999999999995</c:v>
                </c:pt>
                <c:pt idx="233">
                  <c:v>0.68200000000000005</c:v>
                </c:pt>
                <c:pt idx="234">
                  <c:v>0.69299999999999995</c:v>
                </c:pt>
                <c:pt idx="235">
                  <c:v>0.69199999999999995</c:v>
                </c:pt>
                <c:pt idx="236">
                  <c:v>0.71800000000000064</c:v>
                </c:pt>
                <c:pt idx="237">
                  <c:v>0.69499999999999995</c:v>
                </c:pt>
                <c:pt idx="238">
                  <c:v>0.71900000000000064</c:v>
                </c:pt>
                <c:pt idx="239">
                  <c:v>0.71100000000000063</c:v>
                </c:pt>
                <c:pt idx="240">
                  <c:v>0.73800000000000165</c:v>
                </c:pt>
                <c:pt idx="241">
                  <c:v>0.71900000000000064</c:v>
                </c:pt>
                <c:pt idx="242">
                  <c:v>0.73400000000000065</c:v>
                </c:pt>
                <c:pt idx="243">
                  <c:v>0.76700000000000379</c:v>
                </c:pt>
                <c:pt idx="244">
                  <c:v>0.77200000000000379</c:v>
                </c:pt>
                <c:pt idx="245">
                  <c:v>0.78900000000000003</c:v>
                </c:pt>
                <c:pt idx="246">
                  <c:v>0.8</c:v>
                </c:pt>
                <c:pt idx="247">
                  <c:v>0.78800000000000003</c:v>
                </c:pt>
                <c:pt idx="248">
                  <c:v>0.77900000000000424</c:v>
                </c:pt>
                <c:pt idx="249">
                  <c:v>0.83000000000000063</c:v>
                </c:pt>
                <c:pt idx="250">
                  <c:v>0.85600000000000065</c:v>
                </c:pt>
                <c:pt idx="251">
                  <c:v>0.84300000000000064</c:v>
                </c:pt>
                <c:pt idx="252">
                  <c:v>0.84600000000000064</c:v>
                </c:pt>
                <c:pt idx="253">
                  <c:v>0.80400000000000005</c:v>
                </c:pt>
                <c:pt idx="254">
                  <c:v>0.82600000000000062</c:v>
                </c:pt>
                <c:pt idx="255">
                  <c:v>0.78600000000000003</c:v>
                </c:pt>
                <c:pt idx="256">
                  <c:v>0.82000000000000062</c:v>
                </c:pt>
                <c:pt idx="257">
                  <c:v>0.87400000000000333</c:v>
                </c:pt>
                <c:pt idx="258">
                  <c:v>0.90500000000000003</c:v>
                </c:pt>
                <c:pt idx="259">
                  <c:v>0.87500000000000344</c:v>
                </c:pt>
                <c:pt idx="260">
                  <c:v>0.89</c:v>
                </c:pt>
                <c:pt idx="261">
                  <c:v>0.90200000000000002</c:v>
                </c:pt>
                <c:pt idx="262">
                  <c:v>0.88200000000000001</c:v>
                </c:pt>
                <c:pt idx="263">
                  <c:v>0.86700000000000332</c:v>
                </c:pt>
                <c:pt idx="264">
                  <c:v>0.86900000000000333</c:v>
                </c:pt>
                <c:pt idx="265">
                  <c:v>0.84300000000000064</c:v>
                </c:pt>
                <c:pt idx="266">
                  <c:v>0.81599999999999995</c:v>
                </c:pt>
                <c:pt idx="267">
                  <c:v>0.79700000000000004</c:v>
                </c:pt>
                <c:pt idx="268">
                  <c:v>0.84000000000000064</c:v>
                </c:pt>
                <c:pt idx="269">
                  <c:v>0.83300000000000063</c:v>
                </c:pt>
              </c:numCache>
            </c:numRef>
          </c:val>
        </c:ser>
        <c:ser>
          <c:idx val="2"/>
          <c:order val="2"/>
          <c:tx>
            <c:strRef>
              <c:f>'ΣΤΟΙΧΕΙΑ ΓΙΑ ΠΡΟΥΠ 2018'!$D$2</c:f>
              <c:strCache>
                <c:ptCount val="1"/>
                <c:pt idx="0">
                  <c:v>ΕΛΛΑΔΑ</c:v>
                </c:pt>
              </c:strCache>
            </c:strRef>
          </c:tx>
          <c:spPr>
            <a:ln>
              <a:solidFill>
                <a:srgbClr val="0070C0"/>
              </a:solidFill>
            </a:ln>
          </c:spPr>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2018'!$D$3:$D$1549</c:f>
              <c:numCache>
                <c:formatCode>General</c:formatCode>
                <c:ptCount val="270"/>
                <c:pt idx="0">
                  <c:v>5.5880000000000001</c:v>
                </c:pt>
                <c:pt idx="1">
                  <c:v>5.5990000000000002</c:v>
                </c:pt>
                <c:pt idx="2">
                  <c:v>5.5990000000000002</c:v>
                </c:pt>
                <c:pt idx="3">
                  <c:v>5.6029999999999855</c:v>
                </c:pt>
                <c:pt idx="4">
                  <c:v>5.6019999999999985</c:v>
                </c:pt>
                <c:pt idx="5">
                  <c:v>5.593</c:v>
                </c:pt>
                <c:pt idx="6">
                  <c:v>5.5819999999999999</c:v>
                </c:pt>
                <c:pt idx="7">
                  <c:v>5.5709999999999997</c:v>
                </c:pt>
                <c:pt idx="8">
                  <c:v>5.58</c:v>
                </c:pt>
                <c:pt idx="9">
                  <c:v>5.54</c:v>
                </c:pt>
                <c:pt idx="10">
                  <c:v>5.4889999999999999</c:v>
                </c:pt>
                <c:pt idx="11">
                  <c:v>5.46</c:v>
                </c:pt>
                <c:pt idx="12">
                  <c:v>5.508</c:v>
                </c:pt>
                <c:pt idx="13">
                  <c:v>5.5609999999999955</c:v>
                </c:pt>
                <c:pt idx="14">
                  <c:v>5.5709999999999997</c:v>
                </c:pt>
                <c:pt idx="15">
                  <c:v>5.5549999999999855</c:v>
                </c:pt>
                <c:pt idx="16">
                  <c:v>5.5339999999999998</c:v>
                </c:pt>
                <c:pt idx="17">
                  <c:v>5.5659999999999945</c:v>
                </c:pt>
                <c:pt idx="18">
                  <c:v>5.55</c:v>
                </c:pt>
                <c:pt idx="19">
                  <c:v>5.5380000000000003</c:v>
                </c:pt>
                <c:pt idx="20">
                  <c:v>5.5549999999999855</c:v>
                </c:pt>
                <c:pt idx="21">
                  <c:v>5.4690000000000003</c:v>
                </c:pt>
                <c:pt idx="22">
                  <c:v>5.2669999999999995</c:v>
                </c:pt>
                <c:pt idx="23">
                  <c:v>5.085</c:v>
                </c:pt>
                <c:pt idx="24">
                  <c:v>5.141</c:v>
                </c:pt>
                <c:pt idx="25">
                  <c:v>5.1149999999999745</c:v>
                </c:pt>
                <c:pt idx="26">
                  <c:v>5.0830000000000002</c:v>
                </c:pt>
                <c:pt idx="27">
                  <c:v>5.1209999999999845</c:v>
                </c:pt>
                <c:pt idx="28">
                  <c:v>5.1599999999999975</c:v>
                </c:pt>
                <c:pt idx="29">
                  <c:v>5.1790000000000003</c:v>
                </c:pt>
                <c:pt idx="30">
                  <c:v>5.0709999999999997</c:v>
                </c:pt>
                <c:pt idx="31">
                  <c:v>5.0830000000000002</c:v>
                </c:pt>
                <c:pt idx="32">
                  <c:v>5.0960000000000001</c:v>
                </c:pt>
                <c:pt idx="33">
                  <c:v>5.2</c:v>
                </c:pt>
                <c:pt idx="34">
                  <c:v>5.2210000000000001</c:v>
                </c:pt>
                <c:pt idx="35">
                  <c:v>5.2700000000000014</c:v>
                </c:pt>
                <c:pt idx="36">
                  <c:v>5.335</c:v>
                </c:pt>
                <c:pt idx="37">
                  <c:v>5.3689999999999856</c:v>
                </c:pt>
                <c:pt idx="38">
                  <c:v>5.383</c:v>
                </c:pt>
                <c:pt idx="39">
                  <c:v>5.383</c:v>
                </c:pt>
                <c:pt idx="40">
                  <c:v>5.3719999999999999</c:v>
                </c:pt>
                <c:pt idx="41">
                  <c:v>5.3339999999999996</c:v>
                </c:pt>
                <c:pt idx="42">
                  <c:v>5.4820000000000002</c:v>
                </c:pt>
                <c:pt idx="43">
                  <c:v>5.4480000000000004</c:v>
                </c:pt>
                <c:pt idx="44">
                  <c:v>5.45</c:v>
                </c:pt>
                <c:pt idx="45">
                  <c:v>5.383</c:v>
                </c:pt>
                <c:pt idx="46">
                  <c:v>4.8360000000000003</c:v>
                </c:pt>
                <c:pt idx="47">
                  <c:v>4.8109999999999955</c:v>
                </c:pt>
                <c:pt idx="48">
                  <c:v>4.7830000000000004</c:v>
                </c:pt>
                <c:pt idx="49">
                  <c:v>4.5169999999999995</c:v>
                </c:pt>
                <c:pt idx="50">
                  <c:v>4.5179999999999945</c:v>
                </c:pt>
                <c:pt idx="51">
                  <c:v>4.3789999999999996</c:v>
                </c:pt>
                <c:pt idx="52">
                  <c:v>4.2629999999999955</c:v>
                </c:pt>
                <c:pt idx="53">
                  <c:v>4.1189999999999856</c:v>
                </c:pt>
                <c:pt idx="54">
                  <c:v>3.9689999999999999</c:v>
                </c:pt>
                <c:pt idx="55">
                  <c:v>3.9630000000000001</c:v>
                </c:pt>
                <c:pt idx="56">
                  <c:v>4.1079999999999846</c:v>
                </c:pt>
                <c:pt idx="57">
                  <c:v>4.1399999999999997</c:v>
                </c:pt>
                <c:pt idx="58">
                  <c:v>4.0919999999999996</c:v>
                </c:pt>
                <c:pt idx="59">
                  <c:v>4.1379999999999955</c:v>
                </c:pt>
                <c:pt idx="60">
                  <c:v>4.1109999999999856</c:v>
                </c:pt>
                <c:pt idx="61">
                  <c:v>4.1279999999999681</c:v>
                </c:pt>
                <c:pt idx="62">
                  <c:v>4.1149999999999745</c:v>
                </c:pt>
                <c:pt idx="63">
                  <c:v>4.1059999999999945</c:v>
                </c:pt>
                <c:pt idx="64">
                  <c:v>4.0179999999999945</c:v>
                </c:pt>
                <c:pt idx="65">
                  <c:v>3.8899999999999997</c:v>
                </c:pt>
                <c:pt idx="66">
                  <c:v>3.7669999999999999</c:v>
                </c:pt>
                <c:pt idx="67">
                  <c:v>3.6909999999999998</c:v>
                </c:pt>
                <c:pt idx="68">
                  <c:v>3.6859999999999999</c:v>
                </c:pt>
                <c:pt idx="69">
                  <c:v>3.7080000000000002</c:v>
                </c:pt>
                <c:pt idx="70">
                  <c:v>3.8819999999999997</c:v>
                </c:pt>
                <c:pt idx="71">
                  <c:v>3.8979999999999997</c:v>
                </c:pt>
                <c:pt idx="72">
                  <c:v>3.8949999999999987</c:v>
                </c:pt>
                <c:pt idx="73">
                  <c:v>3.7829999999999999</c:v>
                </c:pt>
                <c:pt idx="74">
                  <c:v>3.7690000000000001</c:v>
                </c:pt>
                <c:pt idx="75">
                  <c:v>3.798</c:v>
                </c:pt>
                <c:pt idx="76">
                  <c:v>3.8449999999999998</c:v>
                </c:pt>
                <c:pt idx="77">
                  <c:v>3.8409999999999997</c:v>
                </c:pt>
                <c:pt idx="78">
                  <c:v>3.7709999999999999</c:v>
                </c:pt>
                <c:pt idx="79">
                  <c:v>3.7170000000000001</c:v>
                </c:pt>
                <c:pt idx="80">
                  <c:v>3.7050000000000001</c:v>
                </c:pt>
                <c:pt idx="81">
                  <c:v>3.657</c:v>
                </c:pt>
                <c:pt idx="82">
                  <c:v>3.6579999999999999</c:v>
                </c:pt>
                <c:pt idx="83">
                  <c:v>3.6789999999999998</c:v>
                </c:pt>
                <c:pt idx="84">
                  <c:v>3.74</c:v>
                </c:pt>
                <c:pt idx="85">
                  <c:v>3.7080000000000002</c:v>
                </c:pt>
                <c:pt idx="86">
                  <c:v>3.6749999999999998</c:v>
                </c:pt>
                <c:pt idx="87">
                  <c:v>3.7269999999999999</c:v>
                </c:pt>
                <c:pt idx="88">
                  <c:v>3.7319999999999998</c:v>
                </c:pt>
                <c:pt idx="89">
                  <c:v>3.6880000000000002</c:v>
                </c:pt>
                <c:pt idx="90">
                  <c:v>3.816999999999986</c:v>
                </c:pt>
                <c:pt idx="91">
                  <c:v>4.109</c:v>
                </c:pt>
                <c:pt idx="92">
                  <c:v>4.2850000000000001</c:v>
                </c:pt>
                <c:pt idx="93">
                  <c:v>4.3839999999999995</c:v>
                </c:pt>
                <c:pt idx="94">
                  <c:v>4.4720000000000004</c:v>
                </c:pt>
                <c:pt idx="95">
                  <c:v>4.4180000000000001</c:v>
                </c:pt>
                <c:pt idx="96">
                  <c:v>4.2839999999999998</c:v>
                </c:pt>
                <c:pt idx="97">
                  <c:v>#N/A</c:v>
                </c:pt>
                <c:pt idx="98">
                  <c:v>4.3959999999999955</c:v>
                </c:pt>
                <c:pt idx="99">
                  <c:v>4.4420000000000002</c:v>
                </c:pt>
                <c:pt idx="100">
                  <c:v>4.3719999999999999</c:v>
                </c:pt>
                <c:pt idx="101">
                  <c:v>4.3959999999999955</c:v>
                </c:pt>
                <c:pt idx="102">
                  <c:v>4.407</c:v>
                </c:pt>
                <c:pt idx="103">
                  <c:v>4.3760000000000003</c:v>
                </c:pt>
                <c:pt idx="104">
                  <c:v>4.4109999999999996</c:v>
                </c:pt>
                <c:pt idx="105">
                  <c:v>4.4720000000000004</c:v>
                </c:pt>
                <c:pt idx="106">
                  <c:v>4.3519999999999985</c:v>
                </c:pt>
                <c:pt idx="107">
                  <c:v>4.3639999999999946</c:v>
                </c:pt>
                <c:pt idx="108">
                  <c:v>4.3209999999999855</c:v>
                </c:pt>
                <c:pt idx="109">
                  <c:v>4.24</c:v>
                </c:pt>
                <c:pt idx="110">
                  <c:v>4.1569999999999965</c:v>
                </c:pt>
                <c:pt idx="111">
                  <c:v>4.181</c:v>
                </c:pt>
                <c:pt idx="112">
                  <c:v>4.1649999999999663</c:v>
                </c:pt>
                <c:pt idx="113">
                  <c:v>4.1399999999999997</c:v>
                </c:pt>
                <c:pt idx="114">
                  <c:v>4.1649999999999663</c:v>
                </c:pt>
                <c:pt idx="115">
                  <c:v>4.2139999999999995</c:v>
                </c:pt>
                <c:pt idx="116">
                  <c:v>4.1839999999999975</c:v>
                </c:pt>
                <c:pt idx="117">
                  <c:v>4.1919999999999975</c:v>
                </c:pt>
                <c:pt idx="118">
                  <c:v>4.1890000000000001</c:v>
                </c:pt>
                <c:pt idx="119">
                  <c:v>4.218</c:v>
                </c:pt>
                <c:pt idx="120">
                  <c:v>4.29</c:v>
                </c:pt>
                <c:pt idx="121">
                  <c:v>4.38</c:v>
                </c:pt>
                <c:pt idx="122">
                  <c:v>4.4260000000000002</c:v>
                </c:pt>
                <c:pt idx="123">
                  <c:v>4.3639999999999946</c:v>
                </c:pt>
                <c:pt idx="124">
                  <c:v>4.3579999999999846</c:v>
                </c:pt>
                <c:pt idx="125">
                  <c:v>4.3169999999999975</c:v>
                </c:pt>
                <c:pt idx="126">
                  <c:v>4.2539999999999996</c:v>
                </c:pt>
                <c:pt idx="127">
                  <c:v>4.101</c:v>
                </c:pt>
                <c:pt idx="128">
                  <c:v>4.0069999999999997</c:v>
                </c:pt>
                <c:pt idx="129">
                  <c:v>#N/A</c:v>
                </c:pt>
                <c:pt idx="130">
                  <c:v>#N/A</c:v>
                </c:pt>
                <c:pt idx="131">
                  <c:v>4.0659999999999945</c:v>
                </c:pt>
                <c:pt idx="132">
                  <c:v>4.0979999999999945</c:v>
                </c:pt>
                <c:pt idx="133">
                  <c:v>4.016</c:v>
                </c:pt>
                <c:pt idx="134">
                  <c:v>4.1079999999999846</c:v>
                </c:pt>
                <c:pt idx="135">
                  <c:v>4.05</c:v>
                </c:pt>
                <c:pt idx="136">
                  <c:v>4.0229999999999855</c:v>
                </c:pt>
                <c:pt idx="137">
                  <c:v>3.9939999999999998</c:v>
                </c:pt>
                <c:pt idx="138">
                  <c:v>4.0359999999999996</c:v>
                </c:pt>
                <c:pt idx="139">
                  <c:v>4.0449999999999955</c:v>
                </c:pt>
                <c:pt idx="140">
                  <c:v>4.0369999999999999</c:v>
                </c:pt>
                <c:pt idx="141">
                  <c:v>3.988</c:v>
                </c:pt>
                <c:pt idx="142">
                  <c:v>3.9749999999999988</c:v>
                </c:pt>
                <c:pt idx="143">
                  <c:v>3.944</c:v>
                </c:pt>
                <c:pt idx="144">
                  <c:v>3.9249999999999998</c:v>
                </c:pt>
                <c:pt idx="145">
                  <c:v>3.8649999999999998</c:v>
                </c:pt>
                <c:pt idx="146">
                  <c:v>3.9279999999999999</c:v>
                </c:pt>
                <c:pt idx="147">
                  <c:v>4.0049999999999955</c:v>
                </c:pt>
                <c:pt idx="148">
                  <c:v>4.1369999999999996</c:v>
                </c:pt>
                <c:pt idx="149">
                  <c:v>4.1369999999999996</c:v>
                </c:pt>
                <c:pt idx="150">
                  <c:v>4.2030000000000003</c:v>
                </c:pt>
                <c:pt idx="151">
                  <c:v>4.1989999999999945</c:v>
                </c:pt>
                <c:pt idx="152">
                  <c:v>4.09</c:v>
                </c:pt>
                <c:pt idx="153">
                  <c:v>4.0269999999999975</c:v>
                </c:pt>
                <c:pt idx="154">
                  <c:v>4.048</c:v>
                </c:pt>
                <c:pt idx="155">
                  <c:v>4.1289999999999845</c:v>
                </c:pt>
                <c:pt idx="156">
                  <c:v>4.3730000000000002</c:v>
                </c:pt>
                <c:pt idx="157">
                  <c:v>4.444</c:v>
                </c:pt>
                <c:pt idx="158">
                  <c:v>4.5419999999999998</c:v>
                </c:pt>
                <c:pt idx="159">
                  <c:v>4.5259999999999945</c:v>
                </c:pt>
                <c:pt idx="160">
                  <c:v>4.3879999999999955</c:v>
                </c:pt>
                <c:pt idx="161">
                  <c:v>4.3719999999999999</c:v>
                </c:pt>
                <c:pt idx="162">
                  <c:v>4.2639999999999985</c:v>
                </c:pt>
                <c:pt idx="163">
                  <c:v>4.4109999999999996</c:v>
                </c:pt>
                <c:pt idx="164">
                  <c:v>#N/A</c:v>
                </c:pt>
                <c:pt idx="165">
                  <c:v>4.7990000000000004</c:v>
                </c:pt>
                <c:pt idx="166">
                  <c:v>4.5979999999999945</c:v>
                </c:pt>
                <c:pt idx="167">
                  <c:v>4.585</c:v>
                </c:pt>
                <c:pt idx="168">
                  <c:v>4.508</c:v>
                </c:pt>
                <c:pt idx="169">
                  <c:v>4.4649999999999945</c:v>
                </c:pt>
                <c:pt idx="170">
                  <c:v>4.5249999999999755</c:v>
                </c:pt>
                <c:pt idx="171">
                  <c:v>4.6049999999999756</c:v>
                </c:pt>
                <c:pt idx="172">
                  <c:v>4.5780000000000003</c:v>
                </c:pt>
                <c:pt idx="173">
                  <c:v>4.7050000000000001</c:v>
                </c:pt>
                <c:pt idx="174">
                  <c:v>4.5139999999999985</c:v>
                </c:pt>
                <c:pt idx="175">
                  <c:v>4.548</c:v>
                </c:pt>
                <c:pt idx="176">
                  <c:v>4.585</c:v>
                </c:pt>
                <c:pt idx="177">
                  <c:v>4.5960000000000001</c:v>
                </c:pt>
                <c:pt idx="178">
                  <c:v>4.4960000000000004</c:v>
                </c:pt>
                <c:pt idx="179">
                  <c:v>4.4219999999999997</c:v>
                </c:pt>
                <c:pt idx="180">
                  <c:v>4.3769999999999998</c:v>
                </c:pt>
                <c:pt idx="181">
                  <c:v>4.3649999999999745</c:v>
                </c:pt>
                <c:pt idx="182">
                  <c:v>4.3159999999999945</c:v>
                </c:pt>
                <c:pt idx="183">
                  <c:v>4.1479999999999855</c:v>
                </c:pt>
                <c:pt idx="184">
                  <c:v>4.13</c:v>
                </c:pt>
                <c:pt idx="185">
                  <c:v>4.1139999999999946</c:v>
                </c:pt>
                <c:pt idx="186">
                  <c:v>4.048</c:v>
                </c:pt>
                <c:pt idx="187">
                  <c:v>4.0469999999999997</c:v>
                </c:pt>
                <c:pt idx="188">
                  <c:v>3.96</c:v>
                </c:pt>
                <c:pt idx="189">
                  <c:v>3.984</c:v>
                </c:pt>
                <c:pt idx="190">
                  <c:v>3.9499999999999997</c:v>
                </c:pt>
                <c:pt idx="191">
                  <c:v>3.9670000000000001</c:v>
                </c:pt>
                <c:pt idx="192">
                  <c:v>4.0330000000000004</c:v>
                </c:pt>
                <c:pt idx="193">
                  <c:v>3.9670000000000001</c:v>
                </c:pt>
                <c:pt idx="194">
                  <c:v>3.8729999999999967</c:v>
                </c:pt>
                <c:pt idx="195">
                  <c:v>3.8539999999999988</c:v>
                </c:pt>
                <c:pt idx="196">
                  <c:v>3.8819999999999997</c:v>
                </c:pt>
                <c:pt idx="197">
                  <c:v>3.8719999999999977</c:v>
                </c:pt>
                <c:pt idx="198">
                  <c:v>3.8549999999999978</c:v>
                </c:pt>
                <c:pt idx="199">
                  <c:v>3.8619999999999997</c:v>
                </c:pt>
                <c:pt idx="200">
                  <c:v>3.8569999999999967</c:v>
                </c:pt>
                <c:pt idx="201">
                  <c:v>3.8579999999999997</c:v>
                </c:pt>
                <c:pt idx="202">
                  <c:v>3.863</c:v>
                </c:pt>
                <c:pt idx="203">
                  <c:v>3.867</c:v>
                </c:pt>
                <c:pt idx="204">
                  <c:v>3.8489999999999998</c:v>
                </c:pt>
                <c:pt idx="205">
                  <c:v>3.8499999999999988</c:v>
                </c:pt>
                <c:pt idx="206">
                  <c:v>3.8189999999999977</c:v>
                </c:pt>
                <c:pt idx="207">
                  <c:v>3.8509999999999978</c:v>
                </c:pt>
                <c:pt idx="208">
                  <c:v>3.8279999999999998</c:v>
                </c:pt>
                <c:pt idx="209">
                  <c:v>3.8759999999999977</c:v>
                </c:pt>
                <c:pt idx="210">
                  <c:v>3.9630000000000001</c:v>
                </c:pt>
                <c:pt idx="211">
                  <c:v>3.9789999999999988</c:v>
                </c:pt>
                <c:pt idx="212">
                  <c:v>4.08</c:v>
                </c:pt>
                <c:pt idx="213">
                  <c:v>4.1029999999999855</c:v>
                </c:pt>
                <c:pt idx="214">
                  <c:v>4.0049999999999955</c:v>
                </c:pt>
                <c:pt idx="215">
                  <c:v>3.9959999999999987</c:v>
                </c:pt>
                <c:pt idx="216">
                  <c:v>3.9949999999999997</c:v>
                </c:pt>
                <c:pt idx="217">
                  <c:v>4.1139999999999946</c:v>
                </c:pt>
                <c:pt idx="218">
                  <c:v>4.2210000000000001</c:v>
                </c:pt>
                <c:pt idx="219">
                  <c:v>4.2889999999999997</c:v>
                </c:pt>
                <c:pt idx="220">
                  <c:v>4.2669999999999995</c:v>
                </c:pt>
                <c:pt idx="221">
                  <c:v>#N/A</c:v>
                </c:pt>
                <c:pt idx="222">
                  <c:v>4.3319999999999999</c:v>
                </c:pt>
                <c:pt idx="223">
                  <c:v>4.3410000000000002</c:v>
                </c:pt>
                <c:pt idx="224">
                  <c:v>4.335</c:v>
                </c:pt>
                <c:pt idx="225">
                  <c:v>4.2389999999999999</c:v>
                </c:pt>
                <c:pt idx="226">
                  <c:v>4.2139999999999995</c:v>
                </c:pt>
                <c:pt idx="227">
                  <c:v>4.1879999999999855</c:v>
                </c:pt>
                <c:pt idx="228">
                  <c:v>4.2009999999999996</c:v>
                </c:pt>
                <c:pt idx="229">
                  <c:v>4.2009999999999996</c:v>
                </c:pt>
                <c:pt idx="230">
                  <c:v>4.1969999999999965</c:v>
                </c:pt>
                <c:pt idx="231">
                  <c:v>4.2229999999999945</c:v>
                </c:pt>
                <c:pt idx="232">
                  <c:v>4.37</c:v>
                </c:pt>
                <c:pt idx="233">
                  <c:v>4.4029999999999996</c:v>
                </c:pt>
                <c:pt idx="234">
                  <c:v>4.452</c:v>
                </c:pt>
                <c:pt idx="235">
                  <c:v>4.5609999999999955</c:v>
                </c:pt>
                <c:pt idx="236">
                  <c:v>4.5549999999999855</c:v>
                </c:pt>
                <c:pt idx="237">
                  <c:v>4.4130000000000003</c:v>
                </c:pt>
                <c:pt idx="238">
                  <c:v>4.2949999999999955</c:v>
                </c:pt>
                <c:pt idx="239">
                  <c:v>4.1979999999999755</c:v>
                </c:pt>
                <c:pt idx="240">
                  <c:v>4.09</c:v>
                </c:pt>
                <c:pt idx="241">
                  <c:v>4.0880000000000001</c:v>
                </c:pt>
                <c:pt idx="242">
                  <c:v>4.0279999999999845</c:v>
                </c:pt>
                <c:pt idx="243">
                  <c:v>4.09</c:v>
                </c:pt>
                <c:pt idx="244">
                  <c:v>4.0350000000000001</c:v>
                </c:pt>
                <c:pt idx="245">
                  <c:v>4.0789999999999997</c:v>
                </c:pt>
                <c:pt idx="246">
                  <c:v>4.1059999999999945</c:v>
                </c:pt>
                <c:pt idx="247">
                  <c:v>4.0730000000000004</c:v>
                </c:pt>
                <c:pt idx="248">
                  <c:v>4.07</c:v>
                </c:pt>
                <c:pt idx="249">
                  <c:v>4.1129999999999765</c:v>
                </c:pt>
                <c:pt idx="250">
                  <c:v>4.0720000000000001</c:v>
                </c:pt>
                <c:pt idx="251">
                  <c:v>4.048</c:v>
                </c:pt>
                <c:pt idx="252">
                  <c:v>4.0439999999999996</c:v>
                </c:pt>
                <c:pt idx="253">
                  <c:v>4.1839999999999975</c:v>
                </c:pt>
                <c:pt idx="254">
                  <c:v>4.22</c:v>
                </c:pt>
                <c:pt idx="255">
                  <c:v>4.306</c:v>
                </c:pt>
                <c:pt idx="256">
                  <c:v>4.407</c:v>
                </c:pt>
                <c:pt idx="257">
                  <c:v>4.4960000000000004</c:v>
                </c:pt>
                <c:pt idx="258">
                  <c:v>4.5110000000000001</c:v>
                </c:pt>
                <c:pt idx="259">
                  <c:v>4.6419999999999995</c:v>
                </c:pt>
                <c:pt idx="260">
                  <c:v>4.5819999999999999</c:v>
                </c:pt>
                <c:pt idx="261">
                  <c:v>4.4690000000000003</c:v>
                </c:pt>
                <c:pt idx="262">
                  <c:v>4.4939999999999998</c:v>
                </c:pt>
                <c:pt idx="263">
                  <c:v>4.4080000000000004</c:v>
                </c:pt>
                <c:pt idx="264">
                  <c:v>4.3890000000000002</c:v>
                </c:pt>
                <c:pt idx="265">
                  <c:v>4.282</c:v>
                </c:pt>
                <c:pt idx="266">
                  <c:v>4.32499999999997</c:v>
                </c:pt>
                <c:pt idx="267">
                  <c:v>4.4349999999999996</c:v>
                </c:pt>
                <c:pt idx="268">
                  <c:v>4.3519999999999985</c:v>
                </c:pt>
                <c:pt idx="269">
                  <c:v>4.3119999999999985</c:v>
                </c:pt>
              </c:numCache>
            </c:numRef>
          </c:val>
        </c:ser>
        <c:ser>
          <c:idx val="3"/>
          <c:order val="3"/>
          <c:tx>
            <c:strRef>
              <c:f>'ΣΤΟΙΧΕΙΑ ΓΙΑ ΠΡΟΥΠ 2018'!$E$2</c:f>
              <c:strCache>
                <c:ptCount val="1"/>
                <c:pt idx="0">
                  <c:v>ΙΡΛΑΝΔΙΑ</c:v>
                </c:pt>
              </c:strCache>
            </c:strRef>
          </c:tx>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2018'!$E$3:$E$1549</c:f>
              <c:numCache>
                <c:formatCode>General</c:formatCode>
                <c:ptCount val="270"/>
                <c:pt idx="0">
                  <c:v>0.73900000000000265</c:v>
                </c:pt>
                <c:pt idx="1">
                  <c:v>0.73400000000000065</c:v>
                </c:pt>
                <c:pt idx="2">
                  <c:v>0.72000000000000064</c:v>
                </c:pt>
                <c:pt idx="3">
                  <c:v>0.71200000000000063</c:v>
                </c:pt>
                <c:pt idx="4">
                  <c:v>0.71200000000000063</c:v>
                </c:pt>
                <c:pt idx="5">
                  <c:v>0.69499999999999995</c:v>
                </c:pt>
                <c:pt idx="6">
                  <c:v>0.69099999999999995</c:v>
                </c:pt>
                <c:pt idx="7">
                  <c:v>0.70400000000000063</c:v>
                </c:pt>
                <c:pt idx="8">
                  <c:v>0.68</c:v>
                </c:pt>
                <c:pt idx="9">
                  <c:v>0.63900000000000379</c:v>
                </c:pt>
                <c:pt idx="10">
                  <c:v>0.60900000000000065</c:v>
                </c:pt>
                <c:pt idx="11">
                  <c:v>0.61200000000000065</c:v>
                </c:pt>
                <c:pt idx="12">
                  <c:v>0.63100000000000378</c:v>
                </c:pt>
                <c:pt idx="13">
                  <c:v>0.62800000000000378</c:v>
                </c:pt>
                <c:pt idx="14">
                  <c:v>0.67100000000000426</c:v>
                </c:pt>
                <c:pt idx="15">
                  <c:v>0.65000000000000391</c:v>
                </c:pt>
                <c:pt idx="16">
                  <c:v>0.69199999999999995</c:v>
                </c:pt>
                <c:pt idx="17">
                  <c:v>0.69699999999999995</c:v>
                </c:pt>
                <c:pt idx="18">
                  <c:v>0.64000000000000379</c:v>
                </c:pt>
                <c:pt idx="19">
                  <c:v>0.60500000000000065</c:v>
                </c:pt>
                <c:pt idx="20">
                  <c:v>0.58499999999999996</c:v>
                </c:pt>
                <c:pt idx="21">
                  <c:v>0.58000000000000007</c:v>
                </c:pt>
                <c:pt idx="22">
                  <c:v>0.59</c:v>
                </c:pt>
                <c:pt idx="23">
                  <c:v>0.59199999999999997</c:v>
                </c:pt>
                <c:pt idx="24">
                  <c:v>0.59099999999999997</c:v>
                </c:pt>
                <c:pt idx="25">
                  <c:v>0.56799999999999995</c:v>
                </c:pt>
                <c:pt idx="26">
                  <c:v>0.53300000000000003</c:v>
                </c:pt>
                <c:pt idx="27">
                  <c:v>0.54300000000000004</c:v>
                </c:pt>
                <c:pt idx="28">
                  <c:v>0.61100000000000065</c:v>
                </c:pt>
                <c:pt idx="29">
                  <c:v>0.65200000000000413</c:v>
                </c:pt>
                <c:pt idx="30">
                  <c:v>0.6480000000000038</c:v>
                </c:pt>
                <c:pt idx="31">
                  <c:v>0.62900000000000378</c:v>
                </c:pt>
                <c:pt idx="32">
                  <c:v>0.60000000000000064</c:v>
                </c:pt>
                <c:pt idx="33">
                  <c:v>0.59</c:v>
                </c:pt>
                <c:pt idx="34">
                  <c:v>0.57900000000000063</c:v>
                </c:pt>
                <c:pt idx="35">
                  <c:v>0.58000000000000007</c:v>
                </c:pt>
                <c:pt idx="36">
                  <c:v>0.56399999999999995</c:v>
                </c:pt>
                <c:pt idx="37">
                  <c:v>0.56799999999999995</c:v>
                </c:pt>
                <c:pt idx="38">
                  <c:v>0.57800000000000062</c:v>
                </c:pt>
                <c:pt idx="39">
                  <c:v>0.60600000000000065</c:v>
                </c:pt>
                <c:pt idx="40">
                  <c:v>0.58299999999999996</c:v>
                </c:pt>
                <c:pt idx="41">
                  <c:v>0.57600000000000062</c:v>
                </c:pt>
                <c:pt idx="42">
                  <c:v>0.61300000000000165</c:v>
                </c:pt>
                <c:pt idx="43">
                  <c:v>0.58599999999999997</c:v>
                </c:pt>
                <c:pt idx="44">
                  <c:v>0.52300000000000002</c:v>
                </c:pt>
                <c:pt idx="45">
                  <c:v>0.55300000000000005</c:v>
                </c:pt>
                <c:pt idx="46">
                  <c:v>0.49700000000000166</c:v>
                </c:pt>
                <c:pt idx="47">
                  <c:v>0.48800000000000032</c:v>
                </c:pt>
                <c:pt idx="48">
                  <c:v>0.48400000000000032</c:v>
                </c:pt>
                <c:pt idx="49">
                  <c:v>0.502</c:v>
                </c:pt>
                <c:pt idx="50">
                  <c:v>0.49900000000000166</c:v>
                </c:pt>
                <c:pt idx="51">
                  <c:v>0.51500000000000001</c:v>
                </c:pt>
                <c:pt idx="52">
                  <c:v>0.53</c:v>
                </c:pt>
                <c:pt idx="53">
                  <c:v>0.52100000000000002</c:v>
                </c:pt>
                <c:pt idx="54">
                  <c:v>0.51200000000000001</c:v>
                </c:pt>
                <c:pt idx="55">
                  <c:v>0.50900000000000001</c:v>
                </c:pt>
                <c:pt idx="56">
                  <c:v>0.57600000000000062</c:v>
                </c:pt>
                <c:pt idx="57">
                  <c:v>0.60100000000000064</c:v>
                </c:pt>
                <c:pt idx="58">
                  <c:v>0.61100000000000065</c:v>
                </c:pt>
                <c:pt idx="59">
                  <c:v>0.61900000000000333</c:v>
                </c:pt>
                <c:pt idx="60">
                  <c:v>0.61400000000000265</c:v>
                </c:pt>
                <c:pt idx="61">
                  <c:v>0.64700000000000379</c:v>
                </c:pt>
                <c:pt idx="62">
                  <c:v>0.67000000000000426</c:v>
                </c:pt>
                <c:pt idx="63">
                  <c:v>0.71300000000000063</c:v>
                </c:pt>
                <c:pt idx="64">
                  <c:v>0.66900000000000426</c:v>
                </c:pt>
                <c:pt idx="65">
                  <c:v>0.67100000000000426</c:v>
                </c:pt>
                <c:pt idx="66">
                  <c:v>0.65700000000000425</c:v>
                </c:pt>
                <c:pt idx="67">
                  <c:v>0.64700000000000379</c:v>
                </c:pt>
                <c:pt idx="68">
                  <c:v>0.66200000000000425</c:v>
                </c:pt>
                <c:pt idx="69">
                  <c:v>0.94699999999999995</c:v>
                </c:pt>
                <c:pt idx="70">
                  <c:v>1.008</c:v>
                </c:pt>
                <c:pt idx="71">
                  <c:v>1</c:v>
                </c:pt>
                <c:pt idx="72">
                  <c:v>0.999</c:v>
                </c:pt>
                <c:pt idx="73">
                  <c:v>0.97000000000000064</c:v>
                </c:pt>
                <c:pt idx="74">
                  <c:v>0.98</c:v>
                </c:pt>
                <c:pt idx="75">
                  <c:v>0.99199999999999999</c:v>
                </c:pt>
                <c:pt idx="76">
                  <c:v>0.98199999999999998</c:v>
                </c:pt>
                <c:pt idx="77">
                  <c:v>0.97800000000000065</c:v>
                </c:pt>
                <c:pt idx="78">
                  <c:v>0.98699999999999999</c:v>
                </c:pt>
                <c:pt idx="79">
                  <c:v>1.0149999999999926</c:v>
                </c:pt>
                <c:pt idx="80">
                  <c:v>1.04</c:v>
                </c:pt>
                <c:pt idx="81">
                  <c:v>1.0609999999999933</c:v>
                </c:pt>
                <c:pt idx="82">
                  <c:v>1.1259999999999926</c:v>
                </c:pt>
                <c:pt idx="83">
                  <c:v>1.121</c:v>
                </c:pt>
                <c:pt idx="84">
                  <c:v>1.1419999999999926</c:v>
                </c:pt>
                <c:pt idx="85">
                  <c:v>1.1519999999999926</c:v>
                </c:pt>
                <c:pt idx="86">
                  <c:v>1.1819999999999933</c:v>
                </c:pt>
                <c:pt idx="87">
                  <c:v>1.153</c:v>
                </c:pt>
                <c:pt idx="88">
                  <c:v>1.1140000000000001</c:v>
                </c:pt>
                <c:pt idx="89">
                  <c:v>1.1180000000000001</c:v>
                </c:pt>
                <c:pt idx="90">
                  <c:v>1.135</c:v>
                </c:pt>
                <c:pt idx="91">
                  <c:v>1.1379999999999926</c:v>
                </c:pt>
                <c:pt idx="92">
                  <c:v>1.1519999999999926</c:v>
                </c:pt>
                <c:pt idx="93">
                  <c:v>1.153</c:v>
                </c:pt>
                <c:pt idx="94">
                  <c:v>1.1559999999999926</c:v>
                </c:pt>
                <c:pt idx="95">
                  <c:v>1.1739999999999933</c:v>
                </c:pt>
                <c:pt idx="96">
                  <c:v>1.1220000000000001</c:v>
                </c:pt>
                <c:pt idx="97">
                  <c:v>1.163</c:v>
                </c:pt>
                <c:pt idx="98">
                  <c:v>1.179</c:v>
                </c:pt>
                <c:pt idx="99">
                  <c:v>1.1700000000000021</c:v>
                </c:pt>
                <c:pt idx="100">
                  <c:v>1.1679999999999933</c:v>
                </c:pt>
                <c:pt idx="101">
                  <c:v>1.1259999999999926</c:v>
                </c:pt>
                <c:pt idx="102">
                  <c:v>1.121</c:v>
                </c:pt>
                <c:pt idx="103">
                  <c:v>1.1279999999999926</c:v>
                </c:pt>
                <c:pt idx="104">
                  <c:v>1.0820000000000001</c:v>
                </c:pt>
                <c:pt idx="105">
                  <c:v>1.0660000000000001</c:v>
                </c:pt>
                <c:pt idx="106">
                  <c:v>1.095</c:v>
                </c:pt>
                <c:pt idx="107">
                  <c:v>1.087</c:v>
                </c:pt>
                <c:pt idx="108">
                  <c:v>1.0840000000000001</c:v>
                </c:pt>
                <c:pt idx="109">
                  <c:v>1.069</c:v>
                </c:pt>
                <c:pt idx="110">
                  <c:v>1.04</c:v>
                </c:pt>
                <c:pt idx="111">
                  <c:v>1.0669999999999933</c:v>
                </c:pt>
                <c:pt idx="112">
                  <c:v>1.056</c:v>
                </c:pt>
                <c:pt idx="113">
                  <c:v>1.0469999999999933</c:v>
                </c:pt>
                <c:pt idx="114">
                  <c:v>1.04</c:v>
                </c:pt>
                <c:pt idx="115">
                  <c:v>1.016</c:v>
                </c:pt>
                <c:pt idx="116">
                  <c:v>1.0069999999999926</c:v>
                </c:pt>
                <c:pt idx="117">
                  <c:v>1.004</c:v>
                </c:pt>
                <c:pt idx="118">
                  <c:v>1.0029999999999926</c:v>
                </c:pt>
                <c:pt idx="119">
                  <c:v>1.01</c:v>
                </c:pt>
                <c:pt idx="120">
                  <c:v>0.95800000000000063</c:v>
                </c:pt>
                <c:pt idx="121">
                  <c:v>0.95400000000000063</c:v>
                </c:pt>
                <c:pt idx="122">
                  <c:v>0.95200000000000062</c:v>
                </c:pt>
                <c:pt idx="123">
                  <c:v>0.92400000000000004</c:v>
                </c:pt>
                <c:pt idx="124">
                  <c:v>0.92300000000000004</c:v>
                </c:pt>
                <c:pt idx="125">
                  <c:v>0.91100000000000003</c:v>
                </c:pt>
                <c:pt idx="126">
                  <c:v>0.91700000000000004</c:v>
                </c:pt>
                <c:pt idx="127">
                  <c:v>0.88700000000000001</c:v>
                </c:pt>
                <c:pt idx="128">
                  <c:v>0.91900000000000004</c:v>
                </c:pt>
                <c:pt idx="129">
                  <c:v>0.90600000000000003</c:v>
                </c:pt>
                <c:pt idx="130">
                  <c:v>0.92200000000000004</c:v>
                </c:pt>
                <c:pt idx="131">
                  <c:v>0.93300000000000005</c:v>
                </c:pt>
                <c:pt idx="132">
                  <c:v>0.92200000000000004</c:v>
                </c:pt>
                <c:pt idx="133">
                  <c:v>0.94000000000000061</c:v>
                </c:pt>
                <c:pt idx="134">
                  <c:v>0.93100000000000005</c:v>
                </c:pt>
                <c:pt idx="135">
                  <c:v>0.93799999999999994</c:v>
                </c:pt>
                <c:pt idx="136">
                  <c:v>0.91500000000000004</c:v>
                </c:pt>
                <c:pt idx="137">
                  <c:v>0.92900000000000005</c:v>
                </c:pt>
                <c:pt idx="138">
                  <c:v>0.999</c:v>
                </c:pt>
                <c:pt idx="139">
                  <c:v>0.99099999999999999</c:v>
                </c:pt>
                <c:pt idx="140">
                  <c:v>1.03</c:v>
                </c:pt>
                <c:pt idx="141">
                  <c:v>1.0289999999999926</c:v>
                </c:pt>
                <c:pt idx="142">
                  <c:v>1.0349999999999926</c:v>
                </c:pt>
                <c:pt idx="143">
                  <c:v>1.004</c:v>
                </c:pt>
                <c:pt idx="144">
                  <c:v>0.97800000000000065</c:v>
                </c:pt>
                <c:pt idx="145">
                  <c:v>0.96800000000000064</c:v>
                </c:pt>
                <c:pt idx="146">
                  <c:v>0.98599999999999999</c:v>
                </c:pt>
                <c:pt idx="147">
                  <c:v>0.94899999999999995</c:v>
                </c:pt>
                <c:pt idx="148">
                  <c:v>0.96800000000000064</c:v>
                </c:pt>
                <c:pt idx="149">
                  <c:v>0.95400000000000063</c:v>
                </c:pt>
                <c:pt idx="150">
                  <c:v>0.99199999999999999</c:v>
                </c:pt>
                <c:pt idx="151">
                  <c:v>0.97900000000000065</c:v>
                </c:pt>
                <c:pt idx="152">
                  <c:v>0.97600000000000064</c:v>
                </c:pt>
                <c:pt idx="153">
                  <c:v>0.96700000000000064</c:v>
                </c:pt>
                <c:pt idx="154">
                  <c:v>1.0149999999999926</c:v>
                </c:pt>
                <c:pt idx="155">
                  <c:v>1.0429999999999933</c:v>
                </c:pt>
                <c:pt idx="156">
                  <c:v>1.0309999999999926</c:v>
                </c:pt>
                <c:pt idx="157">
                  <c:v>1.054</c:v>
                </c:pt>
                <c:pt idx="158">
                  <c:v>1.0189999999999926</c:v>
                </c:pt>
                <c:pt idx="159">
                  <c:v>1.014</c:v>
                </c:pt>
                <c:pt idx="160">
                  <c:v>1.040999999999993</c:v>
                </c:pt>
                <c:pt idx="161">
                  <c:v>1.022</c:v>
                </c:pt>
                <c:pt idx="162">
                  <c:v>0.97200000000000064</c:v>
                </c:pt>
                <c:pt idx="163">
                  <c:v>0.96400000000000063</c:v>
                </c:pt>
                <c:pt idx="164">
                  <c:v>0.97300000000000064</c:v>
                </c:pt>
                <c:pt idx="165">
                  <c:v>0.96800000000000064</c:v>
                </c:pt>
                <c:pt idx="166">
                  <c:v>1.012</c:v>
                </c:pt>
                <c:pt idx="167">
                  <c:v>0.95500000000000063</c:v>
                </c:pt>
                <c:pt idx="168">
                  <c:v>0.98</c:v>
                </c:pt>
                <c:pt idx="169">
                  <c:v>0.98099999999999998</c:v>
                </c:pt>
                <c:pt idx="170">
                  <c:v>0.95500000000000063</c:v>
                </c:pt>
                <c:pt idx="171">
                  <c:v>1.048</c:v>
                </c:pt>
                <c:pt idx="172">
                  <c:v>1.0660000000000001</c:v>
                </c:pt>
                <c:pt idx="173">
                  <c:v>1.0649999999999933</c:v>
                </c:pt>
                <c:pt idx="174">
                  <c:v>1.0880000000000001</c:v>
                </c:pt>
                <c:pt idx="175">
                  <c:v>1.0549999999999933</c:v>
                </c:pt>
                <c:pt idx="176">
                  <c:v>1.02</c:v>
                </c:pt>
                <c:pt idx="177">
                  <c:v>0.94299999999999995</c:v>
                </c:pt>
                <c:pt idx="178">
                  <c:v>0.90200000000000002</c:v>
                </c:pt>
                <c:pt idx="179">
                  <c:v>0.88600000000000001</c:v>
                </c:pt>
                <c:pt idx="180">
                  <c:v>0.85800000000000065</c:v>
                </c:pt>
                <c:pt idx="181">
                  <c:v>0.85700000000000065</c:v>
                </c:pt>
                <c:pt idx="182">
                  <c:v>0.85000000000000064</c:v>
                </c:pt>
                <c:pt idx="183">
                  <c:v>0.85600000000000065</c:v>
                </c:pt>
                <c:pt idx="184">
                  <c:v>0.86000000000000065</c:v>
                </c:pt>
                <c:pt idx="185">
                  <c:v>0.88400000000000001</c:v>
                </c:pt>
                <c:pt idx="186">
                  <c:v>0.85900000000000065</c:v>
                </c:pt>
                <c:pt idx="187">
                  <c:v>0.85500000000000065</c:v>
                </c:pt>
                <c:pt idx="188">
                  <c:v>0.81399999999999995</c:v>
                </c:pt>
                <c:pt idx="189">
                  <c:v>0.81499999999999995</c:v>
                </c:pt>
                <c:pt idx="190">
                  <c:v>0.79600000000000004</c:v>
                </c:pt>
                <c:pt idx="191">
                  <c:v>0.80400000000000005</c:v>
                </c:pt>
                <c:pt idx="192">
                  <c:v>0.80100000000000005</c:v>
                </c:pt>
                <c:pt idx="193">
                  <c:v>0.79400000000000004</c:v>
                </c:pt>
                <c:pt idx="194">
                  <c:v>0.80100000000000005</c:v>
                </c:pt>
                <c:pt idx="195">
                  <c:v>0.82000000000000062</c:v>
                </c:pt>
                <c:pt idx="196">
                  <c:v>0.81599999999999995</c:v>
                </c:pt>
                <c:pt idx="197">
                  <c:v>0.83000000000000063</c:v>
                </c:pt>
                <c:pt idx="198">
                  <c:v>0.81</c:v>
                </c:pt>
                <c:pt idx="199">
                  <c:v>0.83400000000000063</c:v>
                </c:pt>
                <c:pt idx="200">
                  <c:v>0.80400000000000005</c:v>
                </c:pt>
                <c:pt idx="201">
                  <c:v>0.80400000000000005</c:v>
                </c:pt>
                <c:pt idx="202">
                  <c:v>0.8</c:v>
                </c:pt>
                <c:pt idx="203">
                  <c:v>0.84800000000000064</c:v>
                </c:pt>
                <c:pt idx="204">
                  <c:v>0.88400000000000001</c:v>
                </c:pt>
                <c:pt idx="205">
                  <c:v>0.86800000000000332</c:v>
                </c:pt>
                <c:pt idx="206">
                  <c:v>0.86200000000000065</c:v>
                </c:pt>
                <c:pt idx="207">
                  <c:v>0.86500000000000332</c:v>
                </c:pt>
                <c:pt idx="208">
                  <c:v>0.87000000000000333</c:v>
                </c:pt>
                <c:pt idx="209">
                  <c:v>0.91400000000000003</c:v>
                </c:pt>
                <c:pt idx="210">
                  <c:v>0.90100000000000002</c:v>
                </c:pt>
                <c:pt idx="211">
                  <c:v>0.93700000000000061</c:v>
                </c:pt>
                <c:pt idx="212">
                  <c:v>0.93</c:v>
                </c:pt>
                <c:pt idx="213">
                  <c:v>0.88700000000000001</c:v>
                </c:pt>
                <c:pt idx="214">
                  <c:v>0.86500000000000332</c:v>
                </c:pt>
                <c:pt idx="215">
                  <c:v>0.87900000000000378</c:v>
                </c:pt>
                <c:pt idx="216">
                  <c:v>0.87500000000000344</c:v>
                </c:pt>
                <c:pt idx="217">
                  <c:v>0.86000000000000065</c:v>
                </c:pt>
                <c:pt idx="218">
                  <c:v>0.82500000000000062</c:v>
                </c:pt>
                <c:pt idx="219">
                  <c:v>0.84200000000000064</c:v>
                </c:pt>
                <c:pt idx="220">
                  <c:v>0.85800000000000065</c:v>
                </c:pt>
                <c:pt idx="221">
                  <c:v>0.83900000000000063</c:v>
                </c:pt>
                <c:pt idx="222">
                  <c:v>0.85300000000000065</c:v>
                </c:pt>
                <c:pt idx="223">
                  <c:v>0.84200000000000064</c:v>
                </c:pt>
                <c:pt idx="224">
                  <c:v>0.83200000000000063</c:v>
                </c:pt>
                <c:pt idx="225">
                  <c:v>0.85100000000000064</c:v>
                </c:pt>
                <c:pt idx="226">
                  <c:v>0.86500000000000332</c:v>
                </c:pt>
                <c:pt idx="227">
                  <c:v>0.85800000000000065</c:v>
                </c:pt>
                <c:pt idx="228">
                  <c:v>0.86300000000000165</c:v>
                </c:pt>
                <c:pt idx="229">
                  <c:v>0.89</c:v>
                </c:pt>
                <c:pt idx="230">
                  <c:v>0.89900000000000002</c:v>
                </c:pt>
                <c:pt idx="231">
                  <c:v>0.91600000000000004</c:v>
                </c:pt>
                <c:pt idx="232">
                  <c:v>0.87200000000000333</c:v>
                </c:pt>
                <c:pt idx="233">
                  <c:v>0.85700000000000065</c:v>
                </c:pt>
                <c:pt idx="234">
                  <c:v>0.86900000000000333</c:v>
                </c:pt>
                <c:pt idx="235">
                  <c:v>0.86900000000000333</c:v>
                </c:pt>
                <c:pt idx="236">
                  <c:v>0.88700000000000001</c:v>
                </c:pt>
                <c:pt idx="237">
                  <c:v>0.86100000000000065</c:v>
                </c:pt>
                <c:pt idx="238">
                  <c:v>0.88500000000000001</c:v>
                </c:pt>
                <c:pt idx="239">
                  <c:v>0.88100000000000001</c:v>
                </c:pt>
                <c:pt idx="240">
                  <c:v>0.90800000000000003</c:v>
                </c:pt>
                <c:pt idx="241">
                  <c:v>0.89100000000000001</c:v>
                </c:pt>
                <c:pt idx="242">
                  <c:v>0.90400000000000003</c:v>
                </c:pt>
                <c:pt idx="243">
                  <c:v>0.93600000000000005</c:v>
                </c:pt>
                <c:pt idx="244">
                  <c:v>0.93799999999999994</c:v>
                </c:pt>
                <c:pt idx="245">
                  <c:v>0.95700000000000063</c:v>
                </c:pt>
                <c:pt idx="246">
                  <c:v>0.97500000000000064</c:v>
                </c:pt>
                <c:pt idx="247">
                  <c:v>0.96300000000000063</c:v>
                </c:pt>
                <c:pt idx="248">
                  <c:v>0.95500000000000063</c:v>
                </c:pt>
                <c:pt idx="249">
                  <c:v>1.0049999999999926</c:v>
                </c:pt>
                <c:pt idx="250">
                  <c:v>1.0309999999999926</c:v>
                </c:pt>
                <c:pt idx="251">
                  <c:v>1.024</c:v>
                </c:pt>
                <c:pt idx="252">
                  <c:v>1.026</c:v>
                </c:pt>
                <c:pt idx="253">
                  <c:v>0.98599999999999999</c:v>
                </c:pt>
                <c:pt idx="254">
                  <c:v>1</c:v>
                </c:pt>
                <c:pt idx="255">
                  <c:v>0.95100000000000062</c:v>
                </c:pt>
                <c:pt idx="256">
                  <c:v>0.995</c:v>
                </c:pt>
                <c:pt idx="257">
                  <c:v>1.052</c:v>
                </c:pt>
                <c:pt idx="258">
                  <c:v>1.077</c:v>
                </c:pt>
                <c:pt idx="259">
                  <c:v>1.0509999999999933</c:v>
                </c:pt>
                <c:pt idx="260">
                  <c:v>1.0669999999999933</c:v>
                </c:pt>
                <c:pt idx="261">
                  <c:v>1.08</c:v>
                </c:pt>
                <c:pt idx="262">
                  <c:v>1.0680000000000001</c:v>
                </c:pt>
                <c:pt idx="263">
                  <c:v>1.06</c:v>
                </c:pt>
                <c:pt idx="264">
                  <c:v>1.0609999999999933</c:v>
                </c:pt>
                <c:pt idx="265">
                  <c:v>1.036</c:v>
                </c:pt>
                <c:pt idx="266">
                  <c:v>1.0129999999999926</c:v>
                </c:pt>
                <c:pt idx="267">
                  <c:v>0.998</c:v>
                </c:pt>
                <c:pt idx="268">
                  <c:v>1.046</c:v>
                </c:pt>
                <c:pt idx="269">
                  <c:v>1.0369999999999926</c:v>
                </c:pt>
              </c:numCache>
            </c:numRef>
          </c:val>
        </c:ser>
        <c:ser>
          <c:idx val="4"/>
          <c:order val="4"/>
          <c:tx>
            <c:strRef>
              <c:f>'ΣΤΟΙΧΕΙΑ ΓΙΑ ΠΡΟΥΠ 2018'!$F$2</c:f>
              <c:strCache>
                <c:ptCount val="1"/>
                <c:pt idx="0">
                  <c:v>ΙΤΑΛΙΑ</c:v>
                </c:pt>
              </c:strCache>
            </c:strRef>
          </c:tx>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2018'!$F$3:$F$1549</c:f>
              <c:numCache>
                <c:formatCode>General</c:formatCode>
                <c:ptCount val="270"/>
                <c:pt idx="0">
                  <c:v>2.1559999999999997</c:v>
                </c:pt>
                <c:pt idx="1">
                  <c:v>2.1659999999999999</c:v>
                </c:pt>
                <c:pt idx="2">
                  <c:v>2.1949999999999998</c:v>
                </c:pt>
                <c:pt idx="3">
                  <c:v>2.15</c:v>
                </c:pt>
                <c:pt idx="4">
                  <c:v>2.1469999999999998</c:v>
                </c:pt>
                <c:pt idx="5">
                  <c:v>2.1139999999999999</c:v>
                </c:pt>
                <c:pt idx="6">
                  <c:v>2.1269999999999998</c:v>
                </c:pt>
                <c:pt idx="7">
                  <c:v>2.1629999999999998</c:v>
                </c:pt>
                <c:pt idx="8">
                  <c:v>2.1179999999999999</c:v>
                </c:pt>
                <c:pt idx="9">
                  <c:v>2.0840000000000001</c:v>
                </c:pt>
                <c:pt idx="10">
                  <c:v>2.0349999999999997</c:v>
                </c:pt>
                <c:pt idx="11">
                  <c:v>2</c:v>
                </c:pt>
                <c:pt idx="12">
                  <c:v>2.0409999999999999</c:v>
                </c:pt>
                <c:pt idx="13">
                  <c:v>2.0289999999999999</c:v>
                </c:pt>
                <c:pt idx="14">
                  <c:v>2.048</c:v>
                </c:pt>
                <c:pt idx="15">
                  <c:v>2.0049999999999999</c:v>
                </c:pt>
                <c:pt idx="16">
                  <c:v>2.0609999999999999</c:v>
                </c:pt>
                <c:pt idx="17">
                  <c:v>2.0379999999999998</c:v>
                </c:pt>
                <c:pt idx="18">
                  <c:v>1.9500000000000066</c:v>
                </c:pt>
                <c:pt idx="19">
                  <c:v>1.9500000000000066</c:v>
                </c:pt>
                <c:pt idx="20">
                  <c:v>1.8480000000000001</c:v>
                </c:pt>
                <c:pt idx="21">
                  <c:v>1.827</c:v>
                </c:pt>
                <c:pt idx="22">
                  <c:v>1.804</c:v>
                </c:pt>
                <c:pt idx="23">
                  <c:v>1.7969999999999933</c:v>
                </c:pt>
                <c:pt idx="24">
                  <c:v>1.792</c:v>
                </c:pt>
                <c:pt idx="25">
                  <c:v>1.7849999999999926</c:v>
                </c:pt>
                <c:pt idx="26">
                  <c:v>1.702</c:v>
                </c:pt>
                <c:pt idx="27">
                  <c:v>1.746</c:v>
                </c:pt>
                <c:pt idx="28">
                  <c:v>1.8160000000000001</c:v>
                </c:pt>
                <c:pt idx="29">
                  <c:v>1.8460000000000001</c:v>
                </c:pt>
                <c:pt idx="30">
                  <c:v>1.8340000000000001</c:v>
                </c:pt>
                <c:pt idx="31">
                  <c:v>1.829</c:v>
                </c:pt>
                <c:pt idx="32">
                  <c:v>1.8360000000000001</c:v>
                </c:pt>
                <c:pt idx="33">
                  <c:v>1.8380000000000001</c:v>
                </c:pt>
                <c:pt idx="34">
                  <c:v>1.8360000000000001</c:v>
                </c:pt>
                <c:pt idx="35">
                  <c:v>1.8089999999999933</c:v>
                </c:pt>
                <c:pt idx="36">
                  <c:v>1.7769999999999926</c:v>
                </c:pt>
                <c:pt idx="37">
                  <c:v>1.7649999999999926</c:v>
                </c:pt>
                <c:pt idx="38">
                  <c:v>1.7829999999999926</c:v>
                </c:pt>
                <c:pt idx="39">
                  <c:v>1.8109999999999933</c:v>
                </c:pt>
                <c:pt idx="40">
                  <c:v>1.784</c:v>
                </c:pt>
                <c:pt idx="41">
                  <c:v>1.7789999999999926</c:v>
                </c:pt>
                <c:pt idx="42">
                  <c:v>1.792</c:v>
                </c:pt>
                <c:pt idx="43">
                  <c:v>1.748</c:v>
                </c:pt>
                <c:pt idx="44">
                  <c:v>1.716</c:v>
                </c:pt>
                <c:pt idx="45">
                  <c:v>1.716</c:v>
                </c:pt>
                <c:pt idx="46">
                  <c:v>1.706</c:v>
                </c:pt>
                <c:pt idx="47">
                  <c:v>1.7269999999999917</c:v>
                </c:pt>
                <c:pt idx="48">
                  <c:v>1.6779999999999933</c:v>
                </c:pt>
                <c:pt idx="49">
                  <c:v>1.651</c:v>
                </c:pt>
                <c:pt idx="50">
                  <c:v>1.655</c:v>
                </c:pt>
                <c:pt idx="51">
                  <c:v>1.708</c:v>
                </c:pt>
                <c:pt idx="52">
                  <c:v>1.7969999999999933</c:v>
                </c:pt>
                <c:pt idx="53">
                  <c:v>1.794</c:v>
                </c:pt>
                <c:pt idx="54">
                  <c:v>1.8120000000000001</c:v>
                </c:pt>
                <c:pt idx="55">
                  <c:v>1.802</c:v>
                </c:pt>
                <c:pt idx="56">
                  <c:v>1.913</c:v>
                </c:pt>
                <c:pt idx="57">
                  <c:v>1.9379999999999933</c:v>
                </c:pt>
                <c:pt idx="58">
                  <c:v>1.907</c:v>
                </c:pt>
                <c:pt idx="59">
                  <c:v>1.9119999999999926</c:v>
                </c:pt>
                <c:pt idx="60">
                  <c:v>1.9200000000000021</c:v>
                </c:pt>
                <c:pt idx="61">
                  <c:v>1.9560000000000066</c:v>
                </c:pt>
                <c:pt idx="62">
                  <c:v>2.0159999999999987</c:v>
                </c:pt>
                <c:pt idx="63">
                  <c:v>2.0949999999999998</c:v>
                </c:pt>
                <c:pt idx="64">
                  <c:v>2.0670000000000002</c:v>
                </c:pt>
                <c:pt idx="65">
                  <c:v>2.0259999999999998</c:v>
                </c:pt>
                <c:pt idx="66">
                  <c:v>2.0059999999999998</c:v>
                </c:pt>
                <c:pt idx="67">
                  <c:v>1.9840000000000073</c:v>
                </c:pt>
                <c:pt idx="68">
                  <c:v>2.0349999999999997</c:v>
                </c:pt>
                <c:pt idx="69">
                  <c:v>2.0379999999999998</c:v>
                </c:pt>
                <c:pt idx="70">
                  <c:v>2.0509999999999997</c:v>
                </c:pt>
                <c:pt idx="71">
                  <c:v>1.9830000000000001</c:v>
                </c:pt>
                <c:pt idx="72">
                  <c:v>2.0019999999999998</c:v>
                </c:pt>
                <c:pt idx="73">
                  <c:v>1.9710000000000001</c:v>
                </c:pt>
                <c:pt idx="74">
                  <c:v>2</c:v>
                </c:pt>
                <c:pt idx="75">
                  <c:v>1.9890000000000001</c:v>
                </c:pt>
                <c:pt idx="76">
                  <c:v>1.9630000000000001</c:v>
                </c:pt>
                <c:pt idx="77">
                  <c:v>1.923</c:v>
                </c:pt>
                <c:pt idx="78">
                  <c:v>1.889</c:v>
                </c:pt>
                <c:pt idx="79">
                  <c:v>1.909</c:v>
                </c:pt>
                <c:pt idx="80">
                  <c:v>1.9630000000000001</c:v>
                </c:pt>
                <c:pt idx="81">
                  <c:v>2.0070000000000001</c:v>
                </c:pt>
                <c:pt idx="82">
                  <c:v>2.0259999999999998</c:v>
                </c:pt>
                <c:pt idx="83">
                  <c:v>2.0299999999999998</c:v>
                </c:pt>
                <c:pt idx="84">
                  <c:v>2.0289999999999999</c:v>
                </c:pt>
                <c:pt idx="85">
                  <c:v>1.9650000000000001</c:v>
                </c:pt>
                <c:pt idx="86">
                  <c:v>2.0499999999999998</c:v>
                </c:pt>
                <c:pt idx="87">
                  <c:v>2.0259999999999998</c:v>
                </c:pt>
                <c:pt idx="88">
                  <c:v>1.9880000000000073</c:v>
                </c:pt>
                <c:pt idx="89">
                  <c:v>1.9500000000000066</c:v>
                </c:pt>
                <c:pt idx="90">
                  <c:v>1.9930000000000001</c:v>
                </c:pt>
                <c:pt idx="91">
                  <c:v>2.0489999999999999</c:v>
                </c:pt>
                <c:pt idx="92">
                  <c:v>2.0369999999999977</c:v>
                </c:pt>
                <c:pt idx="93">
                  <c:v>2.085</c:v>
                </c:pt>
                <c:pt idx="94">
                  <c:v>2.0649999999999999</c:v>
                </c:pt>
                <c:pt idx="95">
                  <c:v>2.0649999999999999</c:v>
                </c:pt>
                <c:pt idx="96">
                  <c:v>1.9850000000000001</c:v>
                </c:pt>
                <c:pt idx="97">
                  <c:v>2.0430000000000001</c:v>
                </c:pt>
                <c:pt idx="98">
                  <c:v>2.069</c:v>
                </c:pt>
                <c:pt idx="99">
                  <c:v>2.0489999999999999</c:v>
                </c:pt>
                <c:pt idx="100">
                  <c:v>2.0749999999999997</c:v>
                </c:pt>
                <c:pt idx="101">
                  <c:v>2.0670000000000002</c:v>
                </c:pt>
                <c:pt idx="102">
                  <c:v>2.0169999999999977</c:v>
                </c:pt>
                <c:pt idx="103">
                  <c:v>2.0049999999999999</c:v>
                </c:pt>
                <c:pt idx="104">
                  <c:v>1.9740000000000073</c:v>
                </c:pt>
                <c:pt idx="105">
                  <c:v>1.9470000000000001</c:v>
                </c:pt>
                <c:pt idx="106">
                  <c:v>1.9700000000000066</c:v>
                </c:pt>
                <c:pt idx="107">
                  <c:v>2.0030000000000001</c:v>
                </c:pt>
                <c:pt idx="108">
                  <c:v>1.9970000000000001</c:v>
                </c:pt>
                <c:pt idx="109">
                  <c:v>1.9550000000000001</c:v>
                </c:pt>
                <c:pt idx="110">
                  <c:v>1.9850000000000001</c:v>
                </c:pt>
                <c:pt idx="111">
                  <c:v>2.0109999999999997</c:v>
                </c:pt>
                <c:pt idx="112">
                  <c:v>2.0030000000000001</c:v>
                </c:pt>
                <c:pt idx="113">
                  <c:v>1.9940000000000073</c:v>
                </c:pt>
                <c:pt idx="114">
                  <c:v>2.0139999999999998</c:v>
                </c:pt>
                <c:pt idx="115">
                  <c:v>1.9870000000000001</c:v>
                </c:pt>
                <c:pt idx="116">
                  <c:v>1.9830000000000001</c:v>
                </c:pt>
                <c:pt idx="117">
                  <c:v>1.9650000000000001</c:v>
                </c:pt>
                <c:pt idx="118">
                  <c:v>1.897</c:v>
                </c:pt>
                <c:pt idx="119">
                  <c:v>1.9330000000000001</c:v>
                </c:pt>
                <c:pt idx="120">
                  <c:v>1.8859999999999926</c:v>
                </c:pt>
                <c:pt idx="121">
                  <c:v>1.877</c:v>
                </c:pt>
                <c:pt idx="122">
                  <c:v>1.9119999999999926</c:v>
                </c:pt>
                <c:pt idx="123">
                  <c:v>1.875</c:v>
                </c:pt>
                <c:pt idx="124">
                  <c:v>1.841</c:v>
                </c:pt>
                <c:pt idx="125">
                  <c:v>1.786</c:v>
                </c:pt>
                <c:pt idx="126">
                  <c:v>1.794</c:v>
                </c:pt>
                <c:pt idx="127">
                  <c:v>1.742</c:v>
                </c:pt>
                <c:pt idx="128">
                  <c:v>1.794</c:v>
                </c:pt>
                <c:pt idx="129">
                  <c:v>1.786</c:v>
                </c:pt>
                <c:pt idx="130">
                  <c:v>1.772</c:v>
                </c:pt>
                <c:pt idx="131">
                  <c:v>1.796</c:v>
                </c:pt>
                <c:pt idx="132">
                  <c:v>1.8029999999999933</c:v>
                </c:pt>
                <c:pt idx="133">
                  <c:v>1.8140000000000001</c:v>
                </c:pt>
                <c:pt idx="134">
                  <c:v>1.7969999999999933</c:v>
                </c:pt>
                <c:pt idx="135">
                  <c:v>1.802</c:v>
                </c:pt>
                <c:pt idx="136">
                  <c:v>1.7589999999999926</c:v>
                </c:pt>
                <c:pt idx="137">
                  <c:v>1.7169999999999916</c:v>
                </c:pt>
                <c:pt idx="138">
                  <c:v>1.7809999999999926</c:v>
                </c:pt>
                <c:pt idx="139">
                  <c:v>1.778</c:v>
                </c:pt>
                <c:pt idx="140">
                  <c:v>1.7949999999999933</c:v>
                </c:pt>
                <c:pt idx="141">
                  <c:v>1.7669999999999926</c:v>
                </c:pt>
                <c:pt idx="142">
                  <c:v>1.7769999999999926</c:v>
                </c:pt>
                <c:pt idx="143">
                  <c:v>1.7469999999999928</c:v>
                </c:pt>
                <c:pt idx="144">
                  <c:v>1.7409999999999926</c:v>
                </c:pt>
                <c:pt idx="145">
                  <c:v>1.7849999999999926</c:v>
                </c:pt>
                <c:pt idx="146">
                  <c:v>1.79</c:v>
                </c:pt>
                <c:pt idx="147">
                  <c:v>1.7389999999999923</c:v>
                </c:pt>
                <c:pt idx="148">
                  <c:v>1.7969999999999933</c:v>
                </c:pt>
                <c:pt idx="149">
                  <c:v>1.7589999999999926</c:v>
                </c:pt>
                <c:pt idx="150">
                  <c:v>1.8660000000000001</c:v>
                </c:pt>
                <c:pt idx="151">
                  <c:v>1.8819999999999926</c:v>
                </c:pt>
                <c:pt idx="152">
                  <c:v>1.9350000000000001</c:v>
                </c:pt>
                <c:pt idx="153">
                  <c:v>1.8720000000000001</c:v>
                </c:pt>
                <c:pt idx="154">
                  <c:v>1.929</c:v>
                </c:pt>
                <c:pt idx="155">
                  <c:v>1.9540000000000066</c:v>
                </c:pt>
                <c:pt idx="156">
                  <c:v>2.117</c:v>
                </c:pt>
                <c:pt idx="157">
                  <c:v>2.1149999999999998</c:v>
                </c:pt>
                <c:pt idx="158">
                  <c:v>2.2290000000000001</c:v>
                </c:pt>
                <c:pt idx="159">
                  <c:v>2.3899999999999997</c:v>
                </c:pt>
                <c:pt idx="160">
                  <c:v>2.3279999999999998</c:v>
                </c:pt>
                <c:pt idx="161">
                  <c:v>2.4009999999999998</c:v>
                </c:pt>
                <c:pt idx="162">
                  <c:v>2.3989999999999987</c:v>
                </c:pt>
                <c:pt idx="163">
                  <c:v>2.4609999999999999</c:v>
                </c:pt>
                <c:pt idx="164">
                  <c:v>2.6840000000000002</c:v>
                </c:pt>
                <c:pt idx="165">
                  <c:v>3.1640000000000001</c:v>
                </c:pt>
                <c:pt idx="166">
                  <c:v>2.9159999999999977</c:v>
                </c:pt>
                <c:pt idx="167">
                  <c:v>2.794</c:v>
                </c:pt>
                <c:pt idx="168">
                  <c:v>2.6890000000000001</c:v>
                </c:pt>
                <c:pt idx="169">
                  <c:v>2.5379999999999998</c:v>
                </c:pt>
                <c:pt idx="170">
                  <c:v>2.7890000000000001</c:v>
                </c:pt>
                <c:pt idx="171">
                  <c:v>2.9389999999999987</c:v>
                </c:pt>
                <c:pt idx="172">
                  <c:v>3.0619999999999998</c:v>
                </c:pt>
                <c:pt idx="173">
                  <c:v>3.1309999999999998</c:v>
                </c:pt>
                <c:pt idx="174">
                  <c:v>2.8379999999999987</c:v>
                </c:pt>
                <c:pt idx="175">
                  <c:v>2.8619999999999997</c:v>
                </c:pt>
                <c:pt idx="176">
                  <c:v>2.8059999999999987</c:v>
                </c:pt>
                <c:pt idx="177">
                  <c:v>2.7370000000000001</c:v>
                </c:pt>
                <c:pt idx="178">
                  <c:v>2.609</c:v>
                </c:pt>
                <c:pt idx="179">
                  <c:v>2.5539999999999998</c:v>
                </c:pt>
                <c:pt idx="180">
                  <c:v>2.5569999999999977</c:v>
                </c:pt>
                <c:pt idx="181">
                  <c:v>2.5489999999999999</c:v>
                </c:pt>
                <c:pt idx="182">
                  <c:v>2.7319999999999998</c:v>
                </c:pt>
                <c:pt idx="183">
                  <c:v>2.694</c:v>
                </c:pt>
                <c:pt idx="184">
                  <c:v>2.8259999999999987</c:v>
                </c:pt>
                <c:pt idx="185">
                  <c:v>2.8889999999999998</c:v>
                </c:pt>
                <c:pt idx="186">
                  <c:v>2.8089999999999997</c:v>
                </c:pt>
                <c:pt idx="187">
                  <c:v>2.7800000000000002</c:v>
                </c:pt>
                <c:pt idx="188">
                  <c:v>2.68</c:v>
                </c:pt>
                <c:pt idx="189">
                  <c:v>2.6509999999999998</c:v>
                </c:pt>
                <c:pt idx="190">
                  <c:v>2.6359999999999997</c:v>
                </c:pt>
                <c:pt idx="191">
                  <c:v>2.6539999999999999</c:v>
                </c:pt>
                <c:pt idx="192">
                  <c:v>2.73</c:v>
                </c:pt>
                <c:pt idx="193">
                  <c:v>2.7149999999999999</c:v>
                </c:pt>
                <c:pt idx="194">
                  <c:v>2.6669999999999998</c:v>
                </c:pt>
                <c:pt idx="195">
                  <c:v>2.6709999999999998</c:v>
                </c:pt>
                <c:pt idx="196">
                  <c:v>2.6890000000000001</c:v>
                </c:pt>
                <c:pt idx="197">
                  <c:v>2.6240000000000001</c:v>
                </c:pt>
                <c:pt idx="198">
                  <c:v>2.5509999999999997</c:v>
                </c:pt>
                <c:pt idx="199">
                  <c:v>2.577</c:v>
                </c:pt>
                <c:pt idx="200">
                  <c:v>2.468</c:v>
                </c:pt>
                <c:pt idx="201">
                  <c:v>2.5049999999999999</c:v>
                </c:pt>
                <c:pt idx="202">
                  <c:v>2.5059999999999998</c:v>
                </c:pt>
                <c:pt idx="203">
                  <c:v>2.589</c:v>
                </c:pt>
                <c:pt idx="204">
                  <c:v>2.6389999999999998</c:v>
                </c:pt>
                <c:pt idx="205">
                  <c:v>2.6850000000000001</c:v>
                </c:pt>
                <c:pt idx="206">
                  <c:v>2.6779999999999999</c:v>
                </c:pt>
                <c:pt idx="207">
                  <c:v>2.7040000000000002</c:v>
                </c:pt>
                <c:pt idx="208">
                  <c:v>2.7429999999999999</c:v>
                </c:pt>
                <c:pt idx="209">
                  <c:v>2.786</c:v>
                </c:pt>
                <c:pt idx="210">
                  <c:v>2.72</c:v>
                </c:pt>
                <c:pt idx="211">
                  <c:v>2.7890000000000001</c:v>
                </c:pt>
                <c:pt idx="212">
                  <c:v>2.9129999999999967</c:v>
                </c:pt>
                <c:pt idx="213">
                  <c:v>2.927</c:v>
                </c:pt>
                <c:pt idx="214">
                  <c:v>2.9049999999999998</c:v>
                </c:pt>
                <c:pt idx="215">
                  <c:v>2.8689999999999998</c:v>
                </c:pt>
                <c:pt idx="216">
                  <c:v>2.9139999999999997</c:v>
                </c:pt>
                <c:pt idx="217">
                  <c:v>2.8979999999999997</c:v>
                </c:pt>
                <c:pt idx="218">
                  <c:v>2.9929999999999977</c:v>
                </c:pt>
                <c:pt idx="219">
                  <c:v>3.1019999999999999</c:v>
                </c:pt>
                <c:pt idx="220">
                  <c:v>3.03</c:v>
                </c:pt>
                <c:pt idx="221">
                  <c:v>3.169</c:v>
                </c:pt>
                <c:pt idx="222">
                  <c:v>3.117</c:v>
                </c:pt>
                <c:pt idx="223">
                  <c:v>3.121</c:v>
                </c:pt>
                <c:pt idx="224">
                  <c:v>3.0139999999999998</c:v>
                </c:pt>
                <c:pt idx="225">
                  <c:v>2.988</c:v>
                </c:pt>
                <c:pt idx="226">
                  <c:v>3.0609999999999999</c:v>
                </c:pt>
                <c:pt idx="227">
                  <c:v>3.0880000000000001</c:v>
                </c:pt>
                <c:pt idx="228">
                  <c:v>3.1519999999999997</c:v>
                </c:pt>
                <c:pt idx="229">
                  <c:v>3.1559999999999997</c:v>
                </c:pt>
                <c:pt idx="230">
                  <c:v>3.1869999999999998</c:v>
                </c:pt>
                <c:pt idx="231">
                  <c:v>3.125</c:v>
                </c:pt>
                <c:pt idx="232">
                  <c:v>3.2149999999999999</c:v>
                </c:pt>
                <c:pt idx="233">
                  <c:v>3.2359999999999998</c:v>
                </c:pt>
                <c:pt idx="234">
                  <c:v>3.161</c:v>
                </c:pt>
                <c:pt idx="235">
                  <c:v>3.0169999999999977</c:v>
                </c:pt>
                <c:pt idx="236">
                  <c:v>2.9349999999999987</c:v>
                </c:pt>
                <c:pt idx="237">
                  <c:v>3.0579999999999998</c:v>
                </c:pt>
                <c:pt idx="238">
                  <c:v>3.0349999999999997</c:v>
                </c:pt>
                <c:pt idx="239">
                  <c:v>2.9099999999999997</c:v>
                </c:pt>
                <c:pt idx="240">
                  <c:v>2.9430000000000001</c:v>
                </c:pt>
                <c:pt idx="241">
                  <c:v>2.9509999999999987</c:v>
                </c:pt>
                <c:pt idx="242">
                  <c:v>2.9509999999999987</c:v>
                </c:pt>
                <c:pt idx="243">
                  <c:v>2.9819999999999998</c:v>
                </c:pt>
                <c:pt idx="244">
                  <c:v>2.8459999999999988</c:v>
                </c:pt>
                <c:pt idx="245">
                  <c:v>2.79</c:v>
                </c:pt>
                <c:pt idx="246">
                  <c:v>2.8519999999999968</c:v>
                </c:pt>
                <c:pt idx="247">
                  <c:v>2.8819999999999997</c:v>
                </c:pt>
                <c:pt idx="248">
                  <c:v>2.8299999999999987</c:v>
                </c:pt>
                <c:pt idx="249">
                  <c:v>2.9489999999999998</c:v>
                </c:pt>
                <c:pt idx="250">
                  <c:v>2.8779999999999997</c:v>
                </c:pt>
                <c:pt idx="251">
                  <c:v>2.8589999999999987</c:v>
                </c:pt>
                <c:pt idx="252">
                  <c:v>2.8879999999999999</c:v>
                </c:pt>
                <c:pt idx="253">
                  <c:v>3.1469999999999998</c:v>
                </c:pt>
                <c:pt idx="254">
                  <c:v>3.2989999999999999</c:v>
                </c:pt>
                <c:pt idx="255">
                  <c:v>3.4519999999999977</c:v>
                </c:pt>
                <c:pt idx="256">
                  <c:v>3.312999999999986</c:v>
                </c:pt>
                <c:pt idx="257">
                  <c:v>3.3289999999999997</c:v>
                </c:pt>
                <c:pt idx="258">
                  <c:v>3.4239999999999999</c:v>
                </c:pt>
                <c:pt idx="259">
                  <c:v>3.5680000000000001</c:v>
                </c:pt>
                <c:pt idx="260">
                  <c:v>3.4759999999999978</c:v>
                </c:pt>
                <c:pt idx="261">
                  <c:v>3.5059999999999998</c:v>
                </c:pt>
                <c:pt idx="262">
                  <c:v>3.5640000000000001</c:v>
                </c:pt>
                <c:pt idx="263">
                  <c:v>3.577</c:v>
                </c:pt>
                <c:pt idx="264">
                  <c:v>3.5459999999999998</c:v>
                </c:pt>
                <c:pt idx="265">
                  <c:v>3.4529999999999967</c:v>
                </c:pt>
                <c:pt idx="266">
                  <c:v>3.548</c:v>
                </c:pt>
                <c:pt idx="267">
                  <c:v>3.6859999999999999</c:v>
                </c:pt>
                <c:pt idx="268">
                  <c:v>3.4830000000000001</c:v>
                </c:pt>
                <c:pt idx="269">
                  <c:v>3.4409999999999998</c:v>
                </c:pt>
              </c:numCache>
            </c:numRef>
          </c:val>
        </c:ser>
        <c:ser>
          <c:idx val="5"/>
          <c:order val="5"/>
          <c:tx>
            <c:strRef>
              <c:f>'ΣΤΟΙΧΕΙΑ ΓΙΑ ΠΡΟΥΠ 2018'!$G$2</c:f>
              <c:strCache>
                <c:ptCount val="1"/>
                <c:pt idx="0">
                  <c:v>ΠΟΡΤΟΓΑΛΙΑ</c:v>
                </c:pt>
              </c:strCache>
            </c:strRef>
          </c:tx>
          <c:spPr>
            <a:ln>
              <a:solidFill>
                <a:srgbClr val="00B050"/>
              </a:solidFill>
            </a:ln>
          </c:spPr>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2018'!$G$3:$G$1549</c:f>
              <c:numCache>
                <c:formatCode>General</c:formatCode>
                <c:ptCount val="270"/>
                <c:pt idx="0">
                  <c:v>2.4279999999999999</c:v>
                </c:pt>
                <c:pt idx="1">
                  <c:v>2.4109999999999987</c:v>
                </c:pt>
                <c:pt idx="2">
                  <c:v>2.4159999999999977</c:v>
                </c:pt>
                <c:pt idx="3">
                  <c:v>2.4009999999999998</c:v>
                </c:pt>
                <c:pt idx="4">
                  <c:v>2.4139999999999997</c:v>
                </c:pt>
                <c:pt idx="5">
                  <c:v>2.4049999999999998</c:v>
                </c:pt>
                <c:pt idx="6">
                  <c:v>2.3919999999999977</c:v>
                </c:pt>
                <c:pt idx="7">
                  <c:v>2.336999999999986</c:v>
                </c:pt>
                <c:pt idx="8">
                  <c:v>2.3209999999999997</c:v>
                </c:pt>
                <c:pt idx="9">
                  <c:v>2.332999999999986</c:v>
                </c:pt>
                <c:pt idx="10">
                  <c:v>2.3289999999999997</c:v>
                </c:pt>
                <c:pt idx="11">
                  <c:v>2.3209999999999997</c:v>
                </c:pt>
                <c:pt idx="12">
                  <c:v>2.3459999999999988</c:v>
                </c:pt>
                <c:pt idx="13">
                  <c:v>2.3089999999999997</c:v>
                </c:pt>
                <c:pt idx="14">
                  <c:v>2.3189999999999977</c:v>
                </c:pt>
                <c:pt idx="15">
                  <c:v>2.2880000000000011</c:v>
                </c:pt>
                <c:pt idx="16">
                  <c:v>2.3119999999999967</c:v>
                </c:pt>
                <c:pt idx="17">
                  <c:v>2.3039999999999998</c:v>
                </c:pt>
                <c:pt idx="18">
                  <c:v>2.238</c:v>
                </c:pt>
                <c:pt idx="19">
                  <c:v>2.194</c:v>
                </c:pt>
                <c:pt idx="20">
                  <c:v>2.0949999999999998</c:v>
                </c:pt>
                <c:pt idx="21">
                  <c:v>2.0739999999999998</c:v>
                </c:pt>
                <c:pt idx="22">
                  <c:v>2.105</c:v>
                </c:pt>
                <c:pt idx="23">
                  <c:v>2.0979999999999999</c:v>
                </c:pt>
                <c:pt idx="24">
                  <c:v>2.0680000000000001</c:v>
                </c:pt>
                <c:pt idx="25">
                  <c:v>2.0270000000000001</c:v>
                </c:pt>
                <c:pt idx="26">
                  <c:v>1.9300000000000066</c:v>
                </c:pt>
                <c:pt idx="27">
                  <c:v>2.0070000000000001</c:v>
                </c:pt>
                <c:pt idx="28">
                  <c:v>2.0449999999999999</c:v>
                </c:pt>
                <c:pt idx="29">
                  <c:v>2.0589999999999997</c:v>
                </c:pt>
                <c:pt idx="30">
                  <c:v>1.9920000000000073</c:v>
                </c:pt>
                <c:pt idx="31">
                  <c:v>1.9690000000000001</c:v>
                </c:pt>
                <c:pt idx="32">
                  <c:v>1.9980000000000073</c:v>
                </c:pt>
                <c:pt idx="33">
                  <c:v>1.9790000000000001</c:v>
                </c:pt>
                <c:pt idx="34">
                  <c:v>1.9830000000000001</c:v>
                </c:pt>
                <c:pt idx="35">
                  <c:v>1.9510000000000001</c:v>
                </c:pt>
                <c:pt idx="36">
                  <c:v>1.917</c:v>
                </c:pt>
                <c:pt idx="37">
                  <c:v>1.905</c:v>
                </c:pt>
                <c:pt idx="38">
                  <c:v>1.925</c:v>
                </c:pt>
                <c:pt idx="39">
                  <c:v>1.9390000000000001</c:v>
                </c:pt>
                <c:pt idx="40">
                  <c:v>1.915999999999993</c:v>
                </c:pt>
                <c:pt idx="41">
                  <c:v>1.923</c:v>
                </c:pt>
                <c:pt idx="42">
                  <c:v>1.931</c:v>
                </c:pt>
                <c:pt idx="43">
                  <c:v>1.8720000000000001</c:v>
                </c:pt>
                <c:pt idx="44">
                  <c:v>1.883</c:v>
                </c:pt>
                <c:pt idx="45">
                  <c:v>1.901</c:v>
                </c:pt>
                <c:pt idx="46">
                  <c:v>1.885</c:v>
                </c:pt>
                <c:pt idx="47">
                  <c:v>1.8800000000000001</c:v>
                </c:pt>
                <c:pt idx="48">
                  <c:v>1.8169999999999933</c:v>
                </c:pt>
                <c:pt idx="49">
                  <c:v>1.806</c:v>
                </c:pt>
                <c:pt idx="50">
                  <c:v>1.7949999999999933</c:v>
                </c:pt>
                <c:pt idx="51">
                  <c:v>1.841</c:v>
                </c:pt>
                <c:pt idx="52">
                  <c:v>1.8839999999999926</c:v>
                </c:pt>
                <c:pt idx="53">
                  <c:v>1.825</c:v>
                </c:pt>
                <c:pt idx="54">
                  <c:v>1.84</c:v>
                </c:pt>
                <c:pt idx="55">
                  <c:v>1.7789999999999926</c:v>
                </c:pt>
                <c:pt idx="56">
                  <c:v>1.829</c:v>
                </c:pt>
                <c:pt idx="57">
                  <c:v>1.792</c:v>
                </c:pt>
                <c:pt idx="58">
                  <c:v>1.766</c:v>
                </c:pt>
                <c:pt idx="59">
                  <c:v>1.8380000000000001</c:v>
                </c:pt>
                <c:pt idx="60">
                  <c:v>1.843</c:v>
                </c:pt>
                <c:pt idx="61">
                  <c:v>1.9079999999999926</c:v>
                </c:pt>
                <c:pt idx="62">
                  <c:v>1.9430000000000001</c:v>
                </c:pt>
                <c:pt idx="63">
                  <c:v>2.0089999999999999</c:v>
                </c:pt>
                <c:pt idx="64">
                  <c:v>1.9900000000000073</c:v>
                </c:pt>
                <c:pt idx="65">
                  <c:v>1.931</c:v>
                </c:pt>
                <c:pt idx="66">
                  <c:v>1.9410000000000001</c:v>
                </c:pt>
                <c:pt idx="67">
                  <c:v>1.867</c:v>
                </c:pt>
                <c:pt idx="68">
                  <c:v>1.863</c:v>
                </c:pt>
                <c:pt idx="69">
                  <c:v>1.8420000000000001</c:v>
                </c:pt>
                <c:pt idx="70">
                  <c:v>1.825</c:v>
                </c:pt>
                <c:pt idx="71">
                  <c:v>1.794</c:v>
                </c:pt>
                <c:pt idx="72">
                  <c:v>1.8</c:v>
                </c:pt>
                <c:pt idx="73">
                  <c:v>1.79</c:v>
                </c:pt>
                <c:pt idx="74">
                  <c:v>2.0339999999999998</c:v>
                </c:pt>
                <c:pt idx="75">
                  <c:v>2.0169999999999977</c:v>
                </c:pt>
                <c:pt idx="76">
                  <c:v>1.9790000000000001</c:v>
                </c:pt>
                <c:pt idx="77">
                  <c:v>1.9339999999999933</c:v>
                </c:pt>
                <c:pt idx="78">
                  <c:v>1.905</c:v>
                </c:pt>
                <c:pt idx="79">
                  <c:v>1.8979999999999926</c:v>
                </c:pt>
                <c:pt idx="80">
                  <c:v>1.905</c:v>
                </c:pt>
                <c:pt idx="81">
                  <c:v>1.9460000000000066</c:v>
                </c:pt>
                <c:pt idx="82">
                  <c:v>1.9430000000000001</c:v>
                </c:pt>
                <c:pt idx="83">
                  <c:v>1.9570000000000001</c:v>
                </c:pt>
                <c:pt idx="84">
                  <c:v>1.9650000000000001</c:v>
                </c:pt>
                <c:pt idx="85">
                  <c:v>1.9480000000000066</c:v>
                </c:pt>
                <c:pt idx="86">
                  <c:v>2.0169999999999977</c:v>
                </c:pt>
                <c:pt idx="87">
                  <c:v>2.044</c:v>
                </c:pt>
                <c:pt idx="88">
                  <c:v>2.06</c:v>
                </c:pt>
                <c:pt idx="89">
                  <c:v>2.0139999999999998</c:v>
                </c:pt>
                <c:pt idx="90">
                  <c:v>2.0309999999999997</c:v>
                </c:pt>
                <c:pt idx="91">
                  <c:v>2.101</c:v>
                </c:pt>
                <c:pt idx="92">
                  <c:v>2.0759999999999987</c:v>
                </c:pt>
                <c:pt idx="93">
                  <c:v>2.1359999999999997</c:v>
                </c:pt>
                <c:pt idx="94">
                  <c:v>2.0789999999999997</c:v>
                </c:pt>
                <c:pt idx="95">
                  <c:v>2.0630000000000002</c:v>
                </c:pt>
                <c:pt idx="96">
                  <c:v>2.0059999999999998</c:v>
                </c:pt>
                <c:pt idx="97">
                  <c:v>2.0209999999999999</c:v>
                </c:pt>
                <c:pt idx="98">
                  <c:v>2.0459999999999998</c:v>
                </c:pt>
                <c:pt idx="99">
                  <c:v>1.9960000000000073</c:v>
                </c:pt>
                <c:pt idx="100">
                  <c:v>2.0270000000000001</c:v>
                </c:pt>
                <c:pt idx="101">
                  <c:v>2.0349999999999997</c:v>
                </c:pt>
                <c:pt idx="102">
                  <c:v>1.9960000000000073</c:v>
                </c:pt>
                <c:pt idx="103">
                  <c:v>2.0149999999999997</c:v>
                </c:pt>
                <c:pt idx="104">
                  <c:v>1.9910000000000001</c:v>
                </c:pt>
                <c:pt idx="105">
                  <c:v>1.9470000000000001</c:v>
                </c:pt>
                <c:pt idx="106">
                  <c:v>1.9870000000000001</c:v>
                </c:pt>
                <c:pt idx="107">
                  <c:v>1.9520000000000066</c:v>
                </c:pt>
                <c:pt idx="108">
                  <c:v>1.917</c:v>
                </c:pt>
                <c:pt idx="109">
                  <c:v>1.859</c:v>
                </c:pt>
                <c:pt idx="110">
                  <c:v>1.823</c:v>
                </c:pt>
                <c:pt idx="111">
                  <c:v>1.863</c:v>
                </c:pt>
                <c:pt idx="112">
                  <c:v>1.8240000000000001</c:v>
                </c:pt>
                <c:pt idx="113">
                  <c:v>1.802</c:v>
                </c:pt>
                <c:pt idx="114">
                  <c:v>1.804</c:v>
                </c:pt>
                <c:pt idx="115">
                  <c:v>1.7889999999999928</c:v>
                </c:pt>
                <c:pt idx="116">
                  <c:v>1.7549999999999926</c:v>
                </c:pt>
                <c:pt idx="117">
                  <c:v>1.742</c:v>
                </c:pt>
                <c:pt idx="118">
                  <c:v>1.7309999999999917</c:v>
                </c:pt>
                <c:pt idx="119">
                  <c:v>1.7589999999999926</c:v>
                </c:pt>
                <c:pt idx="120">
                  <c:v>1.754</c:v>
                </c:pt>
                <c:pt idx="121">
                  <c:v>1.7209999999999916</c:v>
                </c:pt>
                <c:pt idx="122">
                  <c:v>1.7169999999999916</c:v>
                </c:pt>
                <c:pt idx="123">
                  <c:v>1.6679999999999933</c:v>
                </c:pt>
                <c:pt idx="124">
                  <c:v>1.641</c:v>
                </c:pt>
                <c:pt idx="125">
                  <c:v>1.609</c:v>
                </c:pt>
                <c:pt idx="126">
                  <c:v>1.637</c:v>
                </c:pt>
                <c:pt idx="127">
                  <c:v>1.623</c:v>
                </c:pt>
                <c:pt idx="128">
                  <c:v>1.6719999999999933</c:v>
                </c:pt>
                <c:pt idx="129">
                  <c:v>1.6910000000000001</c:v>
                </c:pt>
                <c:pt idx="130">
                  <c:v>1.6970000000000001</c:v>
                </c:pt>
                <c:pt idx="131">
                  <c:v>1.726</c:v>
                </c:pt>
                <c:pt idx="132">
                  <c:v>1.7</c:v>
                </c:pt>
                <c:pt idx="133">
                  <c:v>1.6990000000000001</c:v>
                </c:pt>
                <c:pt idx="134">
                  <c:v>1.6539999999999926</c:v>
                </c:pt>
                <c:pt idx="135">
                  <c:v>1.6479999999999926</c:v>
                </c:pt>
                <c:pt idx="136">
                  <c:v>1.617</c:v>
                </c:pt>
                <c:pt idx="137">
                  <c:v>1.61</c:v>
                </c:pt>
                <c:pt idx="138">
                  <c:v>1.6559999999999926</c:v>
                </c:pt>
                <c:pt idx="139">
                  <c:v>1.655</c:v>
                </c:pt>
                <c:pt idx="140">
                  <c:v>1.6960000000000066</c:v>
                </c:pt>
                <c:pt idx="141">
                  <c:v>1.6779999999999933</c:v>
                </c:pt>
                <c:pt idx="142">
                  <c:v>1.712</c:v>
                </c:pt>
                <c:pt idx="143">
                  <c:v>1.6850000000000001</c:v>
                </c:pt>
                <c:pt idx="144">
                  <c:v>1.653</c:v>
                </c:pt>
                <c:pt idx="145">
                  <c:v>1.6759999999999933</c:v>
                </c:pt>
                <c:pt idx="146">
                  <c:v>1.6930000000000001</c:v>
                </c:pt>
                <c:pt idx="147">
                  <c:v>1.647</c:v>
                </c:pt>
                <c:pt idx="148">
                  <c:v>1.708</c:v>
                </c:pt>
                <c:pt idx="149">
                  <c:v>1.6739999999999933</c:v>
                </c:pt>
                <c:pt idx="150">
                  <c:v>1.7349999999999917</c:v>
                </c:pt>
                <c:pt idx="151">
                  <c:v>1.7129999999999916</c:v>
                </c:pt>
                <c:pt idx="152">
                  <c:v>1.7249999999999917</c:v>
                </c:pt>
                <c:pt idx="153">
                  <c:v>1.679</c:v>
                </c:pt>
                <c:pt idx="154">
                  <c:v>1.7149999999999916</c:v>
                </c:pt>
                <c:pt idx="155">
                  <c:v>1.7409999999999926</c:v>
                </c:pt>
                <c:pt idx="156">
                  <c:v>1.8069999999999933</c:v>
                </c:pt>
                <c:pt idx="157">
                  <c:v>1.8029999999999933</c:v>
                </c:pt>
                <c:pt idx="158">
                  <c:v>1.8680000000000001</c:v>
                </c:pt>
                <c:pt idx="159">
                  <c:v>2.0049999999999999</c:v>
                </c:pt>
                <c:pt idx="160">
                  <c:v>1.9620000000000066</c:v>
                </c:pt>
                <c:pt idx="161">
                  <c:v>1.9560000000000066</c:v>
                </c:pt>
                <c:pt idx="162">
                  <c:v>1.9039999999999926</c:v>
                </c:pt>
                <c:pt idx="163">
                  <c:v>1.9500000000000066</c:v>
                </c:pt>
                <c:pt idx="164">
                  <c:v>2.0709999999999997</c:v>
                </c:pt>
                <c:pt idx="165">
                  <c:v>2.1930000000000001</c:v>
                </c:pt>
                <c:pt idx="166">
                  <c:v>2.0519999999999987</c:v>
                </c:pt>
                <c:pt idx="167">
                  <c:v>1.9810000000000001</c:v>
                </c:pt>
                <c:pt idx="168">
                  <c:v>1.8800000000000001</c:v>
                </c:pt>
                <c:pt idx="169">
                  <c:v>1.762</c:v>
                </c:pt>
                <c:pt idx="170">
                  <c:v>1.855</c:v>
                </c:pt>
                <c:pt idx="171">
                  <c:v>1.9460000000000066</c:v>
                </c:pt>
                <c:pt idx="172">
                  <c:v>2.0309999999999997</c:v>
                </c:pt>
                <c:pt idx="173">
                  <c:v>2.0559999999999987</c:v>
                </c:pt>
                <c:pt idx="174">
                  <c:v>1.9990000000000001</c:v>
                </c:pt>
                <c:pt idx="175">
                  <c:v>1.9870000000000001</c:v>
                </c:pt>
                <c:pt idx="176">
                  <c:v>1.9480000000000066</c:v>
                </c:pt>
                <c:pt idx="177">
                  <c:v>1.915</c:v>
                </c:pt>
                <c:pt idx="178">
                  <c:v>1.8220000000000001</c:v>
                </c:pt>
                <c:pt idx="179">
                  <c:v>1.748</c:v>
                </c:pt>
                <c:pt idx="180">
                  <c:v>1.738</c:v>
                </c:pt>
                <c:pt idx="181">
                  <c:v>1.748</c:v>
                </c:pt>
                <c:pt idx="182">
                  <c:v>1.845</c:v>
                </c:pt>
                <c:pt idx="183">
                  <c:v>1.82</c:v>
                </c:pt>
                <c:pt idx="184">
                  <c:v>1.8340000000000001</c:v>
                </c:pt>
                <c:pt idx="185">
                  <c:v>1.8839999999999926</c:v>
                </c:pt>
                <c:pt idx="186">
                  <c:v>1.8480000000000001</c:v>
                </c:pt>
                <c:pt idx="187">
                  <c:v>1.833</c:v>
                </c:pt>
                <c:pt idx="188">
                  <c:v>1.7869999999999926</c:v>
                </c:pt>
                <c:pt idx="189">
                  <c:v>1.7629999999999926</c:v>
                </c:pt>
                <c:pt idx="190">
                  <c:v>1.7349999999999917</c:v>
                </c:pt>
                <c:pt idx="191">
                  <c:v>1.756</c:v>
                </c:pt>
                <c:pt idx="192">
                  <c:v>1.8009999999999933</c:v>
                </c:pt>
                <c:pt idx="193">
                  <c:v>1.804</c:v>
                </c:pt>
                <c:pt idx="194">
                  <c:v>1.782</c:v>
                </c:pt>
                <c:pt idx="195">
                  <c:v>1.7549999999999926</c:v>
                </c:pt>
                <c:pt idx="196">
                  <c:v>1.7729999999999926</c:v>
                </c:pt>
                <c:pt idx="197">
                  <c:v>1.7469999999999928</c:v>
                </c:pt>
                <c:pt idx="198">
                  <c:v>1.734</c:v>
                </c:pt>
                <c:pt idx="199">
                  <c:v>1.7809999999999926</c:v>
                </c:pt>
                <c:pt idx="200">
                  <c:v>1.7389999999999923</c:v>
                </c:pt>
                <c:pt idx="201">
                  <c:v>1.7629999999999926</c:v>
                </c:pt>
                <c:pt idx="202">
                  <c:v>1.7529999999999926</c:v>
                </c:pt>
                <c:pt idx="203">
                  <c:v>1.782</c:v>
                </c:pt>
                <c:pt idx="204">
                  <c:v>1.774</c:v>
                </c:pt>
                <c:pt idx="205">
                  <c:v>1.78</c:v>
                </c:pt>
                <c:pt idx="206">
                  <c:v>1.7329999999999917</c:v>
                </c:pt>
                <c:pt idx="207">
                  <c:v>1.7309999999999917</c:v>
                </c:pt>
                <c:pt idx="208">
                  <c:v>1.7249999999999917</c:v>
                </c:pt>
                <c:pt idx="209">
                  <c:v>1.772</c:v>
                </c:pt>
                <c:pt idx="210">
                  <c:v>1.7409999999999926</c:v>
                </c:pt>
                <c:pt idx="211">
                  <c:v>1.788</c:v>
                </c:pt>
                <c:pt idx="212">
                  <c:v>1.8089999999999933</c:v>
                </c:pt>
                <c:pt idx="213">
                  <c:v>1.782</c:v>
                </c:pt>
                <c:pt idx="214">
                  <c:v>1.7509999999999926</c:v>
                </c:pt>
                <c:pt idx="215">
                  <c:v>1.7529999999999926</c:v>
                </c:pt>
                <c:pt idx="216">
                  <c:v>1.7709999999999926</c:v>
                </c:pt>
                <c:pt idx="217">
                  <c:v>1.7669999999999926</c:v>
                </c:pt>
                <c:pt idx="218">
                  <c:v>1.778</c:v>
                </c:pt>
                <c:pt idx="219">
                  <c:v>1.8460000000000001</c:v>
                </c:pt>
                <c:pt idx="220">
                  <c:v>1.8169999999999933</c:v>
                </c:pt>
                <c:pt idx="221">
                  <c:v>1.847</c:v>
                </c:pt>
                <c:pt idx="222">
                  <c:v>1.8540000000000001</c:v>
                </c:pt>
                <c:pt idx="223">
                  <c:v>1.855</c:v>
                </c:pt>
                <c:pt idx="224">
                  <c:v>1.794</c:v>
                </c:pt>
                <c:pt idx="225">
                  <c:v>1.772</c:v>
                </c:pt>
                <c:pt idx="226">
                  <c:v>1.7949999999999933</c:v>
                </c:pt>
                <c:pt idx="227">
                  <c:v>1.7989999999999933</c:v>
                </c:pt>
                <c:pt idx="228">
                  <c:v>1.823</c:v>
                </c:pt>
                <c:pt idx="229">
                  <c:v>1.8360000000000001</c:v>
                </c:pt>
                <c:pt idx="230">
                  <c:v>1.8759999999999926</c:v>
                </c:pt>
                <c:pt idx="231">
                  <c:v>1.901</c:v>
                </c:pt>
                <c:pt idx="232">
                  <c:v>1.9200000000000021</c:v>
                </c:pt>
                <c:pt idx="233">
                  <c:v>1.9239999999999933</c:v>
                </c:pt>
                <c:pt idx="234">
                  <c:v>1.9059999999999926</c:v>
                </c:pt>
                <c:pt idx="235">
                  <c:v>1.87</c:v>
                </c:pt>
                <c:pt idx="236">
                  <c:v>1.8740000000000001</c:v>
                </c:pt>
                <c:pt idx="237">
                  <c:v>1.881</c:v>
                </c:pt>
                <c:pt idx="238">
                  <c:v>1.9019999999999926</c:v>
                </c:pt>
                <c:pt idx="239">
                  <c:v>1.883</c:v>
                </c:pt>
                <c:pt idx="240">
                  <c:v>1.8939999999999926</c:v>
                </c:pt>
                <c:pt idx="241">
                  <c:v>1.8620000000000001</c:v>
                </c:pt>
                <c:pt idx="242">
                  <c:v>1.8640000000000001</c:v>
                </c:pt>
                <c:pt idx="243">
                  <c:v>1.8560000000000001</c:v>
                </c:pt>
                <c:pt idx="244">
                  <c:v>1.831</c:v>
                </c:pt>
                <c:pt idx="245">
                  <c:v>1.8540000000000001</c:v>
                </c:pt>
                <c:pt idx="246">
                  <c:v>1.8919999999999926</c:v>
                </c:pt>
                <c:pt idx="247">
                  <c:v>1.883</c:v>
                </c:pt>
                <c:pt idx="248">
                  <c:v>1.869</c:v>
                </c:pt>
                <c:pt idx="249">
                  <c:v>1.8979999999999926</c:v>
                </c:pt>
                <c:pt idx="250">
                  <c:v>1.893</c:v>
                </c:pt>
                <c:pt idx="251">
                  <c:v>1.897</c:v>
                </c:pt>
                <c:pt idx="252">
                  <c:v>1.8680000000000001</c:v>
                </c:pt>
                <c:pt idx="253">
                  <c:v>1.8779999999999926</c:v>
                </c:pt>
                <c:pt idx="254">
                  <c:v>1.903</c:v>
                </c:pt>
                <c:pt idx="255">
                  <c:v>1.9000000000000001</c:v>
                </c:pt>
                <c:pt idx="256">
                  <c:v>1.8939999999999926</c:v>
                </c:pt>
                <c:pt idx="257">
                  <c:v>1.913</c:v>
                </c:pt>
                <c:pt idx="258">
                  <c:v>1.9419999999999933</c:v>
                </c:pt>
                <c:pt idx="259">
                  <c:v>1.9680000000000066</c:v>
                </c:pt>
                <c:pt idx="260">
                  <c:v>1.9750000000000001</c:v>
                </c:pt>
                <c:pt idx="261">
                  <c:v>1.9630000000000001</c:v>
                </c:pt>
                <c:pt idx="262">
                  <c:v>2.0209999999999999</c:v>
                </c:pt>
                <c:pt idx="263">
                  <c:v>2.0430000000000001</c:v>
                </c:pt>
                <c:pt idx="264">
                  <c:v>2.0009999999999999</c:v>
                </c:pt>
                <c:pt idx="265">
                  <c:v>1.9400000000000066</c:v>
                </c:pt>
                <c:pt idx="266">
                  <c:v>1.9480000000000066</c:v>
                </c:pt>
                <c:pt idx="267">
                  <c:v>2.0309999999999997</c:v>
                </c:pt>
                <c:pt idx="268">
                  <c:v>2.0189999999999997</c:v>
                </c:pt>
                <c:pt idx="269">
                  <c:v>1.9910000000000001</c:v>
                </c:pt>
              </c:numCache>
            </c:numRef>
          </c:val>
        </c:ser>
        <c:ser>
          <c:idx val="6"/>
          <c:order val="6"/>
          <c:tx>
            <c:strRef>
              <c:f>'ΣΤΟΙΧΕΙΑ ΓΙΑ ΠΡΟΥΠ 2018'!$H$2</c:f>
              <c:strCache>
                <c:ptCount val="1"/>
                <c:pt idx="0">
                  <c:v>ΙΣΠΑΝΙΑ</c:v>
                </c:pt>
              </c:strCache>
            </c:strRef>
          </c:tx>
          <c:spPr>
            <a:ln>
              <a:solidFill>
                <a:srgbClr val="FFC000"/>
              </a:solidFill>
            </a:ln>
          </c:spPr>
          <c:marker>
            <c:symbol val="none"/>
          </c:marker>
          <c:cat>
            <c:numRef>
              <c:f>'ΣΤΟΙΧΕΙΑ ΓΙΑ ΠΡΟΥΠ 2018'!$A$3:$A$1549</c:f>
              <c:numCache>
                <c:formatCode>d/m/yyyy</c:formatCode>
                <c:ptCount val="270"/>
                <c:pt idx="0">
                  <c:v>43010</c:v>
                </c:pt>
                <c:pt idx="1">
                  <c:v>43011</c:v>
                </c:pt>
                <c:pt idx="2">
                  <c:v>43012</c:v>
                </c:pt>
                <c:pt idx="3">
                  <c:v>43013</c:v>
                </c:pt>
                <c:pt idx="4">
                  <c:v>43014</c:v>
                </c:pt>
                <c:pt idx="5">
                  <c:v>43017</c:v>
                </c:pt>
                <c:pt idx="6">
                  <c:v>43018</c:v>
                </c:pt>
                <c:pt idx="7">
                  <c:v>43019</c:v>
                </c:pt>
                <c:pt idx="8">
                  <c:v>43020</c:v>
                </c:pt>
                <c:pt idx="9">
                  <c:v>43021</c:v>
                </c:pt>
                <c:pt idx="10">
                  <c:v>43024</c:v>
                </c:pt>
                <c:pt idx="11">
                  <c:v>43025</c:v>
                </c:pt>
                <c:pt idx="12">
                  <c:v>43026</c:v>
                </c:pt>
                <c:pt idx="13">
                  <c:v>43027</c:v>
                </c:pt>
                <c:pt idx="14">
                  <c:v>43028</c:v>
                </c:pt>
                <c:pt idx="15">
                  <c:v>43031</c:v>
                </c:pt>
                <c:pt idx="16">
                  <c:v>43032</c:v>
                </c:pt>
                <c:pt idx="17">
                  <c:v>43033</c:v>
                </c:pt>
                <c:pt idx="18">
                  <c:v>43034</c:v>
                </c:pt>
                <c:pt idx="19">
                  <c:v>43035</c:v>
                </c:pt>
                <c:pt idx="20">
                  <c:v>43038</c:v>
                </c:pt>
                <c:pt idx="21">
                  <c:v>43039</c:v>
                </c:pt>
                <c:pt idx="22">
                  <c:v>43040</c:v>
                </c:pt>
                <c:pt idx="23">
                  <c:v>43041</c:v>
                </c:pt>
                <c:pt idx="24">
                  <c:v>43042</c:v>
                </c:pt>
                <c:pt idx="25">
                  <c:v>43045</c:v>
                </c:pt>
                <c:pt idx="26">
                  <c:v>43046</c:v>
                </c:pt>
                <c:pt idx="27">
                  <c:v>43047</c:v>
                </c:pt>
                <c:pt idx="28">
                  <c:v>43048</c:v>
                </c:pt>
                <c:pt idx="29">
                  <c:v>43049</c:v>
                </c:pt>
                <c:pt idx="30">
                  <c:v>43052</c:v>
                </c:pt>
                <c:pt idx="31">
                  <c:v>43053</c:v>
                </c:pt>
                <c:pt idx="32">
                  <c:v>43054</c:v>
                </c:pt>
                <c:pt idx="33">
                  <c:v>43055</c:v>
                </c:pt>
                <c:pt idx="34">
                  <c:v>43056</c:v>
                </c:pt>
                <c:pt idx="35">
                  <c:v>43059</c:v>
                </c:pt>
                <c:pt idx="36">
                  <c:v>43060</c:v>
                </c:pt>
                <c:pt idx="37">
                  <c:v>43061</c:v>
                </c:pt>
                <c:pt idx="38">
                  <c:v>43062</c:v>
                </c:pt>
                <c:pt idx="39">
                  <c:v>43063</c:v>
                </c:pt>
                <c:pt idx="40">
                  <c:v>43066</c:v>
                </c:pt>
                <c:pt idx="41">
                  <c:v>43067</c:v>
                </c:pt>
                <c:pt idx="42">
                  <c:v>43068</c:v>
                </c:pt>
                <c:pt idx="43">
                  <c:v>43069</c:v>
                </c:pt>
                <c:pt idx="44">
                  <c:v>43070</c:v>
                </c:pt>
                <c:pt idx="45">
                  <c:v>43073</c:v>
                </c:pt>
                <c:pt idx="46">
                  <c:v>43074</c:v>
                </c:pt>
                <c:pt idx="47">
                  <c:v>43075</c:v>
                </c:pt>
                <c:pt idx="48">
                  <c:v>43076</c:v>
                </c:pt>
                <c:pt idx="49">
                  <c:v>43077</c:v>
                </c:pt>
                <c:pt idx="50">
                  <c:v>43080</c:v>
                </c:pt>
                <c:pt idx="51">
                  <c:v>43081</c:v>
                </c:pt>
                <c:pt idx="52">
                  <c:v>43082</c:v>
                </c:pt>
                <c:pt idx="53">
                  <c:v>43083</c:v>
                </c:pt>
                <c:pt idx="54">
                  <c:v>43084</c:v>
                </c:pt>
                <c:pt idx="55">
                  <c:v>43087</c:v>
                </c:pt>
                <c:pt idx="56">
                  <c:v>43088</c:v>
                </c:pt>
                <c:pt idx="57">
                  <c:v>43089</c:v>
                </c:pt>
                <c:pt idx="58">
                  <c:v>43090</c:v>
                </c:pt>
                <c:pt idx="59">
                  <c:v>43091</c:v>
                </c:pt>
                <c:pt idx="60">
                  <c:v>43096</c:v>
                </c:pt>
                <c:pt idx="61">
                  <c:v>43097</c:v>
                </c:pt>
                <c:pt idx="62">
                  <c:v>43098</c:v>
                </c:pt>
                <c:pt idx="63">
                  <c:v>43102</c:v>
                </c:pt>
                <c:pt idx="64">
                  <c:v>43103</c:v>
                </c:pt>
                <c:pt idx="65">
                  <c:v>43104</c:v>
                </c:pt>
                <c:pt idx="66">
                  <c:v>43105</c:v>
                </c:pt>
                <c:pt idx="67">
                  <c:v>43108</c:v>
                </c:pt>
                <c:pt idx="68">
                  <c:v>43109</c:v>
                </c:pt>
                <c:pt idx="69">
                  <c:v>43110</c:v>
                </c:pt>
                <c:pt idx="70">
                  <c:v>43111</c:v>
                </c:pt>
                <c:pt idx="71">
                  <c:v>43112</c:v>
                </c:pt>
                <c:pt idx="72">
                  <c:v>43115</c:v>
                </c:pt>
                <c:pt idx="73">
                  <c:v>43116</c:v>
                </c:pt>
                <c:pt idx="74">
                  <c:v>43117</c:v>
                </c:pt>
                <c:pt idx="75">
                  <c:v>43118</c:v>
                </c:pt>
                <c:pt idx="76">
                  <c:v>43119</c:v>
                </c:pt>
                <c:pt idx="77">
                  <c:v>43122</c:v>
                </c:pt>
                <c:pt idx="78">
                  <c:v>43123</c:v>
                </c:pt>
                <c:pt idx="79">
                  <c:v>43124</c:v>
                </c:pt>
                <c:pt idx="80">
                  <c:v>43125</c:v>
                </c:pt>
                <c:pt idx="81">
                  <c:v>43126</c:v>
                </c:pt>
                <c:pt idx="82">
                  <c:v>43129</c:v>
                </c:pt>
                <c:pt idx="83">
                  <c:v>43130</c:v>
                </c:pt>
                <c:pt idx="84">
                  <c:v>43131</c:v>
                </c:pt>
                <c:pt idx="85">
                  <c:v>43132</c:v>
                </c:pt>
                <c:pt idx="86">
                  <c:v>43133</c:v>
                </c:pt>
                <c:pt idx="87">
                  <c:v>43136</c:v>
                </c:pt>
                <c:pt idx="88">
                  <c:v>43137</c:v>
                </c:pt>
                <c:pt idx="89">
                  <c:v>43138</c:v>
                </c:pt>
                <c:pt idx="90">
                  <c:v>43139</c:v>
                </c:pt>
                <c:pt idx="91">
                  <c:v>43140</c:v>
                </c:pt>
                <c:pt idx="92">
                  <c:v>43143</c:v>
                </c:pt>
                <c:pt idx="93">
                  <c:v>43144</c:v>
                </c:pt>
                <c:pt idx="94">
                  <c:v>43145</c:v>
                </c:pt>
                <c:pt idx="95">
                  <c:v>43146</c:v>
                </c:pt>
                <c:pt idx="96">
                  <c:v>43147</c:v>
                </c:pt>
                <c:pt idx="97">
                  <c:v>43150</c:v>
                </c:pt>
                <c:pt idx="98">
                  <c:v>43151</c:v>
                </c:pt>
                <c:pt idx="99">
                  <c:v>43152</c:v>
                </c:pt>
                <c:pt idx="100">
                  <c:v>43153</c:v>
                </c:pt>
                <c:pt idx="101">
                  <c:v>43154</c:v>
                </c:pt>
                <c:pt idx="102">
                  <c:v>43157</c:v>
                </c:pt>
                <c:pt idx="103">
                  <c:v>43158</c:v>
                </c:pt>
                <c:pt idx="104">
                  <c:v>43159</c:v>
                </c:pt>
                <c:pt idx="105">
                  <c:v>43160</c:v>
                </c:pt>
                <c:pt idx="106">
                  <c:v>43161</c:v>
                </c:pt>
                <c:pt idx="107">
                  <c:v>43164</c:v>
                </c:pt>
                <c:pt idx="108">
                  <c:v>43165</c:v>
                </c:pt>
                <c:pt idx="109">
                  <c:v>43166</c:v>
                </c:pt>
                <c:pt idx="110">
                  <c:v>43167</c:v>
                </c:pt>
                <c:pt idx="111">
                  <c:v>43168</c:v>
                </c:pt>
                <c:pt idx="112">
                  <c:v>43171</c:v>
                </c:pt>
                <c:pt idx="113">
                  <c:v>43172</c:v>
                </c:pt>
                <c:pt idx="114">
                  <c:v>43173</c:v>
                </c:pt>
                <c:pt idx="115">
                  <c:v>43174</c:v>
                </c:pt>
                <c:pt idx="116">
                  <c:v>43175</c:v>
                </c:pt>
                <c:pt idx="117">
                  <c:v>43178</c:v>
                </c:pt>
                <c:pt idx="118">
                  <c:v>43179</c:v>
                </c:pt>
                <c:pt idx="119">
                  <c:v>43180</c:v>
                </c:pt>
                <c:pt idx="120">
                  <c:v>43181</c:v>
                </c:pt>
                <c:pt idx="121">
                  <c:v>43182</c:v>
                </c:pt>
                <c:pt idx="122">
                  <c:v>43185</c:v>
                </c:pt>
                <c:pt idx="123">
                  <c:v>43186</c:v>
                </c:pt>
                <c:pt idx="124">
                  <c:v>43187</c:v>
                </c:pt>
                <c:pt idx="125">
                  <c:v>43188</c:v>
                </c:pt>
                <c:pt idx="126">
                  <c:v>43193</c:v>
                </c:pt>
                <c:pt idx="127">
                  <c:v>43194</c:v>
                </c:pt>
                <c:pt idx="128">
                  <c:v>43195</c:v>
                </c:pt>
                <c:pt idx="129">
                  <c:v>43196</c:v>
                </c:pt>
                <c:pt idx="130">
                  <c:v>43199</c:v>
                </c:pt>
                <c:pt idx="131">
                  <c:v>43200</c:v>
                </c:pt>
                <c:pt idx="132">
                  <c:v>43201</c:v>
                </c:pt>
                <c:pt idx="133">
                  <c:v>43202</c:v>
                </c:pt>
                <c:pt idx="134">
                  <c:v>43203</c:v>
                </c:pt>
                <c:pt idx="135">
                  <c:v>43206</c:v>
                </c:pt>
                <c:pt idx="136">
                  <c:v>43207</c:v>
                </c:pt>
                <c:pt idx="137">
                  <c:v>43208</c:v>
                </c:pt>
                <c:pt idx="138">
                  <c:v>43209</c:v>
                </c:pt>
                <c:pt idx="139">
                  <c:v>43210</c:v>
                </c:pt>
                <c:pt idx="140">
                  <c:v>43213</c:v>
                </c:pt>
                <c:pt idx="141">
                  <c:v>43214</c:v>
                </c:pt>
                <c:pt idx="142">
                  <c:v>43215</c:v>
                </c:pt>
                <c:pt idx="143">
                  <c:v>43216</c:v>
                </c:pt>
                <c:pt idx="144">
                  <c:v>43217</c:v>
                </c:pt>
                <c:pt idx="145">
                  <c:v>43220</c:v>
                </c:pt>
                <c:pt idx="146">
                  <c:v>43222</c:v>
                </c:pt>
                <c:pt idx="147">
                  <c:v>43223</c:v>
                </c:pt>
                <c:pt idx="148">
                  <c:v>43224</c:v>
                </c:pt>
                <c:pt idx="149">
                  <c:v>43227</c:v>
                </c:pt>
                <c:pt idx="150">
                  <c:v>43228</c:v>
                </c:pt>
                <c:pt idx="151">
                  <c:v>43229</c:v>
                </c:pt>
                <c:pt idx="152">
                  <c:v>43230</c:v>
                </c:pt>
                <c:pt idx="153">
                  <c:v>43231</c:v>
                </c:pt>
                <c:pt idx="154">
                  <c:v>43234</c:v>
                </c:pt>
                <c:pt idx="155">
                  <c:v>43235</c:v>
                </c:pt>
                <c:pt idx="156">
                  <c:v>43236</c:v>
                </c:pt>
                <c:pt idx="157">
                  <c:v>43237</c:v>
                </c:pt>
                <c:pt idx="158">
                  <c:v>43238</c:v>
                </c:pt>
                <c:pt idx="159">
                  <c:v>43241</c:v>
                </c:pt>
                <c:pt idx="160">
                  <c:v>43242</c:v>
                </c:pt>
                <c:pt idx="161">
                  <c:v>43243</c:v>
                </c:pt>
                <c:pt idx="162">
                  <c:v>43244</c:v>
                </c:pt>
                <c:pt idx="163">
                  <c:v>43245</c:v>
                </c:pt>
                <c:pt idx="164">
                  <c:v>43248</c:v>
                </c:pt>
                <c:pt idx="165">
                  <c:v>43249</c:v>
                </c:pt>
                <c:pt idx="166">
                  <c:v>43250</c:v>
                </c:pt>
                <c:pt idx="167">
                  <c:v>43251</c:v>
                </c:pt>
                <c:pt idx="168">
                  <c:v>43252</c:v>
                </c:pt>
                <c:pt idx="169">
                  <c:v>43255</c:v>
                </c:pt>
                <c:pt idx="170">
                  <c:v>43256</c:v>
                </c:pt>
                <c:pt idx="171">
                  <c:v>43257</c:v>
                </c:pt>
                <c:pt idx="172">
                  <c:v>43258</c:v>
                </c:pt>
                <c:pt idx="173">
                  <c:v>43259</c:v>
                </c:pt>
                <c:pt idx="174">
                  <c:v>43262</c:v>
                </c:pt>
                <c:pt idx="175">
                  <c:v>43263</c:v>
                </c:pt>
                <c:pt idx="176">
                  <c:v>43264</c:v>
                </c:pt>
                <c:pt idx="177">
                  <c:v>43265</c:v>
                </c:pt>
                <c:pt idx="178">
                  <c:v>43266</c:v>
                </c:pt>
                <c:pt idx="179">
                  <c:v>43269</c:v>
                </c:pt>
                <c:pt idx="180">
                  <c:v>43270</c:v>
                </c:pt>
                <c:pt idx="181">
                  <c:v>43271</c:v>
                </c:pt>
                <c:pt idx="182">
                  <c:v>43272</c:v>
                </c:pt>
                <c:pt idx="183">
                  <c:v>43273</c:v>
                </c:pt>
                <c:pt idx="184">
                  <c:v>43276</c:v>
                </c:pt>
                <c:pt idx="185">
                  <c:v>43277</c:v>
                </c:pt>
                <c:pt idx="186">
                  <c:v>43278</c:v>
                </c:pt>
                <c:pt idx="187">
                  <c:v>43279</c:v>
                </c:pt>
                <c:pt idx="188">
                  <c:v>43280</c:v>
                </c:pt>
                <c:pt idx="189">
                  <c:v>43283</c:v>
                </c:pt>
                <c:pt idx="190">
                  <c:v>43284</c:v>
                </c:pt>
                <c:pt idx="191">
                  <c:v>43285</c:v>
                </c:pt>
                <c:pt idx="192">
                  <c:v>43286</c:v>
                </c:pt>
                <c:pt idx="193">
                  <c:v>43287</c:v>
                </c:pt>
                <c:pt idx="194">
                  <c:v>43290</c:v>
                </c:pt>
                <c:pt idx="195">
                  <c:v>43291</c:v>
                </c:pt>
                <c:pt idx="196">
                  <c:v>43292</c:v>
                </c:pt>
                <c:pt idx="197">
                  <c:v>43293</c:v>
                </c:pt>
                <c:pt idx="198">
                  <c:v>43294</c:v>
                </c:pt>
                <c:pt idx="199">
                  <c:v>43297</c:v>
                </c:pt>
                <c:pt idx="200">
                  <c:v>43298</c:v>
                </c:pt>
                <c:pt idx="201">
                  <c:v>43299</c:v>
                </c:pt>
                <c:pt idx="202">
                  <c:v>43300</c:v>
                </c:pt>
                <c:pt idx="203">
                  <c:v>43301</c:v>
                </c:pt>
                <c:pt idx="204">
                  <c:v>43304</c:v>
                </c:pt>
                <c:pt idx="205">
                  <c:v>43305</c:v>
                </c:pt>
                <c:pt idx="206">
                  <c:v>43306</c:v>
                </c:pt>
                <c:pt idx="207">
                  <c:v>43307</c:v>
                </c:pt>
                <c:pt idx="208">
                  <c:v>43308</c:v>
                </c:pt>
                <c:pt idx="209">
                  <c:v>43311</c:v>
                </c:pt>
                <c:pt idx="210">
                  <c:v>43312</c:v>
                </c:pt>
                <c:pt idx="211">
                  <c:v>43313</c:v>
                </c:pt>
                <c:pt idx="212">
                  <c:v>43314</c:v>
                </c:pt>
                <c:pt idx="213">
                  <c:v>43315</c:v>
                </c:pt>
                <c:pt idx="214">
                  <c:v>43318</c:v>
                </c:pt>
                <c:pt idx="215">
                  <c:v>43319</c:v>
                </c:pt>
                <c:pt idx="216">
                  <c:v>43320</c:v>
                </c:pt>
                <c:pt idx="217">
                  <c:v>43321</c:v>
                </c:pt>
                <c:pt idx="218">
                  <c:v>43322</c:v>
                </c:pt>
                <c:pt idx="219">
                  <c:v>43325</c:v>
                </c:pt>
                <c:pt idx="220">
                  <c:v>43326</c:v>
                </c:pt>
                <c:pt idx="221">
                  <c:v>43327</c:v>
                </c:pt>
                <c:pt idx="222">
                  <c:v>43328</c:v>
                </c:pt>
                <c:pt idx="223">
                  <c:v>43329</c:v>
                </c:pt>
                <c:pt idx="224">
                  <c:v>43332</c:v>
                </c:pt>
                <c:pt idx="225">
                  <c:v>43333</c:v>
                </c:pt>
                <c:pt idx="226">
                  <c:v>43334</c:v>
                </c:pt>
                <c:pt idx="227">
                  <c:v>43335</c:v>
                </c:pt>
                <c:pt idx="228">
                  <c:v>43336</c:v>
                </c:pt>
                <c:pt idx="229">
                  <c:v>43339</c:v>
                </c:pt>
                <c:pt idx="230">
                  <c:v>43340</c:v>
                </c:pt>
                <c:pt idx="231">
                  <c:v>43341</c:v>
                </c:pt>
                <c:pt idx="232">
                  <c:v>43342</c:v>
                </c:pt>
                <c:pt idx="233">
                  <c:v>43343</c:v>
                </c:pt>
                <c:pt idx="234">
                  <c:v>43346</c:v>
                </c:pt>
                <c:pt idx="235">
                  <c:v>43347</c:v>
                </c:pt>
                <c:pt idx="236">
                  <c:v>43348</c:v>
                </c:pt>
                <c:pt idx="237">
                  <c:v>43349</c:v>
                </c:pt>
                <c:pt idx="238">
                  <c:v>43350</c:v>
                </c:pt>
                <c:pt idx="239">
                  <c:v>43353</c:v>
                </c:pt>
                <c:pt idx="240">
                  <c:v>43354</c:v>
                </c:pt>
                <c:pt idx="241">
                  <c:v>43355</c:v>
                </c:pt>
                <c:pt idx="242">
                  <c:v>43356</c:v>
                </c:pt>
                <c:pt idx="243">
                  <c:v>43357</c:v>
                </c:pt>
                <c:pt idx="244">
                  <c:v>43360</c:v>
                </c:pt>
                <c:pt idx="245">
                  <c:v>43361</c:v>
                </c:pt>
                <c:pt idx="246">
                  <c:v>43362</c:v>
                </c:pt>
                <c:pt idx="247">
                  <c:v>43363</c:v>
                </c:pt>
                <c:pt idx="248">
                  <c:v>43364</c:v>
                </c:pt>
                <c:pt idx="249">
                  <c:v>43367</c:v>
                </c:pt>
                <c:pt idx="250">
                  <c:v>43368</c:v>
                </c:pt>
                <c:pt idx="251">
                  <c:v>43369</c:v>
                </c:pt>
                <c:pt idx="252">
                  <c:v>43370</c:v>
                </c:pt>
                <c:pt idx="253">
                  <c:v>43371</c:v>
                </c:pt>
                <c:pt idx="254">
                  <c:v>43374</c:v>
                </c:pt>
                <c:pt idx="255">
                  <c:v>43375</c:v>
                </c:pt>
                <c:pt idx="256">
                  <c:v>43376</c:v>
                </c:pt>
                <c:pt idx="257">
                  <c:v>43377</c:v>
                </c:pt>
                <c:pt idx="258">
                  <c:v>43378</c:v>
                </c:pt>
                <c:pt idx="259">
                  <c:v>43381</c:v>
                </c:pt>
                <c:pt idx="260">
                  <c:v>43382</c:v>
                </c:pt>
                <c:pt idx="261">
                  <c:v>43383</c:v>
                </c:pt>
                <c:pt idx="262">
                  <c:v>43384</c:v>
                </c:pt>
                <c:pt idx="263">
                  <c:v>43385</c:v>
                </c:pt>
                <c:pt idx="264">
                  <c:v>43388</c:v>
                </c:pt>
                <c:pt idx="265">
                  <c:v>43389</c:v>
                </c:pt>
                <c:pt idx="266">
                  <c:v>43390</c:v>
                </c:pt>
                <c:pt idx="267">
                  <c:v>43391</c:v>
                </c:pt>
                <c:pt idx="268">
                  <c:v>43392</c:v>
                </c:pt>
                <c:pt idx="269">
                  <c:v>43395</c:v>
                </c:pt>
              </c:numCache>
            </c:numRef>
          </c:cat>
          <c:val>
            <c:numRef>
              <c:f>'ΣΤΟΙΧΕΙΑ ΓΙΑ ΠΡΟΥΠ 2018'!$H$3:$H$1549</c:f>
              <c:numCache>
                <c:formatCode>General</c:formatCode>
                <c:ptCount val="270"/>
                <c:pt idx="0">
                  <c:v>1.6940000000000066</c:v>
                </c:pt>
                <c:pt idx="1">
                  <c:v>1.7229999999999916</c:v>
                </c:pt>
                <c:pt idx="2">
                  <c:v>1.784</c:v>
                </c:pt>
                <c:pt idx="3">
                  <c:v>1.6990000000000001</c:v>
                </c:pt>
                <c:pt idx="4">
                  <c:v>1.7089999999999916</c:v>
                </c:pt>
                <c:pt idx="5">
                  <c:v>1.677</c:v>
                </c:pt>
                <c:pt idx="6">
                  <c:v>1.6950000000000001</c:v>
                </c:pt>
                <c:pt idx="7">
                  <c:v>1.6379999999999926</c:v>
                </c:pt>
                <c:pt idx="8">
                  <c:v>1.637</c:v>
                </c:pt>
                <c:pt idx="9">
                  <c:v>1.611</c:v>
                </c:pt>
                <c:pt idx="10">
                  <c:v>1.5820000000000001</c:v>
                </c:pt>
                <c:pt idx="11">
                  <c:v>1.5469999999999933</c:v>
                </c:pt>
                <c:pt idx="12">
                  <c:v>1.619</c:v>
                </c:pt>
                <c:pt idx="13">
                  <c:v>1.635</c:v>
                </c:pt>
                <c:pt idx="14">
                  <c:v>1.653</c:v>
                </c:pt>
                <c:pt idx="15">
                  <c:v>1.627</c:v>
                </c:pt>
                <c:pt idx="16">
                  <c:v>1.657</c:v>
                </c:pt>
                <c:pt idx="17">
                  <c:v>1.6459999999999926</c:v>
                </c:pt>
                <c:pt idx="18">
                  <c:v>1.5369999999999926</c:v>
                </c:pt>
                <c:pt idx="19">
                  <c:v>1.5860000000000001</c:v>
                </c:pt>
                <c:pt idx="20">
                  <c:v>1.4949999999999928</c:v>
                </c:pt>
                <c:pt idx="21">
                  <c:v>1.4609999999999916</c:v>
                </c:pt>
                <c:pt idx="22">
                  <c:v>1.4749999999999917</c:v>
                </c:pt>
                <c:pt idx="23">
                  <c:v>1.4829999999999917</c:v>
                </c:pt>
                <c:pt idx="24">
                  <c:v>1.474</c:v>
                </c:pt>
                <c:pt idx="25">
                  <c:v>1.468</c:v>
                </c:pt>
                <c:pt idx="26">
                  <c:v>1.4079999999999853</c:v>
                </c:pt>
                <c:pt idx="27">
                  <c:v>1.4849999999999917</c:v>
                </c:pt>
                <c:pt idx="28">
                  <c:v>1.5329999999999926</c:v>
                </c:pt>
                <c:pt idx="29">
                  <c:v>1.5760000000000001</c:v>
                </c:pt>
                <c:pt idx="30">
                  <c:v>1.532</c:v>
                </c:pt>
                <c:pt idx="31">
                  <c:v>1.534</c:v>
                </c:pt>
                <c:pt idx="32">
                  <c:v>1.55</c:v>
                </c:pt>
                <c:pt idx="33">
                  <c:v>1.542</c:v>
                </c:pt>
                <c:pt idx="34">
                  <c:v>1.5549999999999933</c:v>
                </c:pt>
                <c:pt idx="35">
                  <c:v>1.5149999999999926</c:v>
                </c:pt>
                <c:pt idx="36">
                  <c:v>1.478</c:v>
                </c:pt>
                <c:pt idx="37">
                  <c:v>1.452</c:v>
                </c:pt>
                <c:pt idx="38">
                  <c:v>1.4629999999999916</c:v>
                </c:pt>
                <c:pt idx="39">
                  <c:v>1.486</c:v>
                </c:pt>
                <c:pt idx="40">
                  <c:v>1.4729999999999916</c:v>
                </c:pt>
                <c:pt idx="41">
                  <c:v>1.46</c:v>
                </c:pt>
                <c:pt idx="42">
                  <c:v>1.4849999999999917</c:v>
                </c:pt>
                <c:pt idx="43">
                  <c:v>1.446</c:v>
                </c:pt>
                <c:pt idx="44">
                  <c:v>1.4169999999999905</c:v>
                </c:pt>
                <c:pt idx="45">
                  <c:v>1.4139999999999862</c:v>
                </c:pt>
                <c:pt idx="46">
                  <c:v>1.4129999999999905</c:v>
                </c:pt>
                <c:pt idx="47">
                  <c:v>1.4339999999999866</c:v>
                </c:pt>
                <c:pt idx="48">
                  <c:v>1.41</c:v>
                </c:pt>
                <c:pt idx="49">
                  <c:v>1.4009999999999903</c:v>
                </c:pt>
                <c:pt idx="50">
                  <c:v>1.4129999999999905</c:v>
                </c:pt>
                <c:pt idx="51">
                  <c:v>1.462</c:v>
                </c:pt>
                <c:pt idx="52">
                  <c:v>1.4969999999999928</c:v>
                </c:pt>
                <c:pt idx="53">
                  <c:v>1.4469999999999916</c:v>
                </c:pt>
                <c:pt idx="54">
                  <c:v>1.4589999999999916</c:v>
                </c:pt>
                <c:pt idx="55">
                  <c:v>1.4359999999999866</c:v>
                </c:pt>
                <c:pt idx="56">
                  <c:v>1.4849999999999917</c:v>
                </c:pt>
                <c:pt idx="57">
                  <c:v>1.476</c:v>
                </c:pt>
                <c:pt idx="58">
                  <c:v>1.4669999999999916</c:v>
                </c:pt>
                <c:pt idx="59">
                  <c:v>1.472</c:v>
                </c:pt>
                <c:pt idx="60">
                  <c:v>1.47</c:v>
                </c:pt>
                <c:pt idx="61">
                  <c:v>1.52</c:v>
                </c:pt>
                <c:pt idx="62">
                  <c:v>1.5669999999999933</c:v>
                </c:pt>
                <c:pt idx="63">
                  <c:v>1.6140000000000001</c:v>
                </c:pt>
                <c:pt idx="64">
                  <c:v>1.5980000000000001</c:v>
                </c:pt>
                <c:pt idx="65">
                  <c:v>1.5429999999999933</c:v>
                </c:pt>
                <c:pt idx="66">
                  <c:v>1.522</c:v>
                </c:pt>
                <c:pt idx="67">
                  <c:v>1.482</c:v>
                </c:pt>
                <c:pt idx="68">
                  <c:v>1.5149999999999926</c:v>
                </c:pt>
                <c:pt idx="69">
                  <c:v>1.5509999999999933</c:v>
                </c:pt>
                <c:pt idx="70">
                  <c:v>1.538</c:v>
                </c:pt>
                <c:pt idx="71">
                  <c:v>1.5009999999999926</c:v>
                </c:pt>
                <c:pt idx="72">
                  <c:v>1.5309999999999926</c:v>
                </c:pt>
                <c:pt idx="73">
                  <c:v>1.502</c:v>
                </c:pt>
                <c:pt idx="74">
                  <c:v>1.502</c:v>
                </c:pt>
                <c:pt idx="75">
                  <c:v>1.4929999999999928</c:v>
                </c:pt>
                <c:pt idx="76">
                  <c:v>1.4429999999999916</c:v>
                </c:pt>
                <c:pt idx="77">
                  <c:v>1.393</c:v>
                </c:pt>
                <c:pt idx="78">
                  <c:v>1.3580000000000001</c:v>
                </c:pt>
                <c:pt idx="79">
                  <c:v>1.3580000000000001</c:v>
                </c:pt>
                <c:pt idx="80">
                  <c:v>1.41</c:v>
                </c:pt>
                <c:pt idx="81">
                  <c:v>1.4089999999999903</c:v>
                </c:pt>
                <c:pt idx="82">
                  <c:v>1.4189999999999905</c:v>
                </c:pt>
                <c:pt idx="83">
                  <c:v>1.4089999999999903</c:v>
                </c:pt>
                <c:pt idx="84">
                  <c:v>1.4269999999999905</c:v>
                </c:pt>
                <c:pt idx="85">
                  <c:v>1.4089999999999903</c:v>
                </c:pt>
                <c:pt idx="86">
                  <c:v>1.472</c:v>
                </c:pt>
                <c:pt idx="87">
                  <c:v>1.4589999999999916</c:v>
                </c:pt>
                <c:pt idx="88">
                  <c:v>1.4259999999999866</c:v>
                </c:pt>
                <c:pt idx="89">
                  <c:v>1.4149999999999905</c:v>
                </c:pt>
                <c:pt idx="90">
                  <c:v>1.45</c:v>
                </c:pt>
                <c:pt idx="91">
                  <c:v>1.48</c:v>
                </c:pt>
                <c:pt idx="92">
                  <c:v>1.4809999999999917</c:v>
                </c:pt>
                <c:pt idx="93">
                  <c:v>1.524</c:v>
                </c:pt>
                <c:pt idx="94">
                  <c:v>1.514</c:v>
                </c:pt>
                <c:pt idx="95">
                  <c:v>1.5069999999999926</c:v>
                </c:pt>
                <c:pt idx="96">
                  <c:v>1.4609999999999916</c:v>
                </c:pt>
                <c:pt idx="97">
                  <c:v>1.5109999999999926</c:v>
                </c:pt>
                <c:pt idx="98">
                  <c:v>1.5309999999999926</c:v>
                </c:pt>
                <c:pt idx="99">
                  <c:v>1.5129999999999926</c:v>
                </c:pt>
                <c:pt idx="100">
                  <c:v>1.518</c:v>
                </c:pt>
                <c:pt idx="101">
                  <c:v>1.597</c:v>
                </c:pt>
                <c:pt idx="102">
                  <c:v>1.556</c:v>
                </c:pt>
                <c:pt idx="103">
                  <c:v>1.5649999999999933</c:v>
                </c:pt>
                <c:pt idx="104">
                  <c:v>1.5389999999999928</c:v>
                </c:pt>
                <c:pt idx="105">
                  <c:v>1.5069999999999926</c:v>
                </c:pt>
                <c:pt idx="106">
                  <c:v>1.55</c:v>
                </c:pt>
                <c:pt idx="107">
                  <c:v>1.498</c:v>
                </c:pt>
                <c:pt idx="108">
                  <c:v>1.4909999999999926</c:v>
                </c:pt>
                <c:pt idx="109">
                  <c:v>1.45</c:v>
                </c:pt>
                <c:pt idx="110">
                  <c:v>1.4079999999999853</c:v>
                </c:pt>
                <c:pt idx="111">
                  <c:v>1.4359999999999866</c:v>
                </c:pt>
                <c:pt idx="112">
                  <c:v>1.4049999999999903</c:v>
                </c:pt>
                <c:pt idx="113">
                  <c:v>1.397</c:v>
                </c:pt>
                <c:pt idx="114">
                  <c:v>1.399</c:v>
                </c:pt>
                <c:pt idx="115">
                  <c:v>1.3819999999999926</c:v>
                </c:pt>
                <c:pt idx="116">
                  <c:v>1.375</c:v>
                </c:pt>
                <c:pt idx="117">
                  <c:v>1.341</c:v>
                </c:pt>
                <c:pt idx="118">
                  <c:v>1.3080000000000001</c:v>
                </c:pt>
                <c:pt idx="119">
                  <c:v>1.335</c:v>
                </c:pt>
                <c:pt idx="120">
                  <c:v>1.292</c:v>
                </c:pt>
                <c:pt idx="121">
                  <c:v>1.2689999999999926</c:v>
                </c:pt>
                <c:pt idx="122">
                  <c:v>1.2609999999999926</c:v>
                </c:pt>
                <c:pt idx="123">
                  <c:v>1.2369999999999917</c:v>
                </c:pt>
                <c:pt idx="124">
                  <c:v>1.2129999999999916</c:v>
                </c:pt>
                <c:pt idx="125">
                  <c:v>1.1639999999999928</c:v>
                </c:pt>
                <c:pt idx="126">
                  <c:v>1.1900000000000066</c:v>
                </c:pt>
                <c:pt idx="127">
                  <c:v>1.165999999999993</c:v>
                </c:pt>
                <c:pt idx="128">
                  <c:v>1.234</c:v>
                </c:pt>
                <c:pt idx="129">
                  <c:v>1.232</c:v>
                </c:pt>
                <c:pt idx="130">
                  <c:v>1.238</c:v>
                </c:pt>
                <c:pt idx="131">
                  <c:v>1.262</c:v>
                </c:pt>
                <c:pt idx="132">
                  <c:v>1.272</c:v>
                </c:pt>
                <c:pt idx="133">
                  <c:v>1.254</c:v>
                </c:pt>
                <c:pt idx="134">
                  <c:v>1.238</c:v>
                </c:pt>
                <c:pt idx="135">
                  <c:v>1.244</c:v>
                </c:pt>
                <c:pt idx="136">
                  <c:v>1.2209999999999916</c:v>
                </c:pt>
                <c:pt idx="137">
                  <c:v>1.2169999999999916</c:v>
                </c:pt>
                <c:pt idx="138">
                  <c:v>1.284</c:v>
                </c:pt>
                <c:pt idx="139">
                  <c:v>1.282</c:v>
                </c:pt>
                <c:pt idx="140">
                  <c:v>1.3129999999999933</c:v>
                </c:pt>
                <c:pt idx="141">
                  <c:v>1.2989999999999933</c:v>
                </c:pt>
                <c:pt idx="142">
                  <c:v>1.302</c:v>
                </c:pt>
                <c:pt idx="143">
                  <c:v>1.27</c:v>
                </c:pt>
                <c:pt idx="144">
                  <c:v>1.262</c:v>
                </c:pt>
                <c:pt idx="145">
                  <c:v>1.28</c:v>
                </c:pt>
                <c:pt idx="146">
                  <c:v>1.3109999999999933</c:v>
                </c:pt>
                <c:pt idx="147">
                  <c:v>1.254</c:v>
                </c:pt>
                <c:pt idx="148">
                  <c:v>1.2989999999999933</c:v>
                </c:pt>
                <c:pt idx="149">
                  <c:v>1.276</c:v>
                </c:pt>
                <c:pt idx="150">
                  <c:v>1.32</c:v>
                </c:pt>
                <c:pt idx="151">
                  <c:v>1.304</c:v>
                </c:pt>
                <c:pt idx="152">
                  <c:v>1.3129999999999933</c:v>
                </c:pt>
                <c:pt idx="153">
                  <c:v>1.2729999999999926</c:v>
                </c:pt>
                <c:pt idx="154">
                  <c:v>1.3320000000000001</c:v>
                </c:pt>
                <c:pt idx="155">
                  <c:v>1.359</c:v>
                </c:pt>
                <c:pt idx="156">
                  <c:v>1.4119999999999859</c:v>
                </c:pt>
                <c:pt idx="157">
                  <c:v>1.4079999999999853</c:v>
                </c:pt>
                <c:pt idx="158">
                  <c:v>1.4429999999999916</c:v>
                </c:pt>
                <c:pt idx="159">
                  <c:v>1.508</c:v>
                </c:pt>
                <c:pt idx="160">
                  <c:v>1.4569999999999916</c:v>
                </c:pt>
                <c:pt idx="161">
                  <c:v>1.444</c:v>
                </c:pt>
                <c:pt idx="162">
                  <c:v>1.3919999999999926</c:v>
                </c:pt>
                <c:pt idx="163">
                  <c:v>1.466</c:v>
                </c:pt>
                <c:pt idx="164">
                  <c:v>1.5249999999999926</c:v>
                </c:pt>
                <c:pt idx="165">
                  <c:v>1.621</c:v>
                </c:pt>
                <c:pt idx="166">
                  <c:v>1.5329999999999926</c:v>
                </c:pt>
                <c:pt idx="167">
                  <c:v>1.5029999999999926</c:v>
                </c:pt>
                <c:pt idx="168">
                  <c:v>1.4409999999999912</c:v>
                </c:pt>
                <c:pt idx="169">
                  <c:v>1.33</c:v>
                </c:pt>
                <c:pt idx="170">
                  <c:v>1.3959999999999926</c:v>
                </c:pt>
                <c:pt idx="171">
                  <c:v>1.502</c:v>
                </c:pt>
                <c:pt idx="172">
                  <c:v>1.4709999999999916</c:v>
                </c:pt>
                <c:pt idx="173">
                  <c:v>1.47</c:v>
                </c:pt>
                <c:pt idx="174">
                  <c:v>1.4409999999999912</c:v>
                </c:pt>
                <c:pt idx="175">
                  <c:v>1.4509999999999916</c:v>
                </c:pt>
                <c:pt idx="176">
                  <c:v>1.4109999999999905</c:v>
                </c:pt>
                <c:pt idx="177">
                  <c:v>1.349</c:v>
                </c:pt>
                <c:pt idx="178">
                  <c:v>1.2969999999999933</c:v>
                </c:pt>
                <c:pt idx="179">
                  <c:v>1.254</c:v>
                </c:pt>
                <c:pt idx="180">
                  <c:v>1.2409999999999926</c:v>
                </c:pt>
                <c:pt idx="181">
                  <c:v>1.2469999999999928</c:v>
                </c:pt>
                <c:pt idx="182">
                  <c:v>1.3360000000000001</c:v>
                </c:pt>
                <c:pt idx="183">
                  <c:v>1.353</c:v>
                </c:pt>
                <c:pt idx="184">
                  <c:v>1.35</c:v>
                </c:pt>
                <c:pt idx="185">
                  <c:v>1.393</c:v>
                </c:pt>
                <c:pt idx="186">
                  <c:v>1.355</c:v>
                </c:pt>
                <c:pt idx="187">
                  <c:v>1.365</c:v>
                </c:pt>
                <c:pt idx="188">
                  <c:v>1.321</c:v>
                </c:pt>
                <c:pt idx="189">
                  <c:v>1.298</c:v>
                </c:pt>
                <c:pt idx="190">
                  <c:v>1.292</c:v>
                </c:pt>
                <c:pt idx="191">
                  <c:v>1.2989999999999933</c:v>
                </c:pt>
                <c:pt idx="192">
                  <c:v>1.329</c:v>
                </c:pt>
                <c:pt idx="193">
                  <c:v>1.3089999999999933</c:v>
                </c:pt>
                <c:pt idx="194">
                  <c:v>1.294</c:v>
                </c:pt>
                <c:pt idx="195">
                  <c:v>1.278</c:v>
                </c:pt>
                <c:pt idx="196">
                  <c:v>1.304</c:v>
                </c:pt>
                <c:pt idx="197">
                  <c:v>1.286</c:v>
                </c:pt>
                <c:pt idx="198">
                  <c:v>1.2629999999999926</c:v>
                </c:pt>
                <c:pt idx="199">
                  <c:v>1.2789999999999926</c:v>
                </c:pt>
                <c:pt idx="200">
                  <c:v>1.25</c:v>
                </c:pt>
                <c:pt idx="201">
                  <c:v>1.28</c:v>
                </c:pt>
                <c:pt idx="202">
                  <c:v>1.2809999999999926</c:v>
                </c:pt>
                <c:pt idx="203">
                  <c:v>1.3140000000000001</c:v>
                </c:pt>
                <c:pt idx="204">
                  <c:v>1.3800000000000001</c:v>
                </c:pt>
                <c:pt idx="205">
                  <c:v>1.371</c:v>
                </c:pt>
                <c:pt idx="206">
                  <c:v>1.351</c:v>
                </c:pt>
                <c:pt idx="207">
                  <c:v>1.363</c:v>
                </c:pt>
                <c:pt idx="208">
                  <c:v>1.375</c:v>
                </c:pt>
                <c:pt idx="209">
                  <c:v>1.4259999999999866</c:v>
                </c:pt>
                <c:pt idx="210">
                  <c:v>1.4</c:v>
                </c:pt>
                <c:pt idx="211">
                  <c:v>1.454</c:v>
                </c:pt>
                <c:pt idx="212">
                  <c:v>1.4569999999999916</c:v>
                </c:pt>
                <c:pt idx="213">
                  <c:v>1.4219999999999866</c:v>
                </c:pt>
                <c:pt idx="214">
                  <c:v>1.3979999999999926</c:v>
                </c:pt>
                <c:pt idx="215">
                  <c:v>1.395</c:v>
                </c:pt>
                <c:pt idx="216">
                  <c:v>1.4069999999999903</c:v>
                </c:pt>
                <c:pt idx="217">
                  <c:v>1.3939999999999926</c:v>
                </c:pt>
                <c:pt idx="218">
                  <c:v>1.4069999999999903</c:v>
                </c:pt>
                <c:pt idx="219">
                  <c:v>1.454</c:v>
                </c:pt>
                <c:pt idx="220">
                  <c:v>1.4139999999999862</c:v>
                </c:pt>
                <c:pt idx="221">
                  <c:v>1.45</c:v>
                </c:pt>
                <c:pt idx="222">
                  <c:v>1.4449999999999916</c:v>
                </c:pt>
                <c:pt idx="223">
                  <c:v>1.4489999999999916</c:v>
                </c:pt>
                <c:pt idx="224">
                  <c:v>1.3900000000000001</c:v>
                </c:pt>
                <c:pt idx="225">
                  <c:v>1.3680000000000001</c:v>
                </c:pt>
                <c:pt idx="226">
                  <c:v>1.381</c:v>
                </c:pt>
                <c:pt idx="227">
                  <c:v>1.373</c:v>
                </c:pt>
                <c:pt idx="228">
                  <c:v>1.3939999999999926</c:v>
                </c:pt>
                <c:pt idx="229">
                  <c:v>1.41</c:v>
                </c:pt>
                <c:pt idx="230">
                  <c:v>1.4549999999999916</c:v>
                </c:pt>
                <c:pt idx="231">
                  <c:v>1.464</c:v>
                </c:pt>
                <c:pt idx="232">
                  <c:v>1.47</c:v>
                </c:pt>
                <c:pt idx="233">
                  <c:v>1.4729999999999916</c:v>
                </c:pt>
                <c:pt idx="234">
                  <c:v>1.45</c:v>
                </c:pt>
                <c:pt idx="235">
                  <c:v>1.4289999999999905</c:v>
                </c:pt>
                <c:pt idx="236">
                  <c:v>1.4489999999999916</c:v>
                </c:pt>
                <c:pt idx="237">
                  <c:v>1.4489999999999916</c:v>
                </c:pt>
                <c:pt idx="238">
                  <c:v>1.4609999999999916</c:v>
                </c:pt>
                <c:pt idx="239">
                  <c:v>1.4529999999999916</c:v>
                </c:pt>
                <c:pt idx="240">
                  <c:v>1.4669999999999916</c:v>
                </c:pt>
                <c:pt idx="241">
                  <c:v>1.4629999999999916</c:v>
                </c:pt>
                <c:pt idx="242">
                  <c:v>1.4689999999999916</c:v>
                </c:pt>
                <c:pt idx="243">
                  <c:v>1.486</c:v>
                </c:pt>
                <c:pt idx="244">
                  <c:v>1.488</c:v>
                </c:pt>
                <c:pt idx="245">
                  <c:v>1.5049999999999926</c:v>
                </c:pt>
                <c:pt idx="246">
                  <c:v>1.5269999999999926</c:v>
                </c:pt>
                <c:pt idx="247">
                  <c:v>1.5109999999999926</c:v>
                </c:pt>
                <c:pt idx="248">
                  <c:v>1.4949999999999928</c:v>
                </c:pt>
                <c:pt idx="249">
                  <c:v>1.524</c:v>
                </c:pt>
                <c:pt idx="250">
                  <c:v>1.526</c:v>
                </c:pt>
                <c:pt idx="251">
                  <c:v>1.5229999999999926</c:v>
                </c:pt>
                <c:pt idx="252">
                  <c:v>1.5049999999999926</c:v>
                </c:pt>
                <c:pt idx="253">
                  <c:v>1.5</c:v>
                </c:pt>
                <c:pt idx="254">
                  <c:v>1.53</c:v>
                </c:pt>
                <c:pt idx="255">
                  <c:v>1.5389999999999928</c:v>
                </c:pt>
                <c:pt idx="256">
                  <c:v>1.536</c:v>
                </c:pt>
                <c:pt idx="257">
                  <c:v>1.5629999999999933</c:v>
                </c:pt>
                <c:pt idx="258">
                  <c:v>1.577</c:v>
                </c:pt>
                <c:pt idx="259">
                  <c:v>1.591</c:v>
                </c:pt>
                <c:pt idx="260">
                  <c:v>1.6</c:v>
                </c:pt>
                <c:pt idx="261">
                  <c:v>1.613</c:v>
                </c:pt>
                <c:pt idx="262">
                  <c:v>1.643</c:v>
                </c:pt>
                <c:pt idx="263">
                  <c:v>1.6759999999999933</c:v>
                </c:pt>
                <c:pt idx="264">
                  <c:v>1.679</c:v>
                </c:pt>
                <c:pt idx="265">
                  <c:v>1.643</c:v>
                </c:pt>
                <c:pt idx="266">
                  <c:v>1.649</c:v>
                </c:pt>
                <c:pt idx="267">
                  <c:v>1.728</c:v>
                </c:pt>
                <c:pt idx="268">
                  <c:v>1.7349999999999917</c:v>
                </c:pt>
                <c:pt idx="269">
                  <c:v>1.6879999999999933</c:v>
                </c:pt>
              </c:numCache>
            </c:numRef>
          </c:val>
        </c:ser>
        <c:marker val="1"/>
        <c:axId val="166766080"/>
        <c:axId val="166767616"/>
      </c:lineChart>
      <c:dateAx>
        <c:axId val="166766080"/>
        <c:scaling>
          <c:orientation val="minMax"/>
          <c:min val="43010"/>
        </c:scaling>
        <c:axPos val="b"/>
        <c:numFmt formatCode="d/m/yyyy" sourceLinked="1"/>
        <c:majorTickMark val="none"/>
        <c:tickLblPos val="nextTo"/>
        <c:txPr>
          <a:bodyPr rot="-5400000" vert="horz"/>
          <a:lstStyle/>
          <a:p>
            <a:pPr>
              <a:defRPr/>
            </a:pPr>
            <a:endParaRPr lang="el-GR"/>
          </a:p>
        </c:txPr>
        <c:crossAx val="166767616"/>
        <c:crosses val="autoZero"/>
        <c:auto val="1"/>
        <c:lblOffset val="100"/>
        <c:baseTimeUnit val="days"/>
        <c:majorUnit val="1"/>
        <c:majorTimeUnit val="months"/>
        <c:minorUnit val="1"/>
        <c:minorTimeUnit val="months"/>
      </c:dateAx>
      <c:valAx>
        <c:axId val="166767616"/>
        <c:scaling>
          <c:orientation val="minMax"/>
          <c:max val="6"/>
        </c:scaling>
        <c:axPos val="l"/>
        <c:majorGridlines/>
        <c:title>
          <c:tx>
            <c:rich>
              <a:bodyPr rot="-5400000" vert="horz"/>
              <a:lstStyle/>
              <a:p>
                <a:pPr>
                  <a:defRPr/>
                </a:pPr>
                <a:r>
                  <a:rPr lang="el-GR"/>
                  <a:t>Απόδοση (%)</a:t>
                </a:r>
              </a:p>
            </c:rich>
          </c:tx>
          <c:layout>
            <c:manualLayout>
              <c:xMode val="edge"/>
              <c:yMode val="edge"/>
              <c:x val="2.3776783185750281E-4"/>
              <c:y val="0.47801650144532448"/>
            </c:manualLayout>
          </c:layout>
        </c:title>
        <c:numFmt formatCode="General" sourceLinked="1"/>
        <c:tickLblPos val="nextTo"/>
        <c:crossAx val="166766080"/>
        <c:crossesAt val="41931"/>
        <c:crossBetween val="between"/>
        <c:majorUnit val="1"/>
      </c:valAx>
    </c:plotArea>
    <c:legend>
      <c:legendPos val="b"/>
      <c:layout>
        <c:manualLayout>
          <c:xMode val="edge"/>
          <c:yMode val="edge"/>
          <c:x val="1.0648148148148151E-2"/>
          <c:y val="0.87863673438924395"/>
          <c:w val="0.9"/>
          <c:h val="4.688797786532653E-2"/>
        </c:manualLayout>
      </c:layout>
    </c:legend>
    <c:plotVisOnly val="1"/>
    <c:dispBlanksAs val="gap"/>
  </c:chart>
  <c:spPr>
    <a:ln>
      <a:noFill/>
    </a:ln>
  </c:spPr>
  <c:txPr>
    <a:bodyPr/>
    <a:lstStyle/>
    <a:p>
      <a:pPr>
        <a:defRPr sz="700">
          <a:latin typeface="Arial Narrow" pitchFamily="34" charset="0"/>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plotArea>
      <c:layout/>
      <c:pieChart>
        <c:varyColors val="1"/>
        <c:ser>
          <c:idx val="0"/>
          <c:order val="0"/>
          <c:dPt>
            <c:idx val="0"/>
            <c:spPr>
              <a:solidFill>
                <a:srgbClr val="FFFF00"/>
              </a:solidFill>
            </c:spPr>
          </c:dPt>
          <c:dPt>
            <c:idx val="1"/>
            <c:spPr>
              <a:solidFill>
                <a:srgbClr val="FF0000"/>
              </a:solidFill>
            </c:spPr>
          </c:dPt>
          <c:dPt>
            <c:idx val="2"/>
            <c:spPr>
              <a:solidFill>
                <a:srgbClr val="00FF00"/>
              </a:solidFill>
            </c:spPr>
          </c:dPt>
          <c:dPt>
            <c:idx val="4"/>
            <c:spPr>
              <a:solidFill>
                <a:srgbClr val="66FFFF"/>
              </a:solidFill>
            </c:spPr>
          </c:dPt>
          <c:dLbls>
            <c:dLbl>
              <c:idx val="0"/>
              <c:layout>
                <c:manualLayout>
                  <c:x val="-0.11594989650683908"/>
                  <c:y val="1.4495933909900578E-2"/>
                </c:manualLayout>
              </c:layout>
              <c:spPr/>
              <c:txPr>
                <a:bodyPr/>
                <a:lstStyle/>
                <a:p>
                  <a:pPr>
                    <a:defRPr/>
                  </a:pPr>
                  <a:endParaRPr lang="el-GR"/>
                </a:p>
              </c:txPr>
              <c:dLblPos val="bestFit"/>
              <c:showVal val="1"/>
              <c:showCatName val="1"/>
              <c:separator> </c:separator>
            </c:dLbl>
            <c:dLbl>
              <c:idx val="1"/>
              <c:layout>
                <c:manualLayout>
                  <c:x val="4.3946396944284413E-2"/>
                  <c:y val="-1.6928416734793377E-2"/>
                </c:manualLayout>
              </c:layout>
              <c:tx>
                <c:rich>
                  <a:bodyPr/>
                  <a:lstStyle/>
                  <a:p>
                    <a:pPr>
                      <a:defRPr/>
                    </a:pPr>
                    <a:r>
                      <a:rPr lang="el-GR"/>
                      <a:t>3-5 έτη</a:t>
                    </a:r>
                  </a:p>
                  <a:p>
                    <a:pPr>
                      <a:defRPr/>
                    </a:pPr>
                    <a:r>
                      <a:rPr lang="el-GR"/>
                      <a:t> 23,3%</a:t>
                    </a:r>
                  </a:p>
                </c:rich>
              </c:tx>
              <c:spPr/>
              <c:dLblPos val="bestFit"/>
              <c:showVal val="1"/>
              <c:showCatName val="1"/>
              <c:separator> </c:separator>
            </c:dLbl>
            <c:dLbl>
              <c:idx val="2"/>
              <c:layout>
                <c:manualLayout>
                  <c:x val="0.12354159998292896"/>
                  <c:y val="-8.0799377536824368E-2"/>
                </c:manualLayout>
              </c:layout>
              <c:tx>
                <c:rich>
                  <a:bodyPr/>
                  <a:lstStyle/>
                  <a:p>
                    <a:pPr>
                      <a:defRPr/>
                    </a:pPr>
                    <a:r>
                      <a:rPr lang="el-GR"/>
                      <a:t>5-10 έτη </a:t>
                    </a:r>
                  </a:p>
                  <a:p>
                    <a:pPr>
                      <a:defRPr/>
                    </a:pPr>
                    <a:r>
                      <a:rPr lang="el-GR"/>
                      <a:t>38,8%</a:t>
                    </a:r>
                  </a:p>
                </c:rich>
              </c:tx>
              <c:spPr/>
              <c:dLblPos val="bestFit"/>
              <c:showVal val="1"/>
              <c:showCatName val="1"/>
              <c:separator> </c:separator>
            </c:dLbl>
            <c:dLbl>
              <c:idx val="3"/>
              <c:layout>
                <c:manualLayout>
                  <c:x val="-7.447559908669954E-2"/>
                  <c:y val="-5.9813834746067149E-2"/>
                </c:manualLayout>
              </c:layout>
              <c:tx>
                <c:rich>
                  <a:bodyPr/>
                  <a:lstStyle/>
                  <a:p>
                    <a:pPr>
                      <a:defRPr/>
                    </a:pPr>
                    <a:r>
                      <a:rPr lang="el-GR"/>
                      <a:t>10-15 έτη</a:t>
                    </a:r>
                  </a:p>
                  <a:p>
                    <a:pPr>
                      <a:defRPr/>
                    </a:pPr>
                    <a:r>
                      <a:rPr lang="el-GR"/>
                      <a:t> 16,2%</a:t>
                    </a:r>
                  </a:p>
                </c:rich>
              </c:tx>
              <c:spPr/>
              <c:dLblPos val="bestFit"/>
              <c:showVal val="1"/>
              <c:showCatName val="1"/>
              <c:separator> </c:separator>
            </c:dLbl>
            <c:dLbl>
              <c:idx val="4"/>
              <c:layout>
                <c:manualLayout>
                  <c:x val="-0.10183257580607302"/>
                  <c:y val="7.7580210260602703E-2"/>
                </c:manualLayout>
              </c:layout>
              <c:tx>
                <c:rich>
                  <a:bodyPr/>
                  <a:lstStyle/>
                  <a:p>
                    <a:pPr>
                      <a:defRPr/>
                    </a:pPr>
                    <a:r>
                      <a:rPr lang="el-GR"/>
                      <a:t>15-30 έτη</a:t>
                    </a:r>
                  </a:p>
                  <a:p>
                    <a:pPr>
                      <a:defRPr/>
                    </a:pPr>
                    <a:r>
                      <a:rPr lang="el-GR"/>
                      <a:t>20,2%</a:t>
                    </a:r>
                  </a:p>
                </c:rich>
              </c:tx>
              <c:spPr/>
              <c:dLblPos val="bestFit"/>
              <c:showVal val="1"/>
              <c:showCatName val="1"/>
              <c:separator> </c:separator>
            </c:dLbl>
            <c:spPr>
              <a:noFill/>
              <a:ln w="25400">
                <a:noFill/>
              </a:ln>
            </c:spPr>
            <c:showVal val="1"/>
            <c:showCatName val="1"/>
            <c:separator> </c:separator>
            <c:showLeaderLines val="1"/>
          </c:dLbls>
          <c:cat>
            <c:strRef>
              <c:f>'Diagramma 4.6  '!$A$1:$A$5</c:f>
              <c:strCache>
                <c:ptCount val="5"/>
                <c:pt idx="0">
                  <c:v>Έντοκα Γραμμάτια</c:v>
                </c:pt>
                <c:pt idx="1">
                  <c:v>3-5 έτη</c:v>
                </c:pt>
                <c:pt idx="2">
                  <c:v>5-10 έτη</c:v>
                </c:pt>
                <c:pt idx="3">
                  <c:v>10-15 έτη</c:v>
                </c:pt>
                <c:pt idx="4">
                  <c:v>15-30 έτη</c:v>
                </c:pt>
              </c:strCache>
            </c:strRef>
          </c:cat>
          <c:val>
            <c:numRef>
              <c:f>'Diagramma 4.6  '!$B$1:$B$5</c:f>
              <c:numCache>
                <c:formatCode>0.0%</c:formatCode>
                <c:ptCount val="5"/>
                <c:pt idx="0">
                  <c:v>1.4500000000000001E-2</c:v>
                </c:pt>
                <c:pt idx="1">
                  <c:v>0.23330000000000001</c:v>
                </c:pt>
                <c:pt idx="2">
                  <c:v>0.38840000000000213</c:v>
                </c:pt>
                <c:pt idx="3">
                  <c:v>0.16159999999999999</c:v>
                </c:pt>
                <c:pt idx="4">
                  <c:v>0.20219999999999999</c:v>
                </c:pt>
              </c:numCache>
            </c:numRef>
          </c:val>
        </c:ser>
        <c:firstSliceAng val="0"/>
      </c:pieChart>
      <c:spPr>
        <a:noFill/>
        <a:ln w="25400">
          <a:noFill/>
        </a:ln>
      </c:spPr>
    </c:plotArea>
    <c:plotVisOnly val="1"/>
    <c:dispBlanksAs val="zero"/>
  </c:chart>
  <c:spPr>
    <a:ln>
      <a:noFill/>
    </a:ln>
  </c:spPr>
  <c:txPr>
    <a:bodyPr/>
    <a:lstStyle/>
    <a:p>
      <a:pPr>
        <a:defRPr sz="800" b="0" i="0" u="none" strike="noStrike" baseline="0">
          <a:solidFill>
            <a:srgbClr val="000000"/>
          </a:solidFill>
          <a:latin typeface="Arial Narrow" pitchFamily="34" charset="0"/>
          <a:ea typeface="Calibri"/>
          <a:cs typeface="Calibri"/>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7.2933549432739053E-2"/>
          <c:y val="0.13770491803278689"/>
          <c:w val="0.90761750405186359"/>
          <c:h val="0.77049180327869682"/>
        </c:manualLayout>
      </c:layout>
      <c:barChart>
        <c:barDir val="col"/>
        <c:grouping val="clustered"/>
        <c:ser>
          <c:idx val="0"/>
          <c:order val="0"/>
          <c:tx>
            <c:strRef>
              <c:f>'Diagramma 4.7 '!$D$1</c:f>
              <c:strCache>
                <c:ptCount val="1"/>
                <c:pt idx="0">
                  <c:v>2017</c:v>
                </c:pt>
              </c:strCache>
            </c:strRef>
          </c:tx>
          <c:spPr>
            <a:solidFill>
              <a:schemeClr val="bg1">
                <a:lumMod val="65000"/>
              </a:schemeClr>
            </a:solidFill>
            <a:ln w="12700">
              <a:noFill/>
              <a:prstDash val="solid"/>
            </a:ln>
          </c:spPr>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'!$D$2:$D$10</c:f>
              <c:numCache>
                <c:formatCode>0</c:formatCode>
                <c:ptCount val="9"/>
                <c:pt idx="0">
                  <c:v>30</c:v>
                </c:pt>
                <c:pt idx="1">
                  <c:v>17</c:v>
                </c:pt>
                <c:pt idx="2">
                  <c:v>29</c:v>
                </c:pt>
                <c:pt idx="3">
                  <c:v>5</c:v>
                </c:pt>
                <c:pt idx="4">
                  <c:v>104</c:v>
                </c:pt>
                <c:pt idx="5">
                  <c:v>27</c:v>
                </c:pt>
                <c:pt idx="6">
                  <c:v>29</c:v>
                </c:pt>
                <c:pt idx="7">
                  <c:v>64</c:v>
                </c:pt>
                <c:pt idx="8">
                  <c:v>36</c:v>
                </c:pt>
              </c:numCache>
            </c:numRef>
          </c:val>
        </c:ser>
        <c:ser>
          <c:idx val="1"/>
          <c:order val="1"/>
          <c:tx>
            <c:strRef>
              <c:f>'Diagramma 4.7 '!$E$1</c:f>
              <c:strCache>
                <c:ptCount val="1"/>
                <c:pt idx="0">
                  <c:v>2018</c:v>
                </c:pt>
              </c:strCache>
            </c:strRef>
          </c:tx>
          <c:spPr>
            <a:solidFill>
              <a:srgbClr val="FF0000"/>
            </a:solidFill>
            <a:ln w="12700">
              <a:noFill/>
              <a:prstDash val="solid"/>
            </a:ln>
          </c:spPr>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'!$E$2:$E$10</c:f>
              <c:numCache>
                <c:formatCode>0</c:formatCode>
                <c:ptCount val="9"/>
                <c:pt idx="0">
                  <c:v>109</c:v>
                </c:pt>
                <c:pt idx="1">
                  <c:v>200</c:v>
                </c:pt>
                <c:pt idx="2">
                  <c:v>875</c:v>
                </c:pt>
                <c:pt idx="3">
                  <c:v>389</c:v>
                </c:pt>
                <c:pt idx="4">
                  <c:v>434</c:v>
                </c:pt>
                <c:pt idx="5">
                  <c:v>331</c:v>
                </c:pt>
                <c:pt idx="6">
                  <c:v>561</c:v>
                </c:pt>
                <c:pt idx="7">
                  <c:v>283</c:v>
                </c:pt>
                <c:pt idx="8">
                  <c:v>536</c:v>
                </c:pt>
              </c:numCache>
            </c:numRef>
          </c:val>
        </c:ser>
        <c:axId val="202368128"/>
        <c:axId val="202369664"/>
      </c:barChart>
      <c:catAx>
        <c:axId val="202368128"/>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202369664"/>
        <c:crosses val="autoZero"/>
        <c:auto val="1"/>
        <c:lblAlgn val="ctr"/>
        <c:lblOffset val="100"/>
        <c:tickLblSkip val="1"/>
        <c:tickMarkSkip val="1"/>
      </c:catAx>
      <c:valAx>
        <c:axId val="202369664"/>
        <c:scaling>
          <c:orientation val="minMax"/>
          <c:max val="9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l-GR"/>
          </a:p>
        </c:txPr>
        <c:crossAx val="202368128"/>
        <c:crosses val="autoZero"/>
        <c:crossBetween val="between"/>
        <c:majorUnit val="50"/>
      </c:valAx>
      <c:spPr>
        <a:solidFill>
          <a:srgbClr val="FFFFFF"/>
        </a:solidFill>
        <a:ln w="12700">
          <a:solidFill>
            <a:srgbClr val="FFFFFF"/>
          </a:solidFill>
          <a:prstDash val="solid"/>
        </a:ln>
      </c:spPr>
    </c:plotArea>
    <c:legend>
      <c:legendPos val="t"/>
      <c:overlay val="1"/>
      <c:spPr>
        <a:solidFill>
          <a:srgbClr val="FFFFFF"/>
        </a:solidFill>
        <a:ln w="3175">
          <a:no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Arial Narrow" pitchFamily="34" charset="0"/>
          <a:ea typeface="Arial"/>
          <a:cs typeface="Arial"/>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21224920802535083"/>
          <c:y val="0.15633806367424424"/>
          <c:w val="0.60994972719206664"/>
          <c:h val="0.38760092381250011"/>
        </c:manualLayout>
      </c:layout>
      <c:barChart>
        <c:barDir val="col"/>
        <c:grouping val="clustered"/>
        <c:ser>
          <c:idx val="1"/>
          <c:order val="0"/>
          <c:tx>
            <c:strRef>
              <c:f>table1!$C$10</c:f>
              <c:strCache>
                <c:ptCount val="1"/>
                <c:pt idx="0">
                  <c:v>ΕΓΓΥΗΣΕΙΣ ως % του ΑΕΠ</c:v>
                </c:pt>
              </c:strCache>
            </c:strRef>
          </c:tx>
          <c:spPr>
            <a:solidFill>
              <a:srgbClr val="FF0000"/>
            </a:solidFill>
            <a:ln w="12700">
              <a:noFill/>
              <a:prstDash val="solid"/>
            </a:ln>
          </c:spPr>
          <c:cat>
            <c:strRef>
              <c:f>table1!$A$11:$A$29</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table1!$C$11:$C$29</c:f>
              <c:numCache>
                <c:formatCode>0.0%</c:formatCode>
                <c:ptCount val="19"/>
                <c:pt idx="0">
                  <c:v>1.0999999999999998E-2</c:v>
                </c:pt>
                <c:pt idx="1">
                  <c:v>7.0000000000000114E-3</c:v>
                </c:pt>
                <c:pt idx="2">
                  <c:v>6.0000000000000114E-3</c:v>
                </c:pt>
                <c:pt idx="3">
                  <c:v>9.0000000000000028E-3</c:v>
                </c:pt>
                <c:pt idx="4">
                  <c:v>1.0000000000000005E-2</c:v>
                </c:pt>
                <c:pt idx="5">
                  <c:v>8.0000000000000227E-3</c:v>
                </c:pt>
                <c:pt idx="6">
                  <c:v>8.0000000000000227E-3</c:v>
                </c:pt>
                <c:pt idx="7">
                  <c:v>7.0000000000000114E-3</c:v>
                </c:pt>
                <c:pt idx="8">
                  <c:v>7.0000000000000114E-3</c:v>
                </c:pt>
                <c:pt idx="9">
                  <c:v>7.0000000000000114E-3</c:v>
                </c:pt>
                <c:pt idx="10">
                  <c:v>6.0000000000000114E-3</c:v>
                </c:pt>
                <c:pt idx="11">
                  <c:v>9.0000000000000028E-3</c:v>
                </c:pt>
                <c:pt idx="12">
                  <c:v>4.0000000000000114E-3</c:v>
                </c:pt>
                <c:pt idx="13">
                  <c:v>4.0000000000000114E-3</c:v>
                </c:pt>
                <c:pt idx="14">
                  <c:v>3.0000000000000092E-3</c:v>
                </c:pt>
                <c:pt idx="15" formatCode="0.00%">
                  <c:v>4.0000000000000034E-4</c:v>
                </c:pt>
                <c:pt idx="16" formatCode="0.00%">
                  <c:v>9.0000000000000247E-4</c:v>
                </c:pt>
                <c:pt idx="17" formatCode="0.00%">
                  <c:v>1.5000000000000076E-3</c:v>
                </c:pt>
                <c:pt idx="18" formatCode="0.00%">
                  <c:v>6.0000000000000385E-4</c:v>
                </c:pt>
              </c:numCache>
            </c:numRef>
          </c:val>
          <c:extLst xmlns:c16r2="http://schemas.microsoft.com/office/drawing/2015/06/chart">
            <c:ext xmlns:c16="http://schemas.microsoft.com/office/drawing/2014/chart" uri="{C3380CC4-5D6E-409C-BE32-E72D297353CC}">
              <c16:uniqueId val="{00000000-1917-4556-AAF8-295AD906C575}"/>
            </c:ext>
          </c:extLst>
        </c:ser>
        <c:ser>
          <c:idx val="2"/>
          <c:order val="1"/>
          <c:tx>
            <c:strRef>
              <c:f>table1!$G$10</c:f>
              <c:strCache>
                <c:ptCount val="1"/>
                <c:pt idx="0">
                  <c:v>ΚΑΤΑΠΤΩΣΕΙΣ ως  % του ΑΕΠ</c:v>
                </c:pt>
              </c:strCache>
            </c:strRef>
          </c:tx>
          <c:spPr>
            <a:solidFill>
              <a:srgbClr val="0000FF"/>
            </a:solidFill>
            <a:ln w="38100">
              <a:noFill/>
              <a:prstDash val="solid"/>
            </a:ln>
          </c:spPr>
          <c:cat>
            <c:strRef>
              <c:f>table1!$A$11:$A$29</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table1!$G$11:$G$29</c:f>
              <c:numCache>
                <c:formatCode>0.0%</c:formatCode>
                <c:ptCount val="19"/>
                <c:pt idx="0">
                  <c:v>2.0000000000000052E-3</c:v>
                </c:pt>
                <c:pt idx="1">
                  <c:v>2.0000000000000052E-3</c:v>
                </c:pt>
                <c:pt idx="2">
                  <c:v>2.0000000000000052E-3</c:v>
                </c:pt>
                <c:pt idx="3">
                  <c:v>2.0000000000000052E-3</c:v>
                </c:pt>
                <c:pt idx="4">
                  <c:v>3.0000000000000092E-3</c:v>
                </c:pt>
                <c:pt idx="5">
                  <c:v>2.0000000000000052E-3</c:v>
                </c:pt>
                <c:pt idx="6">
                  <c:v>1.0000000000000041E-3</c:v>
                </c:pt>
                <c:pt idx="7" formatCode="0.00%">
                  <c:v>2.0000000000000052E-4</c:v>
                </c:pt>
                <c:pt idx="8" formatCode="0.00%">
                  <c:v>1.8000000000000104E-3</c:v>
                </c:pt>
                <c:pt idx="9" formatCode="0.00%">
                  <c:v>3.0000000000000092E-3</c:v>
                </c:pt>
                <c:pt idx="10" formatCode="0.00%">
                  <c:v>4.3000000000000104E-3</c:v>
                </c:pt>
                <c:pt idx="11" formatCode="0.00%">
                  <c:v>7.0000000000000114E-3</c:v>
                </c:pt>
                <c:pt idx="12" formatCode="0.00%">
                  <c:v>4.1999999999999997E-3</c:v>
                </c:pt>
                <c:pt idx="13" formatCode="0.00%">
                  <c:v>4.9000000000000319E-3</c:v>
                </c:pt>
                <c:pt idx="14" formatCode="0.00%">
                  <c:v>3.3000000000000052E-3</c:v>
                </c:pt>
                <c:pt idx="15" formatCode="0.00%">
                  <c:v>4.0000000000000114E-3</c:v>
                </c:pt>
                <c:pt idx="16" formatCode="0.00%">
                  <c:v>2.3000000000000052E-3</c:v>
                </c:pt>
                <c:pt idx="17" formatCode="0.00%">
                  <c:v>3.8000000000000052E-3</c:v>
                </c:pt>
                <c:pt idx="18" formatCode="0.00%">
                  <c:v>5.0000000000000034E-4</c:v>
                </c:pt>
              </c:numCache>
            </c:numRef>
          </c:val>
          <c:extLst xmlns:c16r2="http://schemas.microsoft.com/office/drawing/2015/06/chart">
            <c:ext xmlns:c16="http://schemas.microsoft.com/office/drawing/2014/chart" uri="{C3380CC4-5D6E-409C-BE32-E72D297353CC}">
              <c16:uniqueId val="{00000001-1917-4556-AAF8-295AD906C575}"/>
            </c:ext>
          </c:extLst>
        </c:ser>
        <c:axId val="204265728"/>
        <c:axId val="204267904"/>
      </c:barChart>
      <c:lineChart>
        <c:grouping val="standard"/>
        <c:ser>
          <c:idx val="0"/>
          <c:order val="2"/>
          <c:tx>
            <c:strRef>
              <c:f>table1!$E$10</c:f>
              <c:strCache>
                <c:ptCount val="1"/>
                <c:pt idx="0">
                  <c:v>ΥΠΟΛΟΙΠΟ ως % του ΑΕΠ</c:v>
                </c:pt>
              </c:strCache>
            </c:strRef>
          </c:tx>
          <c:spPr>
            <a:ln w="15875">
              <a:solidFill>
                <a:schemeClr val="bg1">
                  <a:lumMod val="50000"/>
                </a:schemeClr>
              </a:solidFill>
              <a:prstDash val="solid"/>
            </a:ln>
          </c:spPr>
          <c:marker>
            <c:symbol val="diamond"/>
            <c:size val="5"/>
            <c:spPr>
              <a:solidFill>
                <a:schemeClr val="bg1">
                  <a:lumMod val="50000"/>
                </a:schemeClr>
              </a:solidFill>
              <a:ln w="3175">
                <a:solidFill>
                  <a:schemeClr val="bg1">
                    <a:lumMod val="50000"/>
                  </a:schemeClr>
                </a:solidFill>
                <a:prstDash val="solid"/>
              </a:ln>
            </c:spPr>
          </c:marker>
          <c:cat>
            <c:strRef>
              <c:f>table1!$A$11:$A$28</c:f>
              <c:strCach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strCache>
            </c:strRef>
          </c:cat>
          <c:val>
            <c:numRef>
              <c:f>table1!$E$11:$E$29</c:f>
              <c:numCache>
                <c:formatCode>0.0%</c:formatCode>
                <c:ptCount val="19"/>
                <c:pt idx="0">
                  <c:v>6.0000000000000032E-2</c:v>
                </c:pt>
                <c:pt idx="1">
                  <c:v>5.8000000000000003E-2</c:v>
                </c:pt>
                <c:pt idx="2">
                  <c:v>5.9000000000000302E-2</c:v>
                </c:pt>
                <c:pt idx="3">
                  <c:v>6.8000000000000019E-2</c:v>
                </c:pt>
                <c:pt idx="4">
                  <c:v>7.5000000000000011E-2</c:v>
                </c:pt>
                <c:pt idx="5">
                  <c:v>8.1000000000000003E-2</c:v>
                </c:pt>
                <c:pt idx="6">
                  <c:v>8.2000000000000003E-2</c:v>
                </c:pt>
                <c:pt idx="7">
                  <c:v>8.6000000000000021E-2</c:v>
                </c:pt>
                <c:pt idx="8">
                  <c:v>9.6000000000000002E-2</c:v>
                </c:pt>
                <c:pt idx="9">
                  <c:v>0.10800000000000012</c:v>
                </c:pt>
                <c:pt idx="10">
                  <c:v>9.9000000000000046E-2</c:v>
                </c:pt>
                <c:pt idx="11">
                  <c:v>9.6000000000000002E-2</c:v>
                </c:pt>
                <c:pt idx="12">
                  <c:v>0.10100000000000002</c:v>
                </c:pt>
                <c:pt idx="13">
                  <c:v>9.5000000000000043E-2</c:v>
                </c:pt>
                <c:pt idx="14">
                  <c:v>9.1000000000000025E-2</c:v>
                </c:pt>
                <c:pt idx="15">
                  <c:v>8.5000000000000006E-2</c:v>
                </c:pt>
                <c:pt idx="16">
                  <c:v>7.3999999999999996E-2</c:v>
                </c:pt>
                <c:pt idx="17">
                  <c:v>6.4000000000000112E-2</c:v>
                </c:pt>
                <c:pt idx="18">
                  <c:v>5.6000000000000001E-2</c:v>
                </c:pt>
              </c:numCache>
            </c:numRef>
          </c:val>
          <c:extLst xmlns:c16r2="http://schemas.microsoft.com/office/drawing/2015/06/chart">
            <c:ext xmlns:c16="http://schemas.microsoft.com/office/drawing/2014/chart" uri="{C3380CC4-5D6E-409C-BE32-E72D297353CC}">
              <c16:uniqueId val="{00000002-1917-4556-AAF8-295AD906C575}"/>
            </c:ext>
          </c:extLst>
        </c:ser>
        <c:marker val="1"/>
        <c:axId val="204269440"/>
        <c:axId val="204270976"/>
      </c:lineChart>
      <c:catAx>
        <c:axId val="204265728"/>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a:pPr>
            <a:endParaRPr lang="el-GR"/>
          </a:p>
        </c:txPr>
        <c:crossAx val="204267904"/>
        <c:crosses val="autoZero"/>
        <c:lblAlgn val="ctr"/>
        <c:lblOffset val="100"/>
        <c:tickMarkSkip val="1"/>
      </c:catAx>
      <c:valAx>
        <c:axId val="204267904"/>
        <c:scaling>
          <c:orientation val="minMax"/>
        </c:scaling>
        <c:axPos val="l"/>
        <c:numFmt formatCode="0.0%" sourceLinked="1"/>
        <c:majorTickMark val="cross"/>
        <c:tickLblPos val="nextTo"/>
        <c:spPr>
          <a:ln w="3175">
            <a:solidFill>
              <a:srgbClr val="000000"/>
            </a:solidFill>
            <a:prstDash val="solid"/>
          </a:ln>
        </c:spPr>
        <c:txPr>
          <a:bodyPr rot="0" vert="horz"/>
          <a:lstStyle/>
          <a:p>
            <a:pPr>
              <a:defRPr/>
            </a:pPr>
            <a:endParaRPr lang="el-GR"/>
          </a:p>
        </c:txPr>
        <c:crossAx val="204265728"/>
        <c:crosses val="autoZero"/>
        <c:crossBetween val="between"/>
      </c:valAx>
      <c:catAx>
        <c:axId val="204269440"/>
        <c:scaling>
          <c:orientation val="minMax"/>
        </c:scaling>
        <c:delete val="1"/>
        <c:axPos val="b"/>
        <c:numFmt formatCode="General" sourceLinked="1"/>
        <c:tickLblPos val="none"/>
        <c:crossAx val="204270976"/>
        <c:crosses val="autoZero"/>
        <c:lblAlgn val="ctr"/>
        <c:lblOffset val="100"/>
      </c:catAx>
      <c:valAx>
        <c:axId val="204270976"/>
        <c:scaling>
          <c:orientation val="minMax"/>
        </c:scaling>
        <c:axPos val="r"/>
        <c:numFmt formatCode="0.0%" sourceLinked="1"/>
        <c:majorTickMark val="cross"/>
        <c:tickLblPos val="nextTo"/>
        <c:spPr>
          <a:ln w="3175">
            <a:solidFill>
              <a:srgbClr val="000000"/>
            </a:solidFill>
            <a:prstDash val="solid"/>
          </a:ln>
        </c:spPr>
        <c:txPr>
          <a:bodyPr rot="0" vert="horz"/>
          <a:lstStyle/>
          <a:p>
            <a:pPr>
              <a:defRPr/>
            </a:pPr>
            <a:endParaRPr lang="el-GR"/>
          </a:p>
        </c:txPr>
        <c:crossAx val="204269440"/>
        <c:crosses val="max"/>
        <c:crossBetween val="between"/>
      </c:valAx>
      <c:dTable>
        <c:showHorzBorder val="1"/>
        <c:showVertBorder val="1"/>
        <c:showOutline val="1"/>
        <c:showKeys val="1"/>
        <c:spPr>
          <a:ln w="3175">
            <a:solidFill>
              <a:srgbClr val="008000"/>
            </a:solidFill>
            <a:prstDash val="solid"/>
          </a:ln>
        </c:spPr>
      </c:dTable>
      <c:spPr>
        <a:noFill/>
        <a:ln w="12700">
          <a:noFill/>
          <a:prstDash val="solid"/>
        </a:ln>
      </c:spPr>
    </c:plotArea>
    <c:plotVisOnly val="1"/>
    <c:dispBlanksAs val="gap"/>
  </c:chart>
  <c:spPr>
    <a:noFill/>
    <a:ln w="9525">
      <a:noFill/>
    </a:ln>
  </c:spPr>
  <c:txPr>
    <a:bodyPr/>
    <a:lstStyle/>
    <a:p>
      <a:pPr>
        <a:defRPr sz="600" b="1" i="0" u="none" strike="noStrike" baseline="0">
          <a:solidFill>
            <a:srgbClr val="000000"/>
          </a:solidFill>
          <a:latin typeface="Arial Narrow" pitchFamily="34" charset="0"/>
          <a:ea typeface="Arial"/>
          <a:cs typeface="Arial"/>
        </a:defRPr>
      </a:pPr>
      <a:endParaRPr lang="el-G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0.10744</cdr:x>
      <cdr:y>0.09718</cdr:y>
    </cdr:from>
    <cdr:to>
      <cdr:x>0.17116</cdr:x>
      <cdr:y>0.54366</cdr:y>
    </cdr:to>
    <cdr:sp macro="" textlink="">
      <cdr:nvSpPr>
        <cdr:cNvPr id="3" name="2 - TextBox"/>
        <cdr:cNvSpPr txBox="1"/>
      </cdr:nvSpPr>
      <cdr:spPr bwMode="auto">
        <a:xfrm xmlns:a="http://schemas.openxmlformats.org/drawingml/2006/main">
          <a:off x="660400" y="292101"/>
          <a:ext cx="391686" cy="13419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rtlCol="0" anchor="ctr" upright="1"/>
        <a:lstStyle xmlns:a="http://schemas.openxmlformats.org/drawingml/2006/main"/>
        <a:p xmlns:a="http://schemas.openxmlformats.org/drawingml/2006/main">
          <a:pPr algn="ctr" rtl="0"/>
          <a:r>
            <a:rPr lang="el-GR" sz="600" b="1" i="0" u="none" strike="noStrike">
              <a:solidFill>
                <a:srgbClr val="000000"/>
              </a:solidFill>
              <a:latin typeface="Arial Narrow" pitchFamily="34" charset="0"/>
              <a:cs typeface="Arial"/>
            </a:rPr>
            <a:t>Εγγυήσεις</a:t>
          </a:r>
          <a:r>
            <a:rPr lang="el-GR" sz="600" b="1" i="0" u="none" strike="noStrike" baseline="0">
              <a:solidFill>
                <a:srgbClr val="000000"/>
              </a:solidFill>
              <a:latin typeface="Arial Narrow" pitchFamily="34" charset="0"/>
              <a:cs typeface="Arial"/>
            </a:rPr>
            <a:t> και καταπτώσεις</a:t>
          </a:r>
        </a:p>
        <a:p xmlns:a="http://schemas.openxmlformats.org/drawingml/2006/main">
          <a:pPr algn="ctr" rtl="0"/>
          <a:r>
            <a:rPr lang="el-GR" sz="600" b="1" i="0" u="none" strike="noStrike" baseline="0">
              <a:solidFill>
                <a:srgbClr val="000000"/>
              </a:solidFill>
              <a:latin typeface="Arial Narrow" pitchFamily="34" charset="0"/>
              <a:cs typeface="Arial"/>
            </a:rPr>
            <a:t>ως % του ΑΕΠ</a:t>
          </a:r>
          <a:endParaRPr lang="el-GR" sz="600" b="1" i="0" u="none" strike="noStrike">
            <a:solidFill>
              <a:srgbClr val="000000"/>
            </a:solidFill>
            <a:latin typeface="Arial Narrow" pitchFamily="34" charset="0"/>
            <a:cs typeface="Arial"/>
          </a:endParaRPr>
        </a:p>
      </cdr:txBody>
    </cdr:sp>
  </cdr:relSizeAnchor>
  <cdr:relSizeAnchor xmlns:cdr="http://schemas.openxmlformats.org/drawingml/2006/chartDrawing">
    <cdr:from>
      <cdr:x>0.90565</cdr:x>
      <cdr:y>0.14225</cdr:y>
    </cdr:from>
    <cdr:to>
      <cdr:x>0.96694</cdr:x>
      <cdr:y>0.5338</cdr:y>
    </cdr:to>
    <cdr:sp macro="" textlink="">
      <cdr:nvSpPr>
        <cdr:cNvPr id="4" name="3 - TextBox"/>
        <cdr:cNvSpPr txBox="1"/>
      </cdr:nvSpPr>
      <cdr:spPr bwMode="auto">
        <a:xfrm xmlns:a="http://schemas.openxmlformats.org/drawingml/2006/main">
          <a:off x="5566834" y="427568"/>
          <a:ext cx="376766" cy="11768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rtlCol="0" anchor="ctr" upright="1"/>
        <a:lstStyle xmlns:a="http://schemas.openxmlformats.org/drawingml/2006/main"/>
        <a:p xmlns:a="http://schemas.openxmlformats.org/drawingml/2006/main">
          <a:pPr algn="ctr" rtl="0"/>
          <a:r>
            <a:rPr lang="el-GR" sz="600" b="1" i="0" u="none" strike="noStrike">
              <a:solidFill>
                <a:srgbClr val="000000"/>
              </a:solidFill>
              <a:latin typeface="Arial Narrow" pitchFamily="34" charset="0"/>
              <a:cs typeface="Arial"/>
            </a:rPr>
            <a:t>Ανεξόφλητο εγγυημένο</a:t>
          </a:r>
          <a:r>
            <a:rPr lang="el-GR" sz="600" b="1" i="0" u="none" strike="noStrike" baseline="0">
              <a:solidFill>
                <a:srgbClr val="000000"/>
              </a:solidFill>
              <a:latin typeface="Arial Narrow" pitchFamily="34" charset="0"/>
              <a:cs typeface="Arial"/>
            </a:rPr>
            <a:t> υπόλοιπο</a:t>
          </a:r>
        </a:p>
        <a:p xmlns:a="http://schemas.openxmlformats.org/drawingml/2006/main">
          <a:pPr algn="ctr" rtl="0"/>
          <a:r>
            <a:rPr lang="el-GR" sz="600" b="1" i="0" u="none" strike="noStrike" baseline="0">
              <a:solidFill>
                <a:srgbClr val="000000"/>
              </a:solidFill>
              <a:latin typeface="Arial Narrow" pitchFamily="34" charset="0"/>
              <a:cs typeface="Arial"/>
            </a:rPr>
            <a:t>ως % του ΑΕΠ</a:t>
          </a:r>
          <a:endParaRPr lang="el-GR" sz="600" b="1" i="0" u="none" strike="noStrike">
            <a:solidFill>
              <a:srgbClr val="000000"/>
            </a:solidFill>
            <a:latin typeface="Arial Narrow" pitchFamily="34" charset="0"/>
            <a:cs typeface="Arial"/>
          </a:endParaRPr>
        </a:p>
      </cdr:txBody>
    </cdr:sp>
  </cdr:relSizeAnchor>
  <cdr:relSizeAnchor xmlns:cdr="http://schemas.openxmlformats.org/drawingml/2006/chartDrawing">
    <cdr:from>
      <cdr:x>0.24896</cdr:x>
      <cdr:y>0.74614</cdr:y>
    </cdr:from>
    <cdr:to>
      <cdr:x>0.7417</cdr:x>
      <cdr:y>0.81132</cdr:y>
    </cdr:to>
    <cdr:sp macro="" textlink="">
      <cdr:nvSpPr>
        <cdr:cNvPr id="5" name="4 - TextBox"/>
        <cdr:cNvSpPr txBox="1"/>
      </cdr:nvSpPr>
      <cdr:spPr bwMode="auto">
        <a:xfrm xmlns:a="http://schemas.openxmlformats.org/drawingml/2006/main">
          <a:off x="2286001" y="4143375"/>
          <a:ext cx="4524375" cy="36195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rtlCol="0" anchor="ctr" upright="1"/>
        <a:lstStyle xmlns:a="http://schemas.openxmlformats.org/drawingml/2006/main"/>
        <a:p xmlns:a="http://schemas.openxmlformats.org/drawingml/2006/main">
          <a:pPr algn="ctr" rtl="0"/>
          <a:endParaRPr lang="el-GR" sz="700" b="1" i="0" u="none" strike="noStrike">
            <a:solidFill>
              <a:srgbClr val="000000"/>
            </a:solidFill>
            <a:latin typeface="Arial Narrow" pitchFamily="34" charset="0"/>
            <a:cs typeface="Arial"/>
          </a:endParaRPr>
        </a:p>
      </cdr:txBody>
    </cdr:sp>
  </cdr:relSizeAnchor>
  <cdr:relSizeAnchor xmlns:cdr="http://schemas.openxmlformats.org/drawingml/2006/chartDrawing">
    <cdr:from>
      <cdr:x>0.28876</cdr:x>
      <cdr:y>0.78606</cdr:y>
    </cdr:from>
    <cdr:to>
      <cdr:x>0.74656</cdr:x>
      <cdr:y>0.85915</cdr:y>
    </cdr:to>
    <cdr:sp macro="" textlink="">
      <cdr:nvSpPr>
        <cdr:cNvPr id="7" name="6 - TextBox"/>
        <cdr:cNvSpPr txBox="1"/>
      </cdr:nvSpPr>
      <cdr:spPr>
        <a:xfrm xmlns:a="http://schemas.openxmlformats.org/drawingml/2006/main">
          <a:off x="1774950" y="2362636"/>
          <a:ext cx="2813983" cy="2196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l-GR" sz="600" b="1">
              <a:latin typeface="Arial Narrow" pitchFamily="34" charset="0"/>
            </a:rPr>
            <a:t>ΣΗΜΕΙΩΣΗ:</a:t>
          </a:r>
          <a:r>
            <a:rPr lang="el-GR" sz="600" b="1" baseline="0">
              <a:latin typeface="Arial Narrow" pitchFamily="34" charset="0"/>
            </a:rPr>
            <a:t> </a:t>
          </a:r>
          <a:r>
            <a:rPr lang="el-GR" sz="600" b="1">
              <a:latin typeface="Arial Narrow" pitchFamily="34" charset="0"/>
            </a:rPr>
            <a:t>Οι</a:t>
          </a:r>
          <a:r>
            <a:rPr lang="el-GR" sz="600" b="1" baseline="0">
              <a:latin typeface="Arial Narrow" pitchFamily="34" charset="0"/>
            </a:rPr>
            <a:t> καταπτώσεις (μπλε στήλη) αφορούν εγγυήσεις προηγούμενων ετών.</a:t>
          </a:r>
          <a:endParaRPr lang="el-GR" sz="600" b="1">
            <a:latin typeface="Arial Narrow" pitchFamily="34" charset="0"/>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B705C-5394-432C-A5C2-48177544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EIS_2005</Template>
  <TotalTime>1</TotalTime>
  <Pages>15</Pages>
  <Words>5153</Words>
  <Characters>27829</Characters>
  <Application>Microsoft Office Word</Application>
  <DocSecurity>0</DocSecurity>
  <Lines>231</Lines>
  <Paragraphs>65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pxristof</dc:creator>
  <cp:lastModifiedBy>ΛΙΑΚΟΠΟΥΛΟΥ ΧΡΙΣΤΙΝΑ</cp:lastModifiedBy>
  <cp:revision>2</cp:revision>
  <cp:lastPrinted>2016-11-18T08:50:00Z</cp:lastPrinted>
  <dcterms:created xsi:type="dcterms:W3CDTF">2018-11-21T12:51:00Z</dcterms:created>
  <dcterms:modified xsi:type="dcterms:W3CDTF">2018-11-21T12:51:00Z</dcterms:modified>
</cp:coreProperties>
</file>